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300"/>
        <w:jc w:val="center"/>
      </w:pPr>
      <w:r>
        <w:rPr>
          <w:b/>
          <w:bCs/>
          <w:color w:val="1E3A5F"/>
          <w:sz w:val="56"/>
          <w:szCs w:val="56"/>
        </w:rPr>
        <w:t xml:space="preserve">The Digital Flytrap</w:t>
      </w:r>
    </w:p>
    <w:p>
      <w:pPr>
        <w:spacing w:after="60"/>
        <w:jc w:val="center"/>
      </w:pPr>
      <w:r>
        <w:rPr>
          <w:color w:val="666666"/>
          <w:sz w:val="26"/>
          <w:szCs w:val="26"/>
        </w:rPr>
        <w:t xml:space="preserve">Sharpen your contracts, cut fixed costs in half, and</w:t>
      </w:r>
    </w:p>
    <w:p>
      <w:pPr>
        <w:spacing w:after="800"/>
        <w:jc w:val="center"/>
      </w:pPr>
      <w:r>
        <w:rPr>
          <w:color w:val="666666"/>
          <w:sz w:val="26"/>
          <w:szCs w:val="26"/>
        </w:rPr>
        <w:t xml:space="preserve">stop invisible cash-bleeding</w:t>
      </w:r>
    </w:p>
    <w:p>
      <w:pPr>
        <w:spacing w:after="200"/>
        <w:jc w:val="center"/>
      </w:pPr>
      <w:r>
        <w:rPr>
          <w:i/>
          <w:iCs/>
          <w:color w:val="1E8E5A"/>
          <w:sz w:val="22"/>
          <w:szCs w:val="22"/>
        </w:rPr>
        <w:t xml:space="preserve">A Finanzritual eBook</w:t>
      </w:r>
    </w:p>
    <w:p>
      <w:pPr>
        <w:spacing w:after="700"/>
        <w:jc w:val="center"/>
      </w:pPr>
      <w:r>
        <w:rPr>
          <w:color w:val="666666"/>
          <w:sz w:val="20"/>
          <w:szCs w:val="20"/>
        </w:rPr>
        <w:t xml:space="preserve">finanz-ritual.de</w:t>
      </w:r>
    </w:p>
    <w:p>
      <w:pPr>
        <w:jc w:val="center"/>
      </w:pPr>
      <w:r>
        <w:drawing>
          <wp:inline distT="0" distB="0" distL="0" distR="0">
            <wp:extent cx="2200275"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00275" cy="762000"/>
                    </a:xfrm>
                    <a:prstGeom prst="rect">
                      <a:avLst/>
                    </a:prstGeom>
                  </pic:spPr>
                </pic:pic>
              </a:graphicData>
            </a:graphic>
          </wp:inline>
        </w:drawing>
      </w:r>
    </w:p>
    <w:p>
      <w:r>
        <w:br w:type="page"/>
      </w:r>
    </w:p>
    <w:p>
      <w:pPr>
        <w:pStyle w:val="Heading1"/>
        <w:spacing w:after="240" w:before="480"/>
      </w:pPr>
      <w:r>
        <w:t xml:space="preserve">Table of Contents</w:t>
      </w:r>
    </w:p>
    <w:p>
      <w:pPr>
        <w:tabs>
          <w:tab w:val="right" w:pos="9026" w:leader="dot"/>
        </w:tabs>
        <w:spacing w:after="160"/>
      </w:pPr>
      <w:r>
        <w:t xml:space="preserve">Preface</w:t>
      </w:r>
      <w:r>
        <w:t xml:space="preserve">	3</w:t>
      </w:r>
    </w:p>
    <w:p>
      <w:pPr>
        <w:tabs>
          <w:tab w:val="right" w:pos="9026" w:leader="dot"/>
        </w:tabs>
        <w:spacing w:after="160"/>
      </w:pPr>
      <w:r>
        <w:t xml:space="preserve">Introduction: Welcome to Your Financial Control Centre</w:t>
      </w:r>
      <w:r>
        <w:t xml:space="preserve">	4</w:t>
      </w:r>
    </w:p>
    <w:p>
      <w:pPr>
        <w:tabs>
          <w:tab w:val="right" w:pos="9026" w:leader="dot"/>
        </w:tabs>
        <w:spacing w:after="160"/>
      </w:pPr>
      <w:r>
        <w:t xml:space="preserve">Chapter 1: The 2-Month Experiment &amp; the Spreadsheet Basics</w:t>
      </w:r>
      <w:r>
        <w:t xml:space="preserve">	5</w:t>
      </w:r>
    </w:p>
    <w:p>
      <w:pPr>
        <w:tabs>
          <w:tab w:val="right" w:pos="9026" w:leader="dot"/>
        </w:tabs>
        <w:spacing w:after="160"/>
      </w:pPr>
      <w:r>
        <w:t xml:space="preserve">Chapter 2: The Invisible Power Hogs</w:t>
      </w:r>
      <w:r>
        <w:t xml:space="preserve">	6</w:t>
      </w:r>
    </w:p>
    <w:p>
      <w:pPr>
        <w:tabs>
          <w:tab w:val="right" w:pos="9026" w:leader="dot"/>
        </w:tabs>
        <w:spacing w:after="160"/>
      </w:pPr>
      <w:r>
        <w:t xml:space="preserve">Chapter 3: The Cancellation &amp; Deadline Radar</w:t>
      </w:r>
      <w:r>
        <w:t xml:space="preserve">	9</w:t>
      </w:r>
    </w:p>
    <w:p>
      <w:pPr>
        <w:tabs>
          <w:tab w:val="right" w:pos="9026" w:leader="dot"/>
        </w:tabs>
        <w:spacing w:after="160"/>
      </w:pPr>
      <w:r>
        <w:t xml:space="preserve">Chapter 4: The Collaborative Neighbourhood Return</w:t>
      </w:r>
      <w:r>
        <w:t xml:space="preserve">	11</w:t>
      </w:r>
    </w:p>
    <w:p>
      <w:pPr>
        <w:tabs>
          <w:tab w:val="right" w:pos="9026" w:leader="dot"/>
        </w:tabs>
        <w:spacing w:after="160"/>
      </w:pPr>
      <w:r>
        <w:t xml:space="preserve">Chapter 5: The Savings Matrix</w:t>
      </w:r>
      <w:r>
        <w:t xml:space="preserve">	12</w:t>
      </w:r>
    </w:p>
    <w:p>
      <w:pPr>
        <w:tabs>
          <w:tab w:val="right" w:pos="9026" w:leader="dot"/>
        </w:tabs>
        <w:spacing w:after="160"/>
      </w:pPr>
      <w:r>
        <w:t xml:space="preserve">Conclusion: The System Works for You</w:t>
      </w:r>
      <w:r>
        <w:t xml:space="preserve">	14</w:t>
      </w:r>
    </w:p>
    <w:p>
      <w:pPr>
        <w:tabs>
          <w:tab w:val="right" w:pos="9026" w:leader="dot"/>
        </w:tabs>
        <w:spacing w:after="160"/>
      </w:pPr>
      <w:r>
        <w:t xml:space="preserve">Appendix: Spreadsheet Formula Guide</w:t>
      </w:r>
      <w:r>
        <w:t xml:space="preserve">	15</w:t>
      </w:r>
    </w:p>
    <w:p>
      <w:r>
        <w:br w:type="page"/>
      </w:r>
    </w:p>
    <w:p>
      <w:pPr>
        <w:pStyle w:val="Heading1"/>
        <w:spacing w:after="240" w:before="480"/>
      </w:pPr>
      <w:r>
        <w:t xml:space="preserve">Preface</w:t>
      </w:r>
    </w:p>
    <w:p>
      <w:pPr>
        <w:spacing w:after="260" w:line="340"/>
        <w:jc w:val="both"/>
      </w:pPr>
      <w:r>
        <w:t xml:space="preserve">I want to be honest with you: I'm not a fan of permanent penny-pinching, not even a little. The idea of scanning every receipt for the rest of my life, logging every scoop of ice cream, and constantly restricting myself doesn't sound like financial freedom to me — it sounds like a digital prison.</w:t>
      </w:r>
    </w:p>
    <w:p>
      <w:pPr>
        <w:spacing w:after="260" w:line="340"/>
        <w:jc w:val="both"/>
      </w:pPr>
      <w:r>
        <w:t xml:space="preserve">This book is different. It wasn't written by a die-hard preacher of denial, but by someone hunting for the big, often invisible levers of everyday life. This isn't about whether you treat yourself to coffee on the way to work. It's about the contracts quietly gnawing away at your bank balance in the background. It's about the 41-watt ceiling light that silently burns over a hundred euros a year on standby. And it's about the modern “shared economy” — how clever arrangements with neighbours can radically cut fixed costs like wifi, gym memberships, or groceries, without losing any quality of life.</w:t>
      </w:r>
    </w:p>
    <w:p>
      <w:pPr>
        <w:spacing w:after="260" w:line="340"/>
        <w:jc w:val="both"/>
      </w:pPr>
      <w:r>
        <w:t xml:space="preserve">All I ask of you is two months. Two months of focus with a simple spreadsheet, to sharpen your financial foundation once and for all. After that, your system runs almost by itself.</w:t>
      </w:r>
    </w:p>
    <w:p>
      <w:r>
        <w:br w:type="page"/>
      </w:r>
    </w:p>
    <w:p>
      <w:pPr>
        <w:pStyle w:val="Heading1"/>
        <w:spacing w:after="240" w:before="480"/>
      </w:pPr>
      <w:r>
        <w:t xml:space="preserve">Introduction: Welcome to Your Financial Control Centre</w:t>
      </w:r>
    </w:p>
    <w:p>
      <w:pPr>
        <w:spacing w:after="260" w:line="340"/>
        <w:jc w:val="both"/>
      </w:pPr>
      <w:r>
        <w:t xml:space="preserve">Why do most people fail at classic household budgets? Because they want too much and lose focus. They track every cent for three weeks, then give up frustrated because the effort outweighs the benefit.</w:t>
      </w:r>
    </w:p>
    <w:p>
      <w:pPr>
        <w:spacing w:after="260" w:line="340"/>
        <w:jc w:val="both"/>
      </w:pPr>
      <w:r>
        <w:t xml:space="preserve">This book flips that around. We focus exclusively on the items with the biggest leverage: recurring subscriptions, repeated digital bills, bureaucratic deadlines, and unused synergies right in your own neighbourhood. We're not building an accounting system for a large company — we're building your personal, digital control centre.</w:t>
      </w:r>
    </w:p>
    <w:p>
      <w:pPr>
        <w:pStyle w:val="Heading2"/>
        <w:spacing w:after="160" w:before="320"/>
      </w:pPr>
      <w:r>
        <w:t xml:space="preserve">What You'll Learn in This Book</w:t>
      </w:r>
    </w:p>
    <w:p>
      <w:pPr>
        <w:spacing w:after="260" w:line="340"/>
        <w:jc w:val="both"/>
      </w:pPr>
      <w:r>
        <w:t xml:space="preserve">In the following five chapters, we'll walk you step by step through a strategy that brings immediate relief while building long-term assets:</w:t>
      </w:r>
    </w:p>
    <w:p>
      <w:pPr>
        <w:pStyle w:val="ListParagraph"/>
        <w:numPr>
          <w:ilvl w:val="0"/>
          <w:numId w:val="2"/>
        </w:numPr>
        <w:spacing w:after="120"/>
      </w:pPr>
      <w:r>
        <w:t xml:space="preserve">The 2-month experiment: how to set up your spreadsheet with minimal time investment so it immediately exposes the real money-drains.</w:t>
      </w:r>
    </w:p>
    <w:p>
      <w:pPr>
        <w:pStyle w:val="ListParagraph"/>
        <w:numPr>
          <w:ilvl w:val="0"/>
          <w:numId w:val="2"/>
        </w:numPr>
        <w:spacing w:after="120"/>
      </w:pPr>
      <w:r>
        <w:t xml:space="preserve">The invisible power hogs: a personal story about how a single, switched-off ceiling light silently burned money for years — and how to close leaks like that in your own home.</w:t>
      </w:r>
    </w:p>
    <w:p>
      <w:pPr>
        <w:pStyle w:val="ListParagraph"/>
        <w:numPr>
          <w:ilvl w:val="0"/>
          <w:numId w:val="2"/>
        </w:numPr>
        <w:spacing w:after="120"/>
      </w:pPr>
      <w:r>
        <w:t xml:space="preserve">The deadline &amp; score radar: how to automatically keep an eye on your credit score, driving-record points, and important cancellation deadlines.</w:t>
      </w:r>
    </w:p>
    <w:p>
      <w:pPr>
        <w:pStyle w:val="ListParagraph"/>
        <w:numPr>
          <w:ilvl w:val="0"/>
          <w:numId w:val="2"/>
        </w:numPr>
        <w:spacing w:after="120"/>
      </w:pPr>
      <w:r>
        <w:t xml:space="preserve">The collaborative neighbourhood return: how sharing wifi, magazines, or seasonal bulk grocery orders saves real money.</w:t>
      </w:r>
    </w:p>
    <w:p>
      <w:pPr>
        <w:pStyle w:val="ListParagraph"/>
        <w:numPr>
          <w:ilvl w:val="0"/>
          <w:numId w:val="2"/>
        </w:numPr>
        <w:spacing w:after="120"/>
      </w:pPr>
      <w:r>
        <w:t xml:space="preserve">The savings matrix: a crystal-clear ranking of every measure, from instant wins to smart investments like fence and balcony solar power.</w:t>
      </w:r>
    </w:p>
    <w:p>
      <w:pPr>
        <w:spacing w:after="260" w:line="340"/>
        <w:jc w:val="both"/>
      </w:pPr>
      <w:r>
        <w:t xml:space="preserve">Financial self-determination doesn't start with denial — it starts with clarity. Let's sharpen your system together.</w:t>
      </w:r>
    </w:p>
    <w:p>
      <w:r>
        <w:br w:type="page"/>
      </w:r>
    </w:p>
    <w:p>
      <w:pPr>
        <w:pStyle w:val="Heading1"/>
        <w:spacing w:after="240" w:before="480"/>
      </w:pPr>
      <w:r>
        <w:t xml:space="preserve">Chapter 1: The 2-Month Experiment &amp; the Spreadsheet Basics</w:t>
      </w:r>
    </w:p>
    <w:p>
      <w:pPr>
        <w:spacing w:after="260" w:line="340"/>
        <w:jc w:val="both"/>
      </w:pPr>
      <w:r>
        <w:t xml:space="preserve">Nobody wants to hoard receipts for the rest of their life. I'm no fan of permanent penny-pinching myself. But running a strict household budget for 2 months fundamentally changes how you see your own money.</w:t>
      </w:r>
    </w:p>
    <w:p>
      <w:pPr>
        <w:spacing w:after="260" w:line="340"/>
        <w:jc w:val="both"/>
      </w:pPr>
      <w:r>
        <w:t xml:space="preserve">In the spreadsheet, the focus isn't on your daily bread rolls — it's on the big levers: recurring subscription costs and repeated digital bills. Electricity, gas, and internet contracts are easier to switch today than ever before. The savings potential is enormous, provided you track contract terms and re-sharpen your rates regularly.</w:t>
      </w:r>
    </w:p>
    <w:p>
      <w:pPr>
        <w:spacing w:after="260" w:line="340"/>
        <w:jc w:val="both"/>
      </w:pPr>
      <w:r>
        <w:t xml:space="preserve">After a 60-day analysis of fixed costs, subscriptions, and variable spending, you'll identify your real savings potential — using three spreadsheet tabs (“Cash Flow Radar”, “Subscription Grave”, “Variable Check”), explained step by step in the appendix of this book. This system aims to optimise your finances through targeted tracking, not exhausting day-to-day bookkeeping.</w:t>
      </w:r>
    </w:p>
    <w:p>
      <w:r>
        <w:br w:type="page"/>
      </w:r>
    </w:p>
    <w:p>
      <w:pPr>
        <w:pStyle w:val="Heading1"/>
        <w:spacing w:after="240" w:before="480"/>
      </w:pPr>
      <w:r>
        <w:t xml:space="preserve">Chapter 2: The Invisible Power Hogs — Hunting Phantom Electricity</w:t>
      </w:r>
    </w:p>
    <w:p>
      <w:pPr>
        <w:spacing w:after="260" w:line="340"/>
        <w:jc w:val="both"/>
      </w:pPr>
      <w:r>
        <w:t xml:space="preserve">Some expenses hurt because we make them deliberately. And then there are the expenses that behave like an invisible leak in a water tank: you notice nothing until the tank is suddenly empty. Your bank account often works exactly like the electricity consumption in your own four walls.</w:t>
      </w:r>
    </w:p>
    <w:p>
      <w:pPr>
        <w:pStyle w:val="Heading2"/>
        <w:spacing w:after="160" w:before="320"/>
      </w:pPr>
      <w:r>
        <w:t xml:space="preserve">The €125 Lamp: A Personal Lesson</w:t>
      </w:r>
    </w:p>
    <w:p>
      <w:pPr>
        <w:spacing w:after="260" w:line="340"/>
        <w:jc w:val="both"/>
      </w:pPr>
      <w:r>
        <w:t xml:space="preserve">For a long time, I was puzzled by an inexplicably high electricity bill. I dutifully turned off lights when leaving a room, used energy-saving appliances, and watched my consumption. Yet the numbers from my utility company stayed stubbornly high.</w:t>
      </w:r>
    </w:p>
    <w:p>
      <w:pPr>
        <w:spacing w:after="260" w:line="340"/>
        <w:jc w:val="both"/>
      </w:pPr>
      <w:r>
        <w:t xml:space="preserve">The lightbulb moment (pun intended) came when I borrowed a portable power meter from my energy provider to systematically check the standby draw of my household devices. I plugged it in between the socket and an old ceiling light that stood unused in a corner, switched off. The result was a shock: the meter recorded a constant, permanent draw of nearly 41 watts. The filament glowed only very faintly in the dark, almost invisible. The lamp was technically “off”, but was quietly burning real money around the clock in pure standby mode.</w:t>
      </w:r>
    </w:p>
    <w:p>
      <w:pPr>
        <w:spacing w:after="260" w:line="340"/>
        <w:jc w:val="both"/>
      </w:pPr>
      <w:r>
        <w:t xml:space="preserve">Let's do the maths and scale it up to a full year:</w:t>
      </w:r>
    </w:p>
    <w:p>
      <w:pPr>
        <w:pStyle w:val="ListParagraph"/>
        <w:numPr>
          <w:ilvl w:val="0"/>
          <w:numId w:val="2"/>
        </w:numPr>
        <w:spacing w:after="120"/>
      </w:pPr>
      <w:r>
        <w:t xml:space="preserve">Consumption per day: 41 watts × 24 hours = 984 watt-hours (about 1 kWh)</w:t>
      </w:r>
    </w:p>
    <w:p>
      <w:pPr>
        <w:pStyle w:val="ListParagraph"/>
        <w:numPr>
          <w:ilvl w:val="0"/>
          <w:numId w:val="2"/>
        </w:numPr>
        <w:spacing w:after="120"/>
      </w:pPr>
      <w:r>
        <w:t xml:space="preserve">Consumption per year: 0.984 kWh × 365 days = 359.16 kWh</w:t>
      </w:r>
    </w:p>
    <w:p>
      <w:pPr>
        <w:pStyle w:val="ListParagraph"/>
        <w:numPr>
          <w:ilvl w:val="0"/>
          <w:numId w:val="2"/>
        </w:numPr>
        <w:spacing w:after="120"/>
      </w:pPr>
      <w:r>
        <w:t xml:space="preserve">The cost: at an average electricity price of 35 cents per kilowatt-hour, that one, seemingly switched-off ceiling light cost a full €125.71 a year — for absolutely nothing.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E3A5F" w:sz="12"/>
              <w:left w:val="single" w:color="1E3A5F" w:sz="24"/>
              <w:bottom w:val="single" w:color="1E3A5F" w:sz="12"/>
              <w:right w:val="single" w:color="1E3A5F" w:sz="12"/>
            </w:tcBorders>
            <w:shd w:fill="EAF1FB" w:val="clear"/>
            <w:tcMar>
              <w:top w:type="dxa" w:w="200"/>
              <w:left w:type="dxa" w:w="200"/>
              <w:bottom w:type="dxa" w:w="200"/>
              <w:right w:type="dxa" w:w="200"/>
            </w:tcMar>
          </w:tcPr>
          <w:p>
            <w:pPr>
              <w:spacing w:after="0"/>
            </w:pPr>
            <w:r>
              <w:rPr>
                <w:b/>
                <w:bCs/>
              </w:rPr>
              <w:t xml:space="preserve">The maths at a glance: 41 W × 24 h × 365 days = 359.16 kWh/year × €0.35 = €125.71 — for a lamp that was never consciously ‘on’.</w:t>
            </w:r>
          </w:p>
        </w:tc>
      </w:tr>
    </w:tbl>
    <w:p>
      <w:pPr>
        <w:pStyle w:val="Heading2"/>
        <w:spacing w:after="160" w:before="320"/>
      </w:pPr>
      <w:r>
        <w:t xml:space="preserve">The Power Plant in the Kids' Room &amp; the Stadium-Sized Screen in the Living Room</w:t>
      </w:r>
    </w:p>
    <w:p>
      <w:pPr>
        <w:spacing w:after="260" w:line="340"/>
        <w:jc w:val="both"/>
      </w:pPr>
      <w:r>
        <w:t xml:space="preserve">The ceiling light is one extreme — the silent standby sleeper. But there are also the real, active energy hogs that we massively underestimate. Let's take a look at a modern teenager's bedroom, specifically: the gaming PC.</w:t>
      </w:r>
    </w:p>
    <w:p>
      <w:pPr>
        <w:spacing w:after="260" w:line="340"/>
        <w:jc w:val="both"/>
      </w:pPr>
      <w:r>
        <w:t xml:space="preserve">Anyone who wants to run today's blockbuster games smoothly needs serious hardware. And it's not just the gameplay that glows — so does the power meter:</w:t>
      </w:r>
    </w:p>
    <w:p>
      <w:pPr>
        <w:pStyle w:val="ListParagraph"/>
        <w:numPr>
          <w:ilvl w:val="0"/>
          <w:numId w:val="2"/>
        </w:numPr>
        <w:spacing w:after="120"/>
      </w:pPr>
      <w:r>
        <w:t xml:space="preserve">The graphics card: a current top-tier model comfortably pulls 280 watts under load for graphics processing alone.</w:t>
      </w:r>
    </w:p>
    <w:p>
      <w:pPr>
        <w:pStyle w:val="ListParagraph"/>
        <w:numPr>
          <w:ilvl w:val="0"/>
          <w:numId w:val="2"/>
        </w:numPr>
        <w:spacing w:after="120"/>
      </w:pPr>
      <w:r>
        <w:t xml:space="preserve">The processor and motherboard: CPU and mainboard add a solid 80 watts.</w:t>
      </w:r>
    </w:p>
    <w:p>
      <w:pPr>
        <w:pStyle w:val="ListParagraph"/>
        <w:numPr>
          <w:ilvl w:val="0"/>
          <w:numId w:val="2"/>
        </w:numPr>
        <w:spacing w:after="120"/>
      </w:pPr>
      <w:r>
        <w:t xml:space="preserve">The power supply: even a good PSU doesn't have perfect efficiency. Converting the power itself burns another 10 watts as pure waste heat.</w:t>
      </w:r>
    </w:p>
    <w:p>
      <w:pPr>
        <w:spacing w:after="260" w:line="340"/>
        <w:jc w:val="both"/>
      </w:pPr>
      <w:r>
        <w:t xml:space="preserve">That already puts the PC case alone at 370 watts — and the two monitors aren't even included yet!</w:t>
      </w:r>
    </w:p>
    <w:p>
      <w:pPr>
        <w:spacing w:after="260" w:line="340"/>
        <w:jc w:val="both"/>
      </w:pPr>
      <w:r>
        <w:t xml:space="preserve">And the big consumers don't stop at the living room door: when the giant 1.5-metre LCD screen fires up for Saturday football, that's another 310 watts on the meter. If the evening involves several hours of gaming and TV, hundreds of kilowatt-hours a year add up quickly — without it ever feeling like a conscious decision to anyone in the household.</w:t>
      </w:r>
    </w:p>
    <w:p>
      <w:pPr>
        <w:pStyle w:val="Heading2"/>
        <w:spacing w:after="160" w:before="320"/>
      </w:pPr>
      <w:r>
        <w:t xml:space="preserve">Focus on What Matters: What's Actually Worth Doing at Home</w:t>
      </w:r>
    </w:p>
    <w:p>
      <w:pPr>
        <w:spacing w:after="260" w:line="340"/>
        <w:jc w:val="both"/>
      </w:pPr>
      <w:r>
        <w:t xml:space="preserve">Don't get me wrong: nobody needs to sit in the dark or give up their hobbies. But certain household appliances deserve special attention:</w:t>
      </w:r>
    </w:p>
    <w:p>
      <w:pPr>
        <w:pStyle w:val="ListParagraph"/>
        <w:numPr>
          <w:ilvl w:val="0"/>
          <w:numId w:val="2"/>
        </w:numPr>
        <w:spacing w:after="120"/>
      </w:pPr>
      <w:r>
        <w:t xml:space="preserve">Dishwasher &amp; washing machine: consistently use the eco programmes. They take longer, but use noticeably less energy thanks to lower water temperatures.</w:t>
      </w:r>
    </w:p>
    <w:p>
      <w:pPr>
        <w:pStyle w:val="ListParagraph"/>
        <w:numPr>
          <w:ilvl w:val="0"/>
          <w:numId w:val="2"/>
        </w:numPr>
        <w:spacing w:after="120"/>
      </w:pPr>
      <w:r>
        <w:t xml:space="preserve">The tumble dryer: if you have the space, hang your laundry on a line — that costs exactly €0. If that's not an option, a modern heat-pump dryer is worth it. It recycles heat internally and uses up to 50% less electricity than an old condenser dryer.</w:t>
      </w:r>
    </w:p>
    <w:p>
      <w:pPr>
        <w:pStyle w:val="Heading2"/>
        <w:spacing w:after="160" w:before="320"/>
      </w:pPr>
      <w:r>
        <w:t xml:space="preserve">The Efficiency Secret Weapon: The Air Fryer</w:t>
      </w:r>
    </w:p>
    <w:p>
      <w:pPr>
        <w:spacing w:after="260" w:line="340"/>
        <w:jc w:val="both"/>
      </w:pPr>
      <w:r>
        <w:t xml:space="preserve">The kitchen offers a genuine eye-opener. A normal oven often has a huge 70-litre cooking cavity that heats up painfully slowly and devours electricity just to make two bread rolls or a portion of fries. An air fryer with a generous 5-litre cavity works extremely fast, is hot almost instantly, and is unbeatably efficient thanks to its compact size.</w:t>
      </w:r>
    </w:p>
    <w:p>
      <w:pPr>
        <w:pStyle w:val="Heading2"/>
        <w:spacing w:after="160" w:before="320"/>
      </w:pPr>
      <w:r>
        <w:t xml:space="preserve">Your Action Plan: Hunting Down the Invisible Hogs</w:t>
      </w:r>
    </w:p>
    <w:p>
      <w:pPr>
        <w:spacing w:after="260" w:line="340"/>
        <w:jc w:val="both"/>
      </w:pPr>
      <w:r>
        <w:t xml:space="preserve">To close these cash leaks in your household right away, work through these three steps over the next two weeks:</w:t>
      </w:r>
    </w:p>
    <w:p>
      <w:pPr>
        <w:pStyle w:val="ListParagraph"/>
        <w:numPr>
          <w:ilvl w:val="0"/>
          <w:numId w:val="2"/>
        </w:numPr>
        <w:spacing w:after="120"/>
      </w:pPr>
      <w:r>
        <w:t xml:space="preserve">The LED revolution: systematically replace every old halogen or incandescent bulb in the house with modern LEDs. While an old bulb needs 60 watts, an LED delivers the same brightness for just 6 to 8 watts. The swap often pays for itself within a few months.</w:t>
      </w:r>
    </w:p>
    <w:p>
      <w:pPr>
        <w:pStyle w:val="ListParagraph"/>
        <w:numPr>
          <w:ilvl w:val="0"/>
          <w:numId w:val="2"/>
        </w:numPr>
        <w:spacing w:after="120"/>
      </w:pPr>
      <w:r>
        <w:t xml:space="preserve">The power-strip strategy: devices like TVs, game consoles, soundbars, or the gaming PC and its monitors all draw power continuously even when switched off. Plug them into switchable power strips and cut the whole system off when you go to sleep or leave the house.</w:t>
      </w:r>
    </w:p>
    <w:p>
      <w:pPr>
        <w:pStyle w:val="ListParagraph"/>
        <w:numPr>
          <w:ilvl w:val="0"/>
          <w:numId w:val="2"/>
        </w:numPr>
        <w:spacing w:after="120"/>
      </w:pPr>
      <w:r>
        <w:t xml:space="preserve">The measuring tour: borrow a free power meter from your local consumer advice centre or utility provider. Go room by room and measure the standby draw of your major appliances. Sometimes financial freedom is just one click of a switch away.</w:t>
      </w:r>
    </w:p>
    <w:p>
      <w:r>
        <w:br w:type="page"/>
      </w:r>
    </w:p>
    <w:p>
      <w:pPr>
        <w:pStyle w:val="Heading1"/>
        <w:spacing w:after="240" w:before="480"/>
      </w:pPr>
      <w:r>
        <w:t xml:space="preserve">Chapter 3: The Cancellation &amp; Deadline Radar — Your Financial Early-Warning System</w:t>
      </w:r>
    </w:p>
    <w:p>
      <w:pPr>
        <w:spacing w:after="260" w:line="340"/>
        <w:jc w:val="both"/>
      </w:pPr>
      <w:r>
        <w:t xml:space="preserve">A household budget can't just look backwards. It's no use realising at the end of the month that your account is empty because unexpected charges hit. A smart spreadsheet system looks forward. It acts as your personal radar, warning you before money quietly slips away.</w:t>
      </w:r>
    </w:p>
    <w:p>
      <w:pPr>
        <w:pStyle w:val="Heading2"/>
        <w:spacing w:after="160" w:before="320"/>
      </w:pPr>
      <w:r>
        <w:t xml:space="preserve">The Cancellation Alarm: Closing the Subscription Grave</w:t>
      </w:r>
    </w:p>
    <w:p>
      <w:pPr>
        <w:spacing w:after="260" w:line="340"/>
        <w:jc w:val="both"/>
      </w:pPr>
      <w:r>
        <w:t xml:space="preserve">The modern economy loves the subscription model. Whether it's a gym, streaming services, magazines, or software: companies make most of their money from customers' forgetfulness. A contract automatically renews for another year because you missed the cancellation deadline by two days — a classic, expensive own goal.</w:t>
      </w:r>
    </w:p>
    <w:p>
      <w:pPr>
        <w:spacing w:after="260" w:line="340"/>
        <w:jc w:val="both"/>
      </w:pPr>
      <w:r>
        <w:t xml:space="preserve">In your “Subscription Grave” spreadsheet tab, set up an automated deadline warning: enter the minimum contract end date and the notice period for every contract. Use simple conditional formatting: as soon as the cancellation date is less than 30 days away, the row turns bright red. You'll find the exact formulas in the appendix.</w:t>
      </w:r>
    </w:p>
    <w:p>
      <w:pPr>
        <w:spacing w:after="260" w:line="340"/>
        <w:jc w:val="both"/>
      </w:pPr>
      <w:r>
        <w:t xml:space="preserve">A typical example is switching gyms. If your expensive premium gym costs €70 a month but you really just want a simple place to train, it's worth looking at alternatives. Is there a cheaper discount gym nearby? Or better yet: can you and two neighbours rent an unused garage and build your own small “garage gym”? The equipment pays for itself fast as a group, and monthly fixed costs drop close to zero.</w:t>
      </w:r>
    </w:p>
    <w:p>
      <w:pPr>
        <w:pStyle w:val="Heading2"/>
        <w:spacing w:after="160" w:before="320"/>
      </w:pPr>
      <w:r>
        <w:t xml:space="preserve">Fixed-Cost Dates: No More Surprises</w:t>
      </w:r>
    </w:p>
    <w:p>
      <w:pPr>
        <w:spacing w:after="260" w:line="340"/>
        <w:jc w:val="both"/>
      </w:pPr>
      <w:r>
        <w:t xml:space="preserve">When exactly does your vehicle tax get charged? When is your annual liability insurance premium due? These items are easily forgotten because they only come up once a year. If €300 for car insurance and vehicle tax suddenly get debited in November, your checking account can unexpectedly slide into expensive overdraft.</w:t>
      </w:r>
    </w:p>
    <w:p>
      <w:pPr>
        <w:spacing w:after="260" w:line="340"/>
        <w:jc w:val="both"/>
      </w:pPr>
      <w:r>
        <w:t xml:space="preserve">Your spreadsheet tracker lists these dates chronologically. That way you know in January exactly which month a bigger charge is coming, and can set aside a small amount each month into a savings account for it.</w:t>
      </w:r>
    </w:p>
    <w:p>
      <w:pPr>
        <w:pStyle w:val="Heading2"/>
        <w:spacing w:after="160" w:before="320"/>
      </w:pPr>
      <w:r>
        <w:t xml:space="preserve">Bureaucracy Tracking: Credit Score and Driving Points</w:t>
      </w:r>
    </w:p>
    <w:p>
      <w:pPr>
        <w:spacing w:after="260" w:line="340"/>
        <w:jc w:val="both"/>
      </w:pPr>
      <w:r>
        <w:t xml:space="preserve">Financial health has a lot to do with your bureaucratic standing. Poor scores or legal issues cost real money behind the scenes — whether through worse credit terms or expensive legal fees. That's why two unusual but essential metrics belong in your digital control centre:</w:t>
      </w:r>
    </w:p>
    <w:p>
      <w:pPr>
        <w:pStyle w:val="ListParagraph"/>
        <w:numPr>
          <w:ilvl w:val="0"/>
          <w:numId w:val="2"/>
        </w:numPr>
        <w:spacing w:after="120"/>
      </w:pPr>
      <w:r>
        <w:t xml:space="preserve">Your credit score: a poor score means you might not get an apartment when you move, get denied a cheaper electricity contract, or overpay on your phone plan. Once a year, you have the legal right to a completely free copy of your data under data protection law — don't let yourself be talked into a paid “creditworthiness report” instead. Log your current score in your spreadsheet. If outdated or incorrect entries show up, have them removed immediately.</w:t>
      </w:r>
    </w:p>
    <w:p>
      <w:pPr>
        <w:pStyle w:val="ListParagraph"/>
        <w:numPr>
          <w:ilvl w:val="0"/>
          <w:numId w:val="2"/>
        </w:numPr>
        <w:spacing w:after="120"/>
      </w:pPr>
      <w:r>
        <w:t xml:space="preserve">Driving-record points: anyone who loses their licence due to too many points risks their job in the worst case, has to pay for expensive retraining, or has to rely on costly public transport instead. Checking your points balance regularly (in many countries this is possible online with an ID card) reminds you to ease off the accelerator before the account overflows.</w:t>
      </w:r>
    </w:p>
    <w:p>
      <w:r>
        <w:br w:type="page"/>
      </w:r>
    </w:p>
    <w:p>
      <w:pPr>
        <w:pStyle w:val="Heading1"/>
        <w:spacing w:after="240" w:before="480"/>
      </w:pPr>
      <w:r>
        <w:t xml:space="preserve">Chapter 4: The Collaborative Neighbourhood Return — Saving as a Collective</w:t>
      </w:r>
    </w:p>
    <w:p>
      <w:pPr>
        <w:spacing w:after="260" w:line="340"/>
        <w:jc w:val="both"/>
      </w:pPr>
      <w:r>
        <w:t xml:space="preserve">The strongest weapon against inflation and exploding fixed costs usually isn't sitting in a savings account — it's right on the other side of your hallway wall: your neighbours. When you break out of classic silo thinking and cooperate strategically with the people around you, you unlock a return that no stock in the world can match, tax-free.</w:t>
      </w:r>
    </w:p>
    <w:p>
      <w:pPr>
        <w:pStyle w:val="Heading2"/>
        <w:spacing w:after="160" w:before="320"/>
      </w:pPr>
      <w:r>
        <w:t xml:space="preserve">Gigabit Wifi: Split Your Internet Costs Three Ways</w:t>
      </w:r>
    </w:p>
    <w:p>
      <w:pPr>
        <w:spacing w:after="260" w:line="340"/>
        <w:jc w:val="both"/>
      </w:pPr>
      <w:r>
        <w:t xml:space="preserve">Why does every household in a three-family building pay €40 to €50 a month for their own internet connection? Modern fibre or cable connections offer bandwidths of 500 or 1,000 Mbit/s — a single household streaming and browsing normally doesn't come close to using that data highway.</w:t>
      </w:r>
    </w:p>
    <w:p>
      <w:pPr>
        <w:spacing w:after="260" w:line="340"/>
        <w:jc w:val="both"/>
      </w:pPr>
      <w:r>
        <w:t xml:space="preserve">The solution: book one single, fast top-tier plan for the whole building. Modern mesh wifi technology distributes the signal throughout the house without loss.</w:t>
      </w:r>
    </w:p>
    <w:p>
      <w:pPr>
        <w:spacing w:after="260" w:line="340"/>
        <w:jc w:val="both"/>
      </w:pPr>
      <w:r>
        <w:t xml:space="preserve">The maths: instead of 3 × €45 (= €135), the building pays just €60 once for a premium plan. Split fairly three ways, everyone pays only €20 a month. That saves each household a solid €300 a year, for exactly the same internet speed.</w:t>
      </w:r>
    </w:p>
    <w:p>
      <w:pPr>
        <w:spacing w:after="260" w:line="340"/>
        <w:jc w:val="both"/>
      </w:pPr>
      <w:r>
        <w:t xml:space="preserve">Practical tip: set up a separate guest network on the router for the neighbours, so your own privacy stays protected.</w:t>
      </w:r>
    </w:p>
    <w:p>
      <w:pPr>
        <w:pStyle w:val="Heading2"/>
        <w:spacing w:after="160" w:before="320"/>
      </w:pPr>
      <w:r>
        <w:t xml:space="preserve">The Magazine Circle: Knowledge at a Bargain Price</w:t>
      </w:r>
    </w:p>
    <w:p>
      <w:pPr>
        <w:spacing w:after="260" w:line="340"/>
        <w:jc w:val="both"/>
      </w:pPr>
      <w:r>
        <w:t xml:space="preserve">A good print subscription quickly costs €100 to €200 a year. Often you skim the issue for two hours on a weekend, then it gathers dust in the recycling bin. Instead, start an analogue reading circle in your stairwell: household A subscribes to the politics magazine, household B the finance magazine, household C the gardening magazine. After reading, the issues simply get dropped in the next neighbour's mailbox. Everyone gets access to three quality magazines, but only pays for one.</w:t>
      </w:r>
    </w:p>
    <w:p>
      <w:pPr>
        <w:pStyle w:val="Heading2"/>
        <w:spacing w:after="160" w:before="320"/>
      </w:pPr>
      <w:r>
        <w:t xml:space="preserve">Seasonal Bulk Buying: Vegetables Straight from the Farmer</w:t>
      </w:r>
    </w:p>
    <w:p>
      <w:pPr>
        <w:spacing w:after="260" w:line="340"/>
        <w:jc w:val="both"/>
      </w:pPr>
      <w:r>
        <w:t xml:space="preserve">Buying seasonally isn't just drastically cheaper, it's also kinder to the environment. The real savings lever is buying in bulk: if you team up with three households and take a full box of seasonal vegetables directly from the grower, the price per kilo drops massively. You split the logistics and transport costs. The result: crisp, healthy food with no middleman, at a fraction of the supermarket price.</w:t>
      </w:r>
    </w:p>
    <w:p>
      <w:r>
        <w:br w:type="page"/>
      </w:r>
    </w:p>
    <w:p>
      <w:pPr>
        <w:pStyle w:val="Heading1"/>
        <w:spacing w:after="240" w:before="480"/>
      </w:pPr>
      <w:r>
        <w:t xml:space="preserve">Chapter 5: The Savings Matrix — From Balcony Solar to Fence Returns</w:t>
      </w:r>
    </w:p>
    <w:p>
      <w:pPr>
        <w:spacing w:after="260" w:line="340"/>
        <w:jc w:val="both"/>
      </w:pPr>
      <w:r>
        <w:t xml:space="preserve">You've now optimised your contracts, eliminated hidden power hogs, and created synergies with your neighbours. In this final chapter, we bring structure to your future investments — ranked from the fastest instant win to the long-term project.</w:t>
      </w:r>
    </w:p>
    <w:p>
      <w:pPr>
        <w:pStyle w:val="Heading2"/>
        <w:spacing w:after="160" w:before="320"/>
      </w:pPr>
      <w:r>
        <w:t xml:space="preserve">Balcony Solar: The Uncomplicated Saving</w:t>
      </w:r>
    </w:p>
    <w:p>
      <w:pPr>
        <w:spacing w:after="260" w:line="340"/>
        <w:jc w:val="both"/>
      </w:pPr>
      <w:r>
        <w:t xml:space="preserve">A classic balcony solar set with two panels and an inverter often costs around €420, sometimes more depending on the setup — current 2026 market sets range roughly between €280 and €600. Installation is plug-and-play and, thanks to simplified regulations, done in under an hour.</w:t>
      </w:r>
    </w:p>
    <w:p>
      <w:pPr>
        <w:spacing w:after="260" w:line="340"/>
        <w:jc w:val="both"/>
      </w:pPr>
      <w:r>
        <w:t xml:space="preserve">A system like this produces roughly 600 to 800 kWh of electricity a year, depending on orientation. If you use that power directly to cover your base load, you'll notice a real drop in your basic electricity costs — the actual saving depends heavily on how much you self-consume, and typically lands between €90 and €380 a year. Adding a smart battery later boosts self-consumption even further, since power produced during the day can also be used during the more expensive evening hours.</w:t>
      </w:r>
    </w:p>
    <w:p>
      <w:pPr>
        <w:pStyle w:val="Heading2"/>
        <w:spacing w:after="160" w:before="320"/>
      </w:pPr>
      <w:r>
        <w:t xml:space="preserve">The Secret Weapon in the Vertical: Solar Privacy Strips</w:t>
      </w:r>
    </w:p>
    <w:p>
      <w:pPr>
        <w:spacing w:after="260" w:line="340"/>
        <w:jc w:val="both"/>
      </w:pPr>
      <w:r>
        <w:t xml:space="preserve">But what if your balcony is too small, permanently shaded, or your landlord won't allow panels on the facade? That's where a genuinely clever innovation comes in: solar privacy strips for your garden or property fence.</w:t>
      </w:r>
    </w:p>
    <w:p>
      <w:pPr>
        <w:spacing w:after="260" w:line="340"/>
        <w:jc w:val="both"/>
      </w:pPr>
      <w:r>
        <w:t xml:space="preserve">These flexible, narrow solar modules slide horizontally into the grid elements of a completely standard metal double-wire mesh fence, exactly like classic plastic privacy strips, and get wired up in the background. A simple, already-necessary privacy screen becomes an efficient money-making machine.</w:t>
      </w:r>
    </w:p>
    <w:p>
      <w:pPr>
        <w:spacing w:after="260" w:line="340"/>
        <w:jc w:val="both"/>
      </w:pPr>
      <w:r>
        <w:t xml:space="preserve">The unbeatable advantage of vertical mounting: standard roof solar peaks at midday, when the sun is highest — but that's exactly when most people are at work. Vertical fence modules, by contrast, catch the sunlight perfectly when the sun sits low: morning and evening. Those are exactly the rush hours in every household, when people cook, do laundry, or watch TV. The electricity produced gets used immediately, with no expensive battery required. On top of that, no snow settles on a vertical fence in winter, so even weak winter sun gets used efficiently, while roof systems often produce almost nothing for weeks at a time.</w:t>
      </w:r>
    </w:p>
    <w:p>
      <w:pPr>
        <w:pStyle w:val="Heading2"/>
        <w:spacing w:after="160" w:before="320"/>
      </w:pPr>
      <w:r>
        <w:t xml:space="preserve">The Camper Anecdote: Negotiating Smart and Cutting Costs in Half</w:t>
      </w:r>
    </w:p>
    <w:p>
      <w:pPr>
        <w:spacing w:after="260" w:line="340"/>
        <w:jc w:val="both"/>
      </w:pPr>
      <w:r>
        <w:t xml:space="preserve">That theory and practice are two different things is something my own balcony solar setup taught me. I had ordered a set with modern, flexible plastic-cased solar modules. When I measured up the balcony, it turned out that due to its specific shape, only six of the eight delivered modules could actually be mounted usefully. That left two modules spare.</w:t>
      </w:r>
    </w:p>
    <w:p>
      <w:pPr>
        <w:spacing w:after="260" w:line="340"/>
        <w:jc w:val="both"/>
      </w:pPr>
      <w:r>
        <w:t xml:space="preserve">Instead of letting them gather dust in the basement, a chat over the garden fence created the perfect opportunity: my neighbour, an enthusiastic camper, was immediately thrilled about the ultra-light, flexible modules for his motorhome. The result? I sold him the two surplus modules — and effectively paid only half the original total price for my own power plant.</w:t>
      </w:r>
    </w:p>
    <w:p>
      <w:pPr>
        <w:spacing w:after="260" w:line="340"/>
        <w:jc w:val="both"/>
      </w:pPr>
      <w:r>
        <w:t xml:space="preserve">That's the ultimate win-win: the neighbour got perfect solar modules for his camping trips, and I halved my own payback period through a bit of clever thinking. So keep your eyes open — sometimes the best returns come from a simple conversation with the neighbour.</w:t>
      </w:r>
    </w:p>
    <w:p>
      <w:pPr>
        <w:pStyle w:val="Heading2"/>
        <w:spacing w:after="160" w:before="320"/>
      </w:pPr>
      <w:r>
        <w:t xml:space="preserve">The Final Savings Matrix: Your Priority List</w:t>
      </w:r>
    </w:p>
    <w:p>
      <w:pPr>
        <w:spacing w:after="260" w:line="340"/>
        <w:jc w:val="both"/>
      </w:pPr>
      <w:r>
        <w:t xml:space="preserve">To keep track of everything, use this matrix as your roadmap. Start at the top and work your way down step by step:</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100"/>
        <w:gridCol w:w="1600"/>
        <w:gridCol w:w="1226"/>
      </w:tblGrid>
      <w:tr>
        <w:trPr>
          <w:tblHeader/>
        </w:trPr>
        <w:tc>
          <w:tcPr>
            <w:tcW w:type="dxa" w:w="2500"/>
            <w:shd w:fill="1E3A5F" w:val="clear"/>
            <w:tcMar>
              <w:top w:type="dxa" w:w="100"/>
              <w:left w:type="dxa" w:w="100"/>
              <w:bottom w:type="dxa" w:w="100"/>
              <w:right w:type="dxa" w:w="100"/>
            </w:tcMar>
          </w:tcPr>
          <w:p>
            <w:r>
              <w:rPr>
                <w:b/>
                <w:bCs/>
                <w:color w:val="FFFFFF"/>
                <w:sz w:val="17"/>
                <w:szCs w:val="17"/>
              </w:rPr>
              <w:t xml:space="preserve">Measure</w:t>
            </w:r>
          </w:p>
        </w:tc>
        <w:tc>
          <w:tcPr>
            <w:tcW w:type="dxa" w:w="1600"/>
            <w:shd w:fill="1E3A5F" w:val="clear"/>
            <w:tcMar>
              <w:top w:type="dxa" w:w="100"/>
              <w:left w:type="dxa" w:w="100"/>
              <w:bottom w:type="dxa" w:w="100"/>
              <w:right w:type="dxa" w:w="100"/>
            </w:tcMar>
          </w:tcPr>
          <w:p>
            <w:r>
              <w:rPr>
                <w:b/>
                <w:bCs/>
                <w:color w:val="FFFFFF"/>
                <w:sz w:val="17"/>
                <w:szCs w:val="17"/>
              </w:rPr>
              <w:t xml:space="preserve">Speed</w:t>
            </w:r>
          </w:p>
        </w:tc>
        <w:tc>
          <w:tcPr>
            <w:tcW w:type="dxa" w:w="2100"/>
            <w:shd w:fill="1E3A5F" w:val="clear"/>
            <w:tcMar>
              <w:top w:type="dxa" w:w="100"/>
              <w:left w:type="dxa" w:w="100"/>
              <w:bottom w:type="dxa" w:w="100"/>
              <w:right w:type="dxa" w:w="100"/>
            </w:tcMar>
          </w:tcPr>
          <w:p>
            <w:r>
              <w:rPr>
                <w:b/>
                <w:bCs/>
                <w:color w:val="FFFFFF"/>
                <w:sz w:val="17"/>
                <w:szCs w:val="17"/>
              </w:rPr>
              <w:t xml:space="preserve">Financial impact</w:t>
            </w:r>
          </w:p>
        </w:tc>
        <w:tc>
          <w:tcPr>
            <w:tcW w:type="dxa" w:w="1600"/>
            <w:shd w:fill="1E3A5F" w:val="clear"/>
            <w:tcMar>
              <w:top w:type="dxa" w:w="100"/>
              <w:left w:type="dxa" w:w="100"/>
              <w:bottom w:type="dxa" w:w="100"/>
              <w:right w:type="dxa" w:w="100"/>
            </w:tcMar>
          </w:tcPr>
          <w:p>
            <w:r>
              <w:rPr>
                <w:b/>
                <w:bCs/>
                <w:color w:val="FFFFFF"/>
                <w:sz w:val="17"/>
                <w:szCs w:val="17"/>
              </w:rPr>
              <w:t xml:space="preserve">Effort</w:t>
            </w:r>
          </w:p>
        </w:tc>
        <w:tc>
          <w:tcPr>
            <w:tcW w:type="dxa" w:w="1226"/>
            <w:shd w:fill="1E3A5F" w:val="clear"/>
            <w:tcMar>
              <w:top w:type="dxa" w:w="100"/>
              <w:left w:type="dxa" w:w="100"/>
              <w:bottom w:type="dxa" w:w="100"/>
              <w:right w:type="dxa" w:w="100"/>
            </w:tcMar>
          </w:tcPr>
          <w:p>
            <w:r>
              <w:rPr>
                <w:b/>
                <w:bCs/>
                <w:color w:val="FFFFFF"/>
                <w:sz w:val="17"/>
                <w:szCs w:val="17"/>
              </w:rPr>
              <w:t xml:space="preserve">Category</w:t>
            </w:r>
          </w:p>
        </w:tc>
      </w:tr>
      <w:tr>
        <w:trPr>
          <w:cantSplit/>
        </w:trPr>
        <w:tc>
          <w:tcPr>
            <w:tcW w:type="dxa" w:w="2500"/>
            <w:tcMar>
              <w:top w:type="dxa" w:w="90"/>
              <w:left w:type="dxa" w:w="100"/>
              <w:bottom w:type="dxa" w:w="90"/>
              <w:right w:type="dxa" w:w="100"/>
            </w:tcMar>
          </w:tcPr>
          <w:p>
            <w:r>
              <w:rPr>
                <w:b/>
                <w:bCs/>
                <w:sz w:val="17"/>
                <w:szCs w:val="17"/>
              </w:rPr>
              <w:t xml:space="preserve">1. Eliminate standby drains (LED swap)</w:t>
            </w:r>
          </w:p>
        </w:tc>
        <w:tc>
          <w:tcPr>
            <w:tcW w:type="dxa" w:w="1600"/>
            <w:tcMar>
              <w:top w:type="dxa" w:w="90"/>
              <w:left w:type="dxa" w:w="100"/>
              <w:bottom w:type="dxa" w:w="90"/>
              <w:right w:type="dxa" w:w="100"/>
            </w:tcMar>
          </w:tcPr>
          <w:p>
            <w:r>
              <w:rPr>
                <w:b w:val="false"/>
                <w:bCs w:val="false"/>
                <w:sz w:val="17"/>
                <w:szCs w:val="17"/>
              </w:rPr>
              <w:t xml:space="preserve">Immediate (1 day)</w:t>
            </w:r>
          </w:p>
        </w:tc>
        <w:tc>
          <w:tcPr>
            <w:tcW w:type="dxa" w:w="2100"/>
            <w:tcMar>
              <w:top w:type="dxa" w:w="90"/>
              <w:left w:type="dxa" w:w="100"/>
              <w:bottom w:type="dxa" w:w="90"/>
              <w:right w:type="dxa" w:w="100"/>
            </w:tcMar>
          </w:tcPr>
          <w:p>
            <w:r>
              <w:rPr>
                <w:b w:val="false"/>
                <w:bCs w:val="false"/>
                <w:sz w:val="17"/>
                <w:szCs w:val="17"/>
              </w:rPr>
              <w:t xml:space="preserve">High (€100+/year)</w:t>
            </w:r>
          </w:p>
        </w:tc>
        <w:tc>
          <w:tcPr>
            <w:tcW w:type="dxa" w:w="1600"/>
            <w:tcMar>
              <w:top w:type="dxa" w:w="90"/>
              <w:left w:type="dxa" w:w="100"/>
              <w:bottom w:type="dxa" w:w="90"/>
              <w:right w:type="dxa" w:w="100"/>
            </w:tcMar>
          </w:tcPr>
          <w:p>
            <w:r>
              <w:rPr>
                <w:b w:val="false"/>
                <w:bCs w:val="false"/>
                <w:sz w:val="17"/>
                <w:szCs w:val="17"/>
              </w:rPr>
              <w:t xml:space="preserve">Very low</w:t>
            </w:r>
          </w:p>
        </w:tc>
        <w:tc>
          <w:tcPr>
            <w:tcW w:type="dxa" w:w="1226"/>
            <w:tcMar>
              <w:top w:type="dxa" w:w="90"/>
              <w:left w:type="dxa" w:w="100"/>
              <w:bottom w:type="dxa" w:w="90"/>
              <w:right w:type="dxa" w:w="100"/>
            </w:tcMar>
          </w:tcPr>
          <w:p>
            <w:r>
              <w:rPr>
                <w:b w:val="false"/>
                <w:bCs w:val="false"/>
                <w:sz w:val="17"/>
                <w:szCs w:val="17"/>
              </w:rPr>
              <w:t xml:space="preserve">Electricity</w:t>
            </w:r>
          </w:p>
        </w:tc>
      </w:tr>
      <w:tr>
        <w:trPr>
          <w:cantSplit/>
        </w:trPr>
        <w:tc>
          <w:tcPr>
            <w:tcW w:type="dxa" w:w="2500"/>
            <w:tcMar>
              <w:top w:type="dxa" w:w="90"/>
              <w:left w:type="dxa" w:w="100"/>
              <w:bottom w:type="dxa" w:w="90"/>
              <w:right w:type="dxa" w:w="100"/>
            </w:tcMar>
          </w:tcPr>
          <w:p>
            <w:r>
              <w:rPr>
                <w:b/>
                <w:bCs/>
                <w:sz w:val="17"/>
                <w:szCs w:val="17"/>
              </w:rPr>
              <w:t xml:space="preserve">2. Cancel/switch bills &amp; subscriptions</w:t>
            </w:r>
          </w:p>
        </w:tc>
        <w:tc>
          <w:tcPr>
            <w:tcW w:type="dxa" w:w="1600"/>
            <w:tcMar>
              <w:top w:type="dxa" w:w="90"/>
              <w:left w:type="dxa" w:w="100"/>
              <w:bottom w:type="dxa" w:w="90"/>
              <w:right w:type="dxa" w:w="100"/>
            </w:tcMar>
          </w:tcPr>
          <w:p>
            <w:r>
              <w:rPr>
                <w:b w:val="false"/>
                <w:bCs w:val="false"/>
                <w:sz w:val="17"/>
                <w:szCs w:val="17"/>
              </w:rPr>
              <w:t xml:space="preserve">Fast (1–2 days)</w:t>
            </w:r>
          </w:p>
        </w:tc>
        <w:tc>
          <w:tcPr>
            <w:tcW w:type="dxa" w:w="2100"/>
            <w:tcMar>
              <w:top w:type="dxa" w:w="90"/>
              <w:left w:type="dxa" w:w="100"/>
              <w:bottom w:type="dxa" w:w="90"/>
              <w:right w:type="dxa" w:w="100"/>
            </w:tcMar>
          </w:tcPr>
          <w:p>
            <w:r>
              <w:rPr>
                <w:b w:val="false"/>
                <w:bCs w:val="false"/>
                <w:sz w:val="17"/>
                <w:szCs w:val="17"/>
              </w:rPr>
              <w:t xml:space="preserve">Very high (€300–500/year)</w:t>
            </w:r>
          </w:p>
        </w:tc>
        <w:tc>
          <w:tcPr>
            <w:tcW w:type="dxa" w:w="1600"/>
            <w:tcMar>
              <w:top w:type="dxa" w:w="90"/>
              <w:left w:type="dxa" w:w="100"/>
              <w:bottom w:type="dxa" w:w="90"/>
              <w:right w:type="dxa" w:w="100"/>
            </w:tcMar>
          </w:tcPr>
          <w:p>
            <w:r>
              <w:rPr>
                <w:b w:val="false"/>
                <w:bCs w:val="false"/>
                <w:sz w:val="17"/>
                <w:szCs w:val="17"/>
              </w:rPr>
              <w:t xml:space="preserve">Low</w:t>
            </w:r>
          </w:p>
        </w:tc>
        <w:tc>
          <w:tcPr>
            <w:tcW w:type="dxa" w:w="1226"/>
            <w:tcMar>
              <w:top w:type="dxa" w:w="90"/>
              <w:left w:type="dxa" w:w="100"/>
              <w:bottom w:type="dxa" w:w="90"/>
              <w:right w:type="dxa" w:w="100"/>
            </w:tcMar>
          </w:tcPr>
          <w:p>
            <w:r>
              <w:rPr>
                <w:b w:val="false"/>
                <w:bCs w:val="false"/>
                <w:sz w:val="17"/>
                <w:szCs w:val="17"/>
              </w:rPr>
              <w:t xml:space="preserve">Subscriptions</w:t>
            </w:r>
          </w:p>
        </w:tc>
      </w:tr>
      <w:tr>
        <w:trPr>
          <w:cantSplit/>
        </w:trPr>
        <w:tc>
          <w:tcPr>
            <w:tcW w:type="dxa" w:w="2500"/>
            <w:tcMar>
              <w:top w:type="dxa" w:w="90"/>
              <w:left w:type="dxa" w:w="100"/>
              <w:bottom w:type="dxa" w:w="90"/>
              <w:right w:type="dxa" w:w="100"/>
            </w:tcMar>
          </w:tcPr>
          <w:p>
            <w:r>
              <w:rPr>
                <w:b/>
                <w:bCs/>
                <w:sz w:val="17"/>
                <w:szCs w:val="17"/>
              </w:rPr>
              <w:t xml:space="preserve">3. Share wifi &amp; subscriptions with neighbours</w:t>
            </w:r>
          </w:p>
        </w:tc>
        <w:tc>
          <w:tcPr>
            <w:tcW w:type="dxa" w:w="1600"/>
            <w:tcMar>
              <w:top w:type="dxa" w:w="90"/>
              <w:left w:type="dxa" w:w="100"/>
              <w:bottom w:type="dxa" w:w="90"/>
              <w:right w:type="dxa" w:w="100"/>
            </w:tcMar>
          </w:tcPr>
          <w:p>
            <w:r>
              <w:rPr>
                <w:b w:val="false"/>
                <w:bCs w:val="false"/>
                <w:sz w:val="17"/>
                <w:szCs w:val="17"/>
              </w:rPr>
              <w:t xml:space="preserve">Moderate (1 week)</w:t>
            </w:r>
          </w:p>
        </w:tc>
        <w:tc>
          <w:tcPr>
            <w:tcW w:type="dxa" w:w="2100"/>
            <w:tcMar>
              <w:top w:type="dxa" w:w="90"/>
              <w:left w:type="dxa" w:w="100"/>
              <w:bottom w:type="dxa" w:w="90"/>
              <w:right w:type="dxa" w:w="100"/>
            </w:tcMar>
          </w:tcPr>
          <w:p>
            <w:r>
              <w:rPr>
                <w:b w:val="false"/>
                <w:bCs w:val="false"/>
                <w:sz w:val="17"/>
                <w:szCs w:val="17"/>
              </w:rPr>
              <w:t xml:space="preserve">High (approx. €300/year)</w:t>
            </w:r>
          </w:p>
        </w:tc>
        <w:tc>
          <w:tcPr>
            <w:tcW w:type="dxa" w:w="1600"/>
            <w:tcMar>
              <w:top w:type="dxa" w:w="90"/>
              <w:left w:type="dxa" w:w="100"/>
              <w:bottom w:type="dxa" w:w="90"/>
              <w:right w:type="dxa" w:w="100"/>
            </w:tcMar>
          </w:tcPr>
          <w:p>
            <w:r>
              <w:rPr>
                <w:b w:val="false"/>
                <w:bCs w:val="false"/>
                <w:sz w:val="17"/>
                <w:szCs w:val="17"/>
              </w:rPr>
              <w:t xml:space="preserve">Some coordination</w:t>
            </w:r>
          </w:p>
        </w:tc>
        <w:tc>
          <w:tcPr>
            <w:tcW w:type="dxa" w:w="1226"/>
            <w:tcMar>
              <w:top w:type="dxa" w:w="90"/>
              <w:left w:type="dxa" w:w="100"/>
              <w:bottom w:type="dxa" w:w="90"/>
              <w:right w:type="dxa" w:w="100"/>
            </w:tcMar>
          </w:tcPr>
          <w:p>
            <w:r>
              <w:rPr>
                <w:b w:val="false"/>
                <w:bCs w:val="false"/>
                <w:sz w:val="17"/>
                <w:szCs w:val="17"/>
              </w:rPr>
              <w:t xml:space="preserve">Housing</w:t>
            </w:r>
          </w:p>
        </w:tc>
      </w:tr>
      <w:tr>
        <w:trPr>
          <w:cantSplit/>
        </w:trPr>
        <w:tc>
          <w:tcPr>
            <w:tcW w:type="dxa" w:w="2500"/>
            <w:tcMar>
              <w:top w:type="dxa" w:w="90"/>
              <w:left w:type="dxa" w:w="100"/>
              <w:bottom w:type="dxa" w:w="90"/>
              <w:right w:type="dxa" w:w="100"/>
            </w:tcMar>
          </w:tcPr>
          <w:p>
            <w:r>
              <w:rPr>
                <w:b/>
                <w:bCs/>
                <w:sz w:val="17"/>
                <w:szCs w:val="17"/>
              </w:rPr>
              <w:t xml:space="preserve">4. Switch gym for a garage setup</w:t>
            </w:r>
          </w:p>
        </w:tc>
        <w:tc>
          <w:tcPr>
            <w:tcW w:type="dxa" w:w="1600"/>
            <w:tcMar>
              <w:top w:type="dxa" w:w="90"/>
              <w:left w:type="dxa" w:w="100"/>
              <w:bottom w:type="dxa" w:w="90"/>
              <w:right w:type="dxa" w:w="100"/>
            </w:tcMar>
          </w:tcPr>
          <w:p>
            <w:r>
              <w:rPr>
                <w:b w:val="false"/>
                <w:bCs w:val="false"/>
                <w:sz w:val="17"/>
                <w:szCs w:val="17"/>
              </w:rPr>
              <w:t xml:space="preserve">Moderate (1–2 weeks)</w:t>
            </w:r>
          </w:p>
        </w:tc>
        <w:tc>
          <w:tcPr>
            <w:tcW w:type="dxa" w:w="2100"/>
            <w:tcMar>
              <w:top w:type="dxa" w:w="90"/>
              <w:left w:type="dxa" w:w="100"/>
              <w:bottom w:type="dxa" w:w="90"/>
              <w:right w:type="dxa" w:w="100"/>
            </w:tcMar>
          </w:tcPr>
          <w:p>
            <w:r>
              <w:rPr>
                <w:b w:val="false"/>
                <w:bCs w:val="false"/>
                <w:sz w:val="17"/>
                <w:szCs w:val="17"/>
              </w:rPr>
              <w:t xml:space="preserve">High (€150–500/year)</w:t>
            </w:r>
          </w:p>
        </w:tc>
        <w:tc>
          <w:tcPr>
            <w:tcW w:type="dxa" w:w="1600"/>
            <w:tcMar>
              <w:top w:type="dxa" w:w="90"/>
              <w:left w:type="dxa" w:w="100"/>
              <w:bottom w:type="dxa" w:w="90"/>
              <w:right w:type="dxa" w:w="100"/>
            </w:tcMar>
          </w:tcPr>
          <w:p>
            <w:r>
              <w:rPr>
                <w:b w:val="false"/>
                <w:bCs w:val="false"/>
                <w:sz w:val="17"/>
                <w:szCs w:val="17"/>
              </w:rPr>
              <w:t xml:space="preserve">Medium</w:t>
            </w:r>
          </w:p>
        </w:tc>
        <w:tc>
          <w:tcPr>
            <w:tcW w:type="dxa" w:w="1226"/>
            <w:tcMar>
              <w:top w:type="dxa" w:w="90"/>
              <w:left w:type="dxa" w:w="100"/>
              <w:bottom w:type="dxa" w:w="90"/>
              <w:right w:type="dxa" w:w="100"/>
            </w:tcMar>
          </w:tcPr>
          <w:p>
            <w:r>
              <w:rPr>
                <w:b w:val="false"/>
                <w:bCs w:val="false"/>
                <w:sz w:val="17"/>
                <w:szCs w:val="17"/>
              </w:rPr>
              <w:t xml:space="preserve">Leisure</w:t>
            </w:r>
          </w:p>
        </w:tc>
      </w:tr>
      <w:tr>
        <w:trPr>
          <w:cantSplit/>
        </w:trPr>
        <w:tc>
          <w:tcPr>
            <w:tcW w:type="dxa" w:w="2500"/>
            <w:tcMar>
              <w:top w:type="dxa" w:w="90"/>
              <w:left w:type="dxa" w:w="100"/>
              <w:bottom w:type="dxa" w:w="90"/>
              <w:right w:type="dxa" w:w="100"/>
            </w:tcMar>
          </w:tcPr>
          <w:p>
            <w:r>
              <w:rPr>
                <w:b/>
                <w:bCs/>
                <w:sz w:val="17"/>
                <w:szCs w:val="17"/>
              </w:rPr>
              <w:t xml:space="preserve">5. Balcony/fence solar power plant</w:t>
            </w:r>
          </w:p>
        </w:tc>
        <w:tc>
          <w:tcPr>
            <w:tcW w:type="dxa" w:w="1600"/>
            <w:tcMar>
              <w:top w:type="dxa" w:w="90"/>
              <w:left w:type="dxa" w:w="100"/>
              <w:bottom w:type="dxa" w:w="90"/>
              <w:right w:type="dxa" w:w="100"/>
            </w:tcMar>
          </w:tcPr>
          <w:p>
            <w:r>
              <w:rPr>
                <w:b w:val="false"/>
                <w:bCs w:val="false"/>
                <w:sz w:val="17"/>
                <w:szCs w:val="17"/>
              </w:rPr>
              <w:t xml:space="preserve">Moderate (1–2 weeks)</w:t>
            </w:r>
          </w:p>
        </w:tc>
        <w:tc>
          <w:tcPr>
            <w:tcW w:type="dxa" w:w="2100"/>
            <w:tcMar>
              <w:top w:type="dxa" w:w="90"/>
              <w:left w:type="dxa" w:w="100"/>
              <w:bottom w:type="dxa" w:w="90"/>
              <w:right w:type="dxa" w:w="100"/>
            </w:tcMar>
          </w:tcPr>
          <w:p>
            <w:r>
              <w:rPr>
                <w:b w:val="false"/>
                <w:bCs w:val="false"/>
                <w:sz w:val="17"/>
                <w:szCs w:val="17"/>
              </w:rPr>
              <w:t xml:space="preserve">Very high (ongoing)</w:t>
            </w:r>
          </w:p>
        </w:tc>
        <w:tc>
          <w:tcPr>
            <w:tcW w:type="dxa" w:w="1600"/>
            <w:tcMar>
              <w:top w:type="dxa" w:w="90"/>
              <w:left w:type="dxa" w:w="100"/>
              <w:bottom w:type="dxa" w:w="90"/>
              <w:right w:type="dxa" w:w="100"/>
            </w:tcMar>
          </w:tcPr>
          <w:p>
            <w:r>
              <w:rPr>
                <w:b w:val="false"/>
                <w:bCs w:val="false"/>
                <w:sz w:val="17"/>
                <w:szCs w:val="17"/>
              </w:rPr>
              <w:t xml:space="preserve">One-time technical</w:t>
            </w:r>
          </w:p>
        </w:tc>
        <w:tc>
          <w:tcPr>
            <w:tcW w:type="dxa" w:w="1226"/>
            <w:tcMar>
              <w:top w:type="dxa" w:w="90"/>
              <w:left w:type="dxa" w:w="100"/>
              <w:bottom w:type="dxa" w:w="90"/>
              <w:right w:type="dxa" w:w="100"/>
            </w:tcMar>
          </w:tcPr>
          <w:p>
            <w:r>
              <w:rPr>
                <w:b w:val="false"/>
                <w:bCs w:val="false"/>
                <w:sz w:val="17"/>
                <w:szCs w:val="17"/>
              </w:rPr>
              <w:t xml:space="preserve">Electricity</w:t>
            </w:r>
          </w:p>
        </w:tc>
      </w:tr>
      <w:tr>
        <w:trPr>
          <w:cantSplit/>
        </w:trPr>
        <w:tc>
          <w:tcPr>
            <w:tcW w:type="dxa" w:w="2500"/>
            <w:tcMar>
              <w:top w:type="dxa" w:w="90"/>
              <w:left w:type="dxa" w:w="100"/>
              <w:bottom w:type="dxa" w:w="90"/>
              <w:right w:type="dxa" w:w="100"/>
            </w:tcMar>
          </w:tcPr>
          <w:p>
            <w:r>
              <w:rPr>
                <w:b/>
                <w:bCs/>
                <w:sz w:val="17"/>
                <w:szCs w:val="17"/>
              </w:rPr>
              <w:t xml:space="preserve">6. Seasonal bulk buying from the farmer</w:t>
            </w:r>
          </w:p>
        </w:tc>
        <w:tc>
          <w:tcPr>
            <w:tcW w:type="dxa" w:w="1600"/>
            <w:tcMar>
              <w:top w:type="dxa" w:w="90"/>
              <w:left w:type="dxa" w:w="100"/>
              <w:bottom w:type="dxa" w:w="90"/>
              <w:right w:type="dxa" w:w="100"/>
            </w:tcMar>
          </w:tcPr>
          <w:p>
            <w:r>
              <w:rPr>
                <w:b w:val="false"/>
                <w:bCs w:val="false"/>
                <w:sz w:val="17"/>
                <w:szCs w:val="17"/>
              </w:rPr>
              <w:t xml:space="preserve">Slow (ongoing)</w:t>
            </w:r>
          </w:p>
        </w:tc>
        <w:tc>
          <w:tcPr>
            <w:tcW w:type="dxa" w:w="2100"/>
            <w:tcMar>
              <w:top w:type="dxa" w:w="90"/>
              <w:left w:type="dxa" w:w="100"/>
              <w:bottom w:type="dxa" w:w="90"/>
              <w:right w:type="dxa" w:w="100"/>
            </w:tcMar>
          </w:tcPr>
          <w:p>
            <w:r>
              <w:rPr>
                <w:b w:val="false"/>
                <w:bCs w:val="false"/>
                <w:sz w:val="17"/>
                <w:szCs w:val="17"/>
              </w:rPr>
              <w:t xml:space="preserve">Medium (monthly)</w:t>
            </w:r>
          </w:p>
        </w:tc>
        <w:tc>
          <w:tcPr>
            <w:tcW w:type="dxa" w:w="1600"/>
            <w:tcMar>
              <w:top w:type="dxa" w:w="90"/>
              <w:left w:type="dxa" w:w="100"/>
              <w:bottom w:type="dxa" w:w="90"/>
              <w:right w:type="dxa" w:w="100"/>
            </w:tcMar>
          </w:tcPr>
          <w:p>
            <w:r>
              <w:rPr>
                <w:b w:val="false"/>
                <w:bCs w:val="false"/>
                <w:sz w:val="17"/>
                <w:szCs w:val="17"/>
              </w:rPr>
              <w:t xml:space="preserve">Logistics effort</w:t>
            </w:r>
          </w:p>
        </w:tc>
        <w:tc>
          <w:tcPr>
            <w:tcW w:type="dxa" w:w="1226"/>
            <w:tcMar>
              <w:top w:type="dxa" w:w="90"/>
              <w:left w:type="dxa" w:w="100"/>
              <w:bottom w:type="dxa" w:w="90"/>
              <w:right w:type="dxa" w:w="100"/>
            </w:tcMar>
          </w:tcPr>
          <w:p>
            <w:r>
              <w:rPr>
                <w:b w:val="false"/>
                <w:bCs w:val="false"/>
                <w:sz w:val="17"/>
                <w:szCs w:val="17"/>
              </w:rPr>
              <w:t xml:space="preserve">Food</w:t>
            </w:r>
          </w:p>
        </w:tc>
      </w:tr>
    </w:tbl>
    <w:p>
      <w:r>
        <w:br w:type="page"/>
      </w:r>
    </w:p>
    <w:p>
      <w:pPr>
        <w:pStyle w:val="Heading1"/>
        <w:spacing w:after="240" w:before="480"/>
      </w:pPr>
      <w:r>
        <w:t xml:space="preserve">Conclusion: The System Works for You</w:t>
      </w:r>
    </w:p>
    <w:p>
      <w:pPr>
        <w:spacing w:after="260" w:line="340"/>
        <w:jc w:val="both"/>
      </w:pPr>
      <w:r>
        <w:t xml:space="preserve">Financial freedom and a healthy bank balance aren't a matter of luck, and they don't require permanent self-denial. By building your personal control centre in a spreadsheet, keeping an eye on deadlines, using technological innovations like fence solar, and acting collectively with your neighbours, you beat the system at its own game. Start your 2-month experiment today!</w:t>
      </w:r>
    </w:p>
    <w:p>
      <w:r>
        <w:br w:type="page"/>
      </w:r>
    </w:p>
    <w:p>
      <w:pPr>
        <w:pStyle w:val="Heading1"/>
        <w:spacing w:after="240" w:before="480"/>
      </w:pPr>
      <w:r>
        <w:t xml:space="preserve">Appendix: Step-by-Step Guide for Your Spreadsheet</w:t>
      </w:r>
    </w:p>
    <w:p>
      <w:pPr>
        <w:spacing w:after="260" w:line="340"/>
        <w:jc w:val="both"/>
      </w:pPr>
      <w:r>
        <w:t xml:space="preserve">To make sure your digital control centre runs smoothly, here's the exact structure of the three key tabs, along with the formulas for your automated deadline radar.</w:t>
      </w:r>
    </w:p>
    <w:p>
      <w:pPr>
        <w:pStyle w:val="Heading2"/>
        <w:spacing w:after="160" w:before="320"/>
      </w:pPr>
      <w:r>
        <w:t xml:space="preserve">1. Setting Up the Spreadsheet Tabs</w:t>
      </w:r>
    </w:p>
    <w:p>
      <w:pPr>
        <w:pStyle w:val="Heading3"/>
        <w:spacing w:after="100" w:before="200"/>
      </w:pPr>
      <w:r>
        <w:t xml:space="preserve">Tab 1: “Fixed-Cost Radar”</w:t>
      </w:r>
    </w:p>
    <w:p>
      <w:pPr>
        <w:spacing w:after="260" w:line="340"/>
        <w:jc w:val="both"/>
      </w:pPr>
      <w:r>
        <w:t xml:space="preserve">This tab tracks the big, recurring contracts and irregular charges (vehicle tax, insurance, etc.).</w:t>
      </w:r>
    </w:p>
    <w:p>
      <w:pPr>
        <w:pStyle w:val="ListParagraph"/>
        <w:numPr>
          <w:ilvl w:val="0"/>
          <w:numId w:val="2"/>
        </w:numPr>
        <w:spacing w:after="120"/>
      </w:pPr>
      <w:r>
        <w:t xml:space="preserve">Column A: Contract / item (e.g. “Vehicle tax”)</w:t>
      </w:r>
    </w:p>
    <w:p>
      <w:pPr>
        <w:pStyle w:val="ListParagraph"/>
        <w:numPr>
          <w:ilvl w:val="0"/>
          <w:numId w:val="2"/>
        </w:numPr>
        <w:spacing w:after="120"/>
      </w:pPr>
      <w:r>
        <w:t xml:space="preserve">Column B: Interval (e.g. “Annual”)</w:t>
      </w:r>
    </w:p>
    <w:p>
      <w:pPr>
        <w:pStyle w:val="ListParagraph"/>
        <w:numPr>
          <w:ilvl w:val="0"/>
          <w:numId w:val="2"/>
        </w:numPr>
        <w:spacing w:after="120"/>
      </w:pPr>
      <w:r>
        <w:t xml:space="preserve">Column C: Amount</w:t>
      </w:r>
    </w:p>
    <w:p>
      <w:pPr>
        <w:pStyle w:val="ListParagraph"/>
        <w:numPr>
          <w:ilvl w:val="0"/>
          <w:numId w:val="2"/>
        </w:numPr>
        <w:spacing w:after="120"/>
      </w:pPr>
      <w:r>
        <w:t xml:space="preserve">Column D: Due month</w:t>
      </w:r>
    </w:p>
    <w:p>
      <w:pPr>
        <w:pStyle w:val="ListParagraph"/>
        <w:numPr>
          <w:ilvl w:val="0"/>
          <w:numId w:val="2"/>
        </w:numPr>
        <w:spacing w:after="120"/>
      </w:pPr>
      <w:r>
        <w:t xml:space="preserve">Column E: Status (“Standing order”/“Direct debit”)</w:t>
      </w:r>
    </w:p>
    <w:p>
      <w:pPr>
        <w:pStyle w:val="Heading3"/>
        <w:spacing w:after="100" w:before="200"/>
      </w:pPr>
      <w:r>
        <w:t xml:space="preserve">Tab 2: “Subscription Grave &amp; Cancellation Alarm”</w:t>
      </w:r>
    </w:p>
    <w:p>
      <w:pPr>
        <w:spacing w:after="260" w:line="340"/>
        <w:jc w:val="both"/>
      </w:pPr>
      <w:r>
        <w:t xml:space="preserve">Here you beat subscription traps with hard data. This section uses the automated warning function.</w:t>
      </w:r>
    </w:p>
    <w:p>
      <w:pPr>
        <w:pStyle w:val="ListParagraph"/>
        <w:numPr>
          <w:ilvl w:val="0"/>
          <w:numId w:val="2"/>
        </w:numPr>
        <w:spacing w:after="120"/>
      </w:pPr>
      <w:r>
        <w:t xml:space="preserve">Column A: Provider / service</w:t>
      </w:r>
    </w:p>
    <w:p>
      <w:pPr>
        <w:pStyle w:val="ListParagraph"/>
        <w:numPr>
          <w:ilvl w:val="0"/>
          <w:numId w:val="2"/>
        </w:numPr>
        <w:spacing w:after="120"/>
      </w:pPr>
      <w:r>
        <w:t xml:space="preserve">Column B: Monthly cost</w:t>
      </w:r>
    </w:p>
    <w:p>
      <w:pPr>
        <w:pStyle w:val="ListParagraph"/>
        <w:numPr>
          <w:ilvl w:val="0"/>
          <w:numId w:val="2"/>
        </w:numPr>
        <w:spacing w:after="120"/>
      </w:pPr>
      <w:r>
        <w:t xml:space="preserve">Column C: Contract runs until (DD/MM/YYYY)</w:t>
      </w:r>
    </w:p>
    <w:p>
      <w:pPr>
        <w:pStyle w:val="ListParagraph"/>
        <w:numPr>
          <w:ilvl w:val="0"/>
          <w:numId w:val="2"/>
        </w:numPr>
        <w:spacing w:after="120"/>
      </w:pPr>
      <w:r>
        <w:t xml:space="preserve">Column D: Notice period in months</w:t>
      </w:r>
    </w:p>
    <w:p>
      <w:pPr>
        <w:pStyle w:val="ListParagraph"/>
        <w:numPr>
          <w:ilvl w:val="0"/>
          <w:numId w:val="2"/>
        </w:numPr>
        <w:spacing w:after="120"/>
      </w:pPr>
      <w:r>
        <w:t xml:space="preserve">Column E: Latest cancellation date (Formula 1)</w:t>
      </w:r>
    </w:p>
    <w:p>
      <w:pPr>
        <w:pStyle w:val="ListParagraph"/>
        <w:numPr>
          <w:ilvl w:val="0"/>
          <w:numId w:val="2"/>
        </w:numPr>
        <w:spacing w:after="120"/>
      </w:pPr>
      <w:r>
        <w:t xml:space="preserve">Column F: Days until cancellation (Formula 2)</w:t>
      </w:r>
    </w:p>
    <w:p>
      <w:pPr>
        <w:pStyle w:val="Heading3"/>
        <w:spacing w:after="100" w:before="200"/>
      </w:pPr>
      <w:r>
        <w:t xml:space="preserve">Tab 3: “Bureaucracy &amp; Score Tracker”</w:t>
      </w:r>
    </w:p>
    <w:p>
      <w:pPr>
        <w:spacing w:after="260" w:line="340"/>
        <w:jc w:val="both"/>
      </w:pPr>
      <w:r>
        <w:t xml:space="preserve">A simple area to log your financial and legal standing once a year.</w:t>
      </w:r>
    </w:p>
    <w:p>
      <w:pPr>
        <w:pStyle w:val="ListParagraph"/>
        <w:numPr>
          <w:ilvl w:val="0"/>
          <w:numId w:val="2"/>
        </w:numPr>
        <w:spacing w:after="120"/>
      </w:pPr>
      <w:r>
        <w:t xml:space="preserve">Column A: Metric (e.g. “Credit score”)</w:t>
      </w:r>
    </w:p>
    <w:p>
      <w:pPr>
        <w:pStyle w:val="ListParagraph"/>
        <w:numPr>
          <w:ilvl w:val="0"/>
          <w:numId w:val="2"/>
        </w:numPr>
        <w:spacing w:after="120"/>
      </w:pPr>
      <w:r>
        <w:t xml:space="preserve">Column B: Current value</w:t>
      </w:r>
    </w:p>
    <w:p>
      <w:pPr>
        <w:pStyle w:val="ListParagraph"/>
        <w:numPr>
          <w:ilvl w:val="0"/>
          <w:numId w:val="2"/>
        </w:numPr>
        <w:spacing w:after="120"/>
      </w:pPr>
      <w:r>
        <w:t xml:space="preserve">Column C: Date last checked</w:t>
      </w:r>
    </w:p>
    <w:p>
      <w:pPr>
        <w:pStyle w:val="ListParagraph"/>
        <w:numPr>
          <w:ilvl w:val="0"/>
          <w:numId w:val="2"/>
        </w:numPr>
        <w:spacing w:after="120"/>
      </w:pPr>
      <w:r>
        <w:t xml:space="preserve">Column D: Link to free check</w:t>
      </w:r>
    </w:p>
    <w:p>
      <w:pPr>
        <w:pStyle w:val="Heading2"/>
        <w:spacing w:after="160" w:before="320"/>
      </w:pPr>
      <w:r>
        <w:t xml:space="preserve">2. The Spreadsheet Formulas for the Cancellation Alarm</w:t>
      </w:r>
    </w:p>
    <w:p>
      <w:pPr>
        <w:spacing w:after="260" w:line="340"/>
        <w:jc w:val="both"/>
      </w:pPr>
      <w:r>
        <w:t xml:space="preserve">Enter these formulas into the corresponding cell in row 2 of your spreadsheet and drag them down for every additional contract:</w:t>
      </w:r>
    </w:p>
    <w:p>
      <w:pPr>
        <w:pStyle w:val="Heading3"/>
        <w:spacing w:after="100" w:before="200"/>
      </w:pPr>
      <w:r>
        <w:t xml:space="preserve">Formula 1: Calculate the Latest Cancellation Date (Column E)</w:t>
      </w:r>
    </w:p>
    <w:p>
      <w:pPr>
        <w:spacing w:after="260" w:line="340"/>
        <w:jc w:val="both"/>
      </w:pPr>
      <w:r>
        <w:t xml:space="preserve">This formula takes the contract's end date (Column C) and automatically subtracts the notice period in months (Column D). You'll know immediately by which day your cancellation has to be on the provider's desk at the latest.</w:t>
      </w:r>
    </w:p>
    <w:p>
      <w:pPr>
        <w:spacing w:after="260" w:line="340"/>
        <w:jc w:val="both"/>
      </w:pPr>
      <w:r>
        <w:t xml:space="preserve">Formula: =EDATE(C2, -D2)</w:t>
      </w:r>
    </w:p>
    <w:p>
      <w:pPr>
        <w:spacing w:after="260" w:line="340"/>
        <w:jc w:val="both"/>
      </w:pPr>
      <w:r>
        <w:t xml:space="preserve">Note: make sure to format this column as a “Date” in your spreadsheet software.</w:t>
      </w:r>
    </w:p>
    <w:p>
      <w:pPr>
        <w:pStyle w:val="Heading3"/>
        <w:spacing w:after="100" w:before="200"/>
      </w:pPr>
      <w:r>
        <w:t xml:space="preserve">Formula 2: Countdown Days Until Cancellation (Column F)</w:t>
      </w:r>
    </w:p>
    <w:p>
      <w:pPr>
        <w:spacing w:after="260" w:line="340"/>
        <w:jc w:val="both"/>
      </w:pPr>
      <w:r>
        <w:t xml:space="preserve">This formula calculates, updated daily, how many days you have left to act.</w:t>
      </w:r>
    </w:p>
    <w:p>
      <w:pPr>
        <w:spacing w:after="260" w:line="340"/>
        <w:jc w:val="both"/>
      </w:pPr>
      <w:r>
        <w:t xml:space="preserve">Formula: =E2-TODAY()</w:t>
      </w:r>
    </w:p>
    <w:p>
      <w:pPr>
        <w:spacing w:after="260" w:line="340"/>
        <w:jc w:val="both"/>
      </w:pPr>
      <w:r>
        <w:t xml:space="preserve">Note: format this column as a “Number” (no decimal places). If the result is negative, you've already missed the deadline for this term.</w:t>
      </w:r>
    </w:p>
    <w:p>
      <w:pPr>
        <w:pStyle w:val="Heading2"/>
        <w:spacing w:after="160" w:before="320"/>
      </w:pPr>
      <w:r>
        <w:t xml:space="preserve">3. Setting Up the Traffic-Light Warning (Conditional Formatting)</w:t>
      </w:r>
    </w:p>
    <w:p>
      <w:pPr>
        <w:spacing w:after="260" w:line="340"/>
        <w:jc w:val="both"/>
      </w:pPr>
      <w:r>
        <w:t xml:space="preserve">To make sure critical deadlines catch your eye immediately, set up an automatic colour warning in Column F:</w:t>
      </w:r>
    </w:p>
    <w:p>
      <w:pPr>
        <w:pStyle w:val="ListParagraph"/>
        <w:numPr>
          <w:ilvl w:val="0"/>
          <w:numId w:val="2"/>
        </w:numPr>
        <w:spacing w:after="120"/>
      </w:pPr>
      <w:r>
        <w:t xml:space="preserve">Select the entire Column F.</w:t>
      </w:r>
    </w:p>
    <w:p>
      <w:pPr>
        <w:pStyle w:val="ListParagraph"/>
        <w:numPr>
          <w:ilvl w:val="0"/>
          <w:numId w:val="2"/>
        </w:numPr>
        <w:spacing w:after="120"/>
      </w:pPr>
      <w:r>
        <w:t xml:space="preserve">In the menu, go to Home → Conditional Formatting → New Rule.</w:t>
      </w:r>
    </w:p>
    <w:p>
      <w:pPr>
        <w:pStyle w:val="ListParagraph"/>
        <w:numPr>
          <w:ilvl w:val="0"/>
          <w:numId w:val="2"/>
        </w:numPr>
        <w:spacing w:after="120"/>
      </w:pPr>
      <w:r>
        <w:t xml:space="preserve">Choose: “Format only cells that contain”.</w:t>
      </w:r>
    </w:p>
    <w:p>
      <w:pPr>
        <w:pStyle w:val="ListParagraph"/>
        <w:numPr>
          <w:ilvl w:val="0"/>
          <w:numId w:val="2"/>
        </w:numPr>
        <w:spacing w:after="120"/>
      </w:pPr>
      <w:r>
        <w:t xml:space="preserve">Set the condition: Cell value → between → 0 and 30.</w:t>
      </w:r>
    </w:p>
    <w:p>
      <w:pPr>
        <w:pStyle w:val="ListParagraph"/>
        <w:numPr>
          <w:ilvl w:val="0"/>
          <w:numId w:val="2"/>
        </w:numPr>
        <w:spacing w:after="120"/>
      </w:pPr>
      <w:r>
        <w:t xml:space="preserve">Click Format, choose a red or orange warning colour under “Fill”, and confirm with OK.</w:t>
      </w:r>
    </w:p>
    <w:p>
      <w:pPr>
        <w:spacing w:after="260" w:line="340"/>
        <w:jc w:val="both"/>
      </w:pPr>
      <w:r>
        <w:t xml:space="preserve">The result: as soon as a contract is 30 days or less from its cancellation deadline, the row in your spreadsheet lights up automatically. Your deadline radar is live!</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1E3A5F" w:sz="12"/>
              <w:left w:val="single" w:color="1E3A5F" w:sz="24"/>
              <w:bottom w:val="single" w:color="1E3A5F" w:sz="12"/>
              <w:right w:val="single" w:color="1E3A5F" w:sz="12"/>
            </w:tcBorders>
            <w:shd w:fill="EAF1FB" w:val="clear"/>
            <w:tcMar>
              <w:top w:type="dxa" w:w="200"/>
              <w:left w:type="dxa" w:w="200"/>
              <w:bottom w:type="dxa" w:w="200"/>
              <w:right w:type="dxa" w:w="200"/>
            </w:tcMar>
          </w:tcPr>
          <w:p>
            <w:pPr>
              <w:spacing w:after="0"/>
            </w:pPr>
            <w:r>
              <w:rPr>
                <w:b/>
                <w:bCs/>
              </w:rPr>
              <w:t xml:space="preserve">This eBook is educational material reflecting personal experience and rules of thumb — not financial, tax, or technical advice. Prices, savings estimates, and legal frameworks (e.g. for balcony solar, cancellation periods, or data access requests) change over time — please check current sources and consult a professional before making concrete decisions. Research current as of: August 2026.</w:t>
            </w:r>
          </w:p>
        </w:tc>
      </w:tr>
    </w:tbl>
    <w:sectPr>
      <w:headerReference w:type="default" r:id="rId7"/>
      <w:footerReference w:type="default" r:id="rId8"/>
      <w:footerReference w:type="first" r:id="rId9"/>
      <w:pgSz w:w="11906" w:h="16838" w:orient="portrait"/>
      <w:pgMar w:top="1300" w:right="1400" w:bottom="1300" w:left="14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60" w:before="500"/>
    </w:pPr>
    <w:rPr>
      <w:rFonts w:ascii="Calibri" w:cs="Calibri" w:eastAsia="Calibri" w:hAnsi="Calibri"/>
      <w:b/>
      <w:bCs/>
      <w:color w:val="1E3A5F"/>
      <w:sz w:val="34"/>
      <w:szCs w:val="34"/>
    </w:rPr>
  </w:style>
  <w:style w:type="paragraph" w:styleId="Heading2">
    <w:name w:val="Heading 2"/>
    <w:basedOn w:val="Normal"/>
    <w:next w:val="Normal"/>
    <w:qFormat/>
    <w:pPr>
      <w:spacing w:after="180" w:before="340"/>
    </w:pPr>
    <w:rPr>
      <w:rFonts w:ascii="Calibri" w:cs="Calibri" w:eastAsia="Calibri" w:hAnsi="Calibri"/>
      <w:b/>
      <w:bCs/>
      <w:color w:val="1E3A5F"/>
      <w:sz w:val="28"/>
      <w:szCs w:val="28"/>
    </w:rPr>
  </w:style>
  <w:style w:type="paragraph" w:styleId="Heading3">
    <w:name w:val="Heading 3"/>
    <w:basedOn w:val="Normal"/>
    <w:next w:val="Normal"/>
    <w:qFormat/>
    <w:pPr>
      <w:spacing w:after="120" w:before="240"/>
    </w:pPr>
    <w:rPr>
      <w:rFonts w:ascii="Calibri" w:cs="Calibri" w:eastAsia="Calibri" w:hAnsi="Calibri"/>
      <w:b/>
      <w:bCs/>
      <w:color w:val="1E8E5A"/>
      <w:sz w:val="25"/>
      <w:szCs w:val="25"/>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13cfac267666dd79b56dd101bec1279d6c391c8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2026-08-10T12:18:22.632Z</dcterms:created>
  <dcterms:modified xsi:type="dcterms:W3CDTF">2026-08-10T12:18:22.633Z</dcterms:modified>
</cp:coreProperties>
</file>

<file path=docProps/custom.xml><?xml version="1.0" encoding="utf-8"?>
<Properties xmlns="http://schemas.openxmlformats.org/officeDocument/2006/custom-properties" xmlns:vt="http://schemas.openxmlformats.org/officeDocument/2006/docPropsVTypes"/>
</file>