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politechnika-wrocławska"/>
    <w:p>
      <w:pPr>
        <w:pStyle w:val="Heading1"/>
      </w:pPr>
      <w:r>
        <w:t xml:space="preserve">Politechnika Wrocławska</w:t>
      </w:r>
    </w:p>
    <w:bookmarkStart w:id="21" w:name="wydział-informatyki-i-telekomunikacji"/>
    <w:p>
      <w:pPr>
        <w:pStyle w:val="Heading2"/>
      </w:pPr>
      <w:r>
        <w:t xml:space="preserve">Wydział Informatyki i Telekomunikacji</w:t>
      </w:r>
    </w:p>
    <w:bookmarkStart w:id="20" w:name="Xeead440eeca9520ee4ccb478b307cef71f3df6a"/>
    <w:p>
      <w:pPr>
        <w:pStyle w:val="Heading3"/>
      </w:pPr>
      <w:r>
        <w:t xml:space="preserve">Studia Podyplomowe: Data Science - Analiza danych od podstaw</w:t>
      </w:r>
    </w:p>
    <w:bookmarkEnd w:id="20"/>
    <w:bookmarkEnd w:id="21"/>
    <w:bookmarkEnd w:id="22"/>
    <w:bookmarkStart w:id="23" w:name="Xf8f0400d7c669d2063d0761e1e1e56b50f15153"/>
    <w:p>
      <w:pPr>
        <w:pStyle w:val="Heading1"/>
      </w:pPr>
      <w:r>
        <w:t xml:space="preserve">Maksymalizacja efektywności spektralnej w sieciach 5G/6G Massive MIMO przy pomocy predykcji wiązki w dziedzinie przestrzeni</w:t>
      </w:r>
    </w:p>
    <w:p>
      <w:pPr>
        <w:pStyle w:val="FirstParagraph"/>
      </w:pPr>
      <w:r>
        <w:rPr>
          <w:b/>
          <w:bCs/>
        </w:rPr>
        <w:t xml:space="preserve">Autor:</w:t>
      </w:r>
      <w:r>
        <w:t xml:space="preserve"> </w:t>
      </w:r>
      <w:r>
        <w:t xml:space="preserve">[Imię i Nazwisko]</w:t>
      </w:r>
      <w:r>
        <w:br/>
      </w:r>
      <w:r>
        <w:rPr>
          <w:b/>
          <w:bCs/>
        </w:rPr>
        <w:t xml:space="preserve">Numer albumu / słuchacza:</w:t>
      </w:r>
      <w:r>
        <w:t xml:space="preserve"> </w:t>
      </w:r>
      <w:r>
        <w:t xml:space="preserve">[Numer]</w:t>
      </w:r>
      <w:r>
        <w:br/>
      </w:r>
      <w:r>
        <w:rPr>
          <w:b/>
          <w:bCs/>
        </w:rPr>
        <w:t xml:space="preserve">Kierownik / Opiekun pracy:</w:t>
      </w:r>
      <w:r>
        <w:t xml:space="preserve"> </w:t>
      </w:r>
      <w:r>
        <w:t xml:space="preserve">[Tytuł, Imię i Nazwisko Opiekuna]</w:t>
      </w:r>
    </w:p>
    <w:p>
      <w:pPr>
        <w:pStyle w:val="BodyText"/>
      </w:pPr>
      <w:r>
        <w:rPr>
          <w:b/>
          <w:bCs/>
        </w:rPr>
        <w:t xml:space="preserve">Wrocław, [Rok]</w:t>
      </w:r>
    </w:p>
    <w:p>
      <w:r>
        <w:br w:type="page"/>
      </w:r>
    </w:p>
    <w:bookmarkEnd w:id="23"/>
    <w:bookmarkStart w:id="24" w:name="streszczenie"/>
    <w:p>
      <w:pPr>
        <w:pStyle w:val="Heading1"/>
      </w:pPr>
      <w:r>
        <w:t xml:space="preserve">Streszczenie</w:t>
      </w:r>
    </w:p>
    <w:p>
      <w:pPr>
        <w:pStyle w:val="FirstParagraph"/>
      </w:pPr>
      <w:r>
        <w:t xml:space="preserve">Problem [opis do zrobienia]</w:t>
      </w:r>
      <w:r>
        <w:t xml:space="preserve"> </w:t>
      </w:r>
      <w:r>
        <w:t xml:space="preserve">Dane [opis do zrobienia]</w:t>
      </w:r>
      <w:r>
        <w:t xml:space="preserve"> </w:t>
      </w:r>
      <w:r>
        <w:t xml:space="preserve">Metoda [opis do zrobienia]</w:t>
      </w:r>
      <w:r>
        <w:t xml:space="preserve"> </w:t>
      </w:r>
      <w:r>
        <w:t xml:space="preserve">Główny wynik liczbowy [opis do zrobienia]</w:t>
      </w:r>
      <w:r>
        <w:t xml:space="preserve"> </w:t>
      </w:r>
      <w:r>
        <w:t xml:space="preserve">Kluczowy wniosek [opis do zrobienia]</w:t>
      </w:r>
    </w:p>
    <w:p>
      <w:pPr>
        <w:pStyle w:val="BodyText"/>
      </w:pPr>
      <w:r>
        <w:rPr>
          <w:b/>
          <w:bCs/>
        </w:rPr>
        <w:t xml:space="preserve">Słowa kluczowe:</w:t>
      </w:r>
      <w:r>
        <w:t xml:space="preserve"> </w:t>
      </w:r>
      <w:r>
        <w:t xml:space="preserve">Data Science, Uczenie Maszynowe</w:t>
      </w:r>
    </w:p>
    <w:p>
      <w:r>
        <w:br w:type="page"/>
      </w:r>
    </w:p>
    <w:bookmarkEnd w:id="24"/>
    <w:bookmarkStart w:id="28" w:name="wstęp"/>
    <w:p>
      <w:pPr>
        <w:pStyle w:val="Heading1"/>
      </w:pPr>
      <w:r>
        <w:t xml:space="preserve">1. Wstęp</w:t>
      </w:r>
    </w:p>
    <w:bookmarkStart w:id="25" w:name="kontekst-i-uzasadnienie-tematu"/>
    <w:p>
      <w:pPr>
        <w:pStyle w:val="Heading2"/>
      </w:pPr>
      <w:r>
        <w:t xml:space="preserve">1.1. Kontekst i uzasadnienie tematu</w:t>
      </w:r>
    </w:p>
    <w:p>
      <w:pPr>
        <w:pStyle w:val="FirstParagraph"/>
      </w:pPr>
      <w:r>
        <w:t xml:space="preserve">Operatorzy telekomunikacyjni (ang. Communication Service Providers, CSP) działają na silnie konkurencyjnym rynku, który wymaga ciągłej redukcji kosztów. Jednym z największych kosztów operatorów jest pozyskanie pasma w aukcjach krajowych</w:t>
      </w:r>
      <w:r>
        <w:t xml:space="preserve"> </w:t>
      </w:r>
      <w:r>
        <w:t xml:space="preserve">(Garbellini, Bahia, and Castells 2018)</w:t>
      </w:r>
      <w:r>
        <w:t xml:space="preserve">. Efektywne wykorzystanie tego zasobu decyduje o przewadze konkurencyjnej na rynku usług telekomunikacyjnych. Miarą efektywności użycia pasma jest efektywność spektralna (ang. spectral efficiency), która definiowana jest jako przepływność binarna (liczba przesłanych bitów na sekundę) przypadająca na jednostkę szerokości pasma [bit/s/Hz].</w:t>
      </w:r>
    </w:p>
    <w:p>
      <w:pPr>
        <w:pStyle w:val="BodyText"/>
      </w:pPr>
      <w:r>
        <w:t xml:space="preserve">W celu poprawy efektywności spektralnej operatorzy stosują w sieciach komórkowych technologię Massive MIMO (ang. Multiple Input Multiple Output), która wykorzystuje macierze antenowe o liczbie elementów znacznie przekraczającej liczbę jednocześnie obsługiwanych użytkowników. Dzięki zwielokrotnieniu przestrzennemu (ang. spatial multiplexing) możliwa jest jednoczesna transmisja do wielu użytkowników w tym samym zasobie częstotliwościowym i czasowym, co bezpośrednio zwiększa efektywność spektralną systemu</w:t>
      </w:r>
      <w:r>
        <w:t xml:space="preserve"> </w:t>
      </w:r>
      <w:r>
        <w:t xml:space="preserve">(Marzetta 2010; Björnson, Hoydis, and Sanguinetti 2017)</w:t>
      </w:r>
      <w:r>
        <w:t xml:space="preserve">.</w:t>
      </w:r>
    </w:p>
    <w:p>
      <w:pPr>
        <w:pStyle w:val="BodyText"/>
      </w:pPr>
      <w:r>
        <w:t xml:space="preserve">Organizacja 3GPP (ang. 3rd Generation Partnership Project) przeanalizowała zastosowanie uczenia maszynowego w interfejsie radiowym 5G, m.in. do predykcji wiązki przy ograniczonej liczbie pomiarów, co pozwala zmniejszyć narzut sygnalizacyjny i podnieść efektywność spektralną</w:t>
      </w:r>
      <w:r>
        <w:t xml:space="preserve"> </w:t>
      </w:r>
      <w:r>
        <w:t xml:space="preserve">(3GPP 2024)</w:t>
      </w:r>
      <w:r>
        <w:t xml:space="preserve">.</w:t>
      </w:r>
    </w:p>
    <w:p>
      <w:pPr>
        <w:pStyle w:val="BodyText"/>
      </w:pPr>
      <w:r>
        <w:t xml:space="preserve">Alkhateeb i in.</w:t>
      </w:r>
      <w:r>
        <w:t xml:space="preserve"> </w:t>
      </w:r>
      <w:r>
        <w:t xml:space="preserve">(Ahmed Alkhateeb et al. 2018)</w:t>
      </w:r>
      <w:r>
        <w:t xml:space="preserve"> </w:t>
      </w:r>
      <w:r>
        <w:t xml:space="preserve">zaproponowali architekturę skoordynowanego kształtowania wiązki z wykorzystaniem głębokich sieci neuronowych dla systemów fal milimetrowych, która pozwala na znaczne ograniczenie narzutu pilotowego. Niniejsza praca nawiązuje do tej metodyki, stanowiąc jej replikację i próbę optymalizacji w wybranym scenariuszu.</w:t>
      </w:r>
    </w:p>
    <w:p>
      <w:pPr>
        <w:pStyle w:val="BodyText"/>
      </w:pPr>
      <w:r>
        <w:t xml:space="preserve">W niniejszej pracy wykorzystano zbiór danych DeepMIMO v4</w:t>
      </w:r>
      <w:r>
        <w:t xml:space="preserve"> </w:t>
      </w:r>
      <w:r>
        <w:t xml:space="preserve">(Ahmed Alkhateeb 2024)</w:t>
      </w:r>
      <w:r>
        <w:t xml:space="preserve"> </w:t>
      </w:r>
      <w:r>
        <w:t xml:space="preserve">(Arizona State University) dla scenariusza O1 (ulica w mieście, 60 GHz), opartego na symulacjach ray-tracingowych w programie Remcom Wireless InSite</w:t>
      </w:r>
      <w:r>
        <w:t xml:space="preserve"> </w:t>
      </w:r>
      <w:r>
        <w:t xml:space="preserve">(A. Alkhateeb 2019)</w:t>
      </w:r>
      <w:r>
        <w:t xml:space="preserve">.</w:t>
      </w:r>
    </w:p>
    <w:bookmarkEnd w:id="25"/>
    <w:bookmarkStart w:id="26" w:name="cel-pracy-i-pytania-badawcze"/>
    <w:p>
      <w:pPr>
        <w:pStyle w:val="Heading2"/>
      </w:pPr>
      <w:r>
        <w:t xml:space="preserve">1.2. Cel pracy i pytania badawcze</w:t>
      </w:r>
    </w:p>
    <w:p>
      <w:pPr>
        <w:pStyle w:val="FirstParagraph"/>
      </w:pPr>
      <w:r>
        <w:t xml:space="preserve">Głównym celem pracy jest implementacja i ocena modelu uczenia głębokiego do skoordynowanego kształtowania wiązki (ang. Deep Learning Coordinated Beamforming) w dziedzinie przestrzennej, zgodnie ze scenariuszem opisanym w raporcie 3GPP TR 38.843</w:t>
      </w:r>
      <w:r>
        <w:t xml:space="preserve"> </w:t>
      </w:r>
      <w:r>
        <w:t xml:space="preserve">(3GPP 2024)</w:t>
      </w:r>
      <w:r>
        <w:t xml:space="preserve"> </w:t>
      </w:r>
      <w:r>
        <w:t xml:space="preserve">oraz metodyką Alkhateeba i in.</w:t>
      </w:r>
      <w:r>
        <w:t xml:space="preserve"> </w:t>
      </w:r>
      <w:r>
        <w:t xml:space="preserve">(Ahmed Alkhateeb et al. 2018)</w:t>
      </w:r>
      <w:r>
        <w:t xml:space="preserve">. Na podstawie ograniczonej liczby dookólnych pomiarów pilotowych sieć neuronowa wyznacza wiązkę z predefiniowanej książki kodowej. Uzyskaną efektywność spektralną netto (ang. effective spectral efficiency) porównano z dwoma punktami odniesienia z pracy</w:t>
      </w:r>
      <w:r>
        <w:t xml:space="preserve"> </w:t>
      </w:r>
      <w:r>
        <w:t xml:space="preserve">(Ahmed Alkhateeb et al. 2018)</w:t>
      </w:r>
      <w:r>
        <w:t xml:space="preserve">: wyidealizowanym doborem wiązki bez narzutu treningowego (ang. Genie-Aided Coordinated Beamforming, górna granica wydajności) oraz konwencjonalną metodą bazową opartą na wyczerpującym przeszukiwaniu książki kodowej z uwzględnieniem narzutu czasowego na trening wiązek (ang. Baseline Coordinated Beamforming).</w:t>
      </w:r>
    </w:p>
    <w:p>
      <w:pPr>
        <w:pStyle w:val="BodyText"/>
      </w:pPr>
      <w:r>
        <w:t xml:space="preserve">W ramach pracy postawiono następujące pytania badawcze:</w:t>
      </w:r>
      <w:r>
        <w:t xml:space="preserve"> </w:t>
      </w:r>
      <w:r>
        <w:t xml:space="preserve">1.</w:t>
      </w:r>
      <w:r>
        <w:t xml:space="preserve"> </w:t>
      </w:r>
      <w:r>
        <w:rPr>
          <w:b/>
          <w:bCs/>
        </w:rPr>
        <w:t xml:space="preserve">PB1:</w:t>
      </w:r>
      <w:r>
        <w:t xml:space="preserve"> </w:t>
      </w:r>
      <w:r>
        <w:t xml:space="preserve">Czy model wytrenowany na danych DeepMIMO v4 (scenariusz O1, 60 GHz) osiąga efektywność spektralną różniącą się o nie więcej niż 5% od wyników Alkhateeba i in.</w:t>
      </w:r>
      <w:r>
        <w:t xml:space="preserve"> </w:t>
      </w:r>
      <w:r>
        <w:t xml:space="preserve">(Ahmed Alkhateeb et al. 2018)</w:t>
      </w:r>
      <w:r>
        <w:t xml:space="preserve"> </w:t>
      </w:r>
      <w:r>
        <w:t xml:space="preserve">przy tej samej liczbie anten i książce kodowej?</w:t>
      </w:r>
      <w:r>
        <w:t xml:space="preserve"> </w:t>
      </w:r>
      <w:r>
        <w:t xml:space="preserve">2.</w:t>
      </w:r>
      <w:r>
        <w:t xml:space="preserve"> </w:t>
      </w:r>
      <w:r>
        <w:rPr>
          <w:b/>
          <w:bCs/>
        </w:rPr>
        <w:t xml:space="preserve">PB2:</w:t>
      </w:r>
      <w:r>
        <w:t xml:space="preserve"> </w:t>
      </w:r>
      <w:r>
        <w:t xml:space="preserve">Jak zmiana architektury sieci (liczba warstw, liczba neuronów) i hiperparametrów treningu wpływa na efektywność spektralną oraz liczbę parametrów i czas inferencji modelu?</w:t>
      </w:r>
      <w:r>
        <w:t xml:space="preserve"> </w:t>
      </w:r>
      <w:r>
        <w:t xml:space="preserve">3.</w:t>
      </w:r>
      <w:r>
        <w:t xml:space="preserve"> </w:t>
      </w:r>
      <w:r>
        <w:rPr>
          <w:b/>
          <w:bCs/>
        </w:rPr>
        <w:t xml:space="preserve">PB3:</w:t>
      </w:r>
      <w:r>
        <w:t xml:space="preserve"> </w:t>
      </w:r>
      <w:r>
        <w:t xml:space="preserve">Czy możliwe jest uruchomienie modeli opracowanych w ramach PB1 i PB2 w środowisku NVIDIA AI Aerial bez zmian w architekturze i jakie są różnice w czasie inferencji oraz wymaganiach sprzętowych względem uruchomienia w PyTorch?</w:t>
      </w:r>
    </w:p>
    <w:bookmarkEnd w:id="26"/>
    <w:bookmarkStart w:id="27" w:name="przegląd-literatury"/>
    <w:p>
      <w:pPr>
        <w:pStyle w:val="Heading2"/>
      </w:pPr>
      <w:r>
        <w:t xml:space="preserve">1.3. Przegląd literatury</w:t>
      </w:r>
    </w:p>
    <w:p>
      <w:pPr>
        <w:pStyle w:val="FirstParagraph"/>
      </w:pPr>
      <w:r>
        <w:t xml:space="preserve">Organizacja standaryzująca 3GPP wraz z pierwszym wydaniem 5G-Advanced rozpoczęła prace nad wykorzystaniem AI/ML w sieciach telekomunikacyjnych</w:t>
      </w:r>
      <w:r>
        <w:t xml:space="preserve"> </w:t>
      </w:r>
      <w:r>
        <w:t xml:space="preserve">(Lin 2023)</w:t>
      </w:r>
      <w:r>
        <w:t xml:space="preserve">. W ramach grupy roboczej TSG RAN (ang. Technical Specification Group Radio Access Network) opracowano raport techniczny TR 38.843, opisujący wyniki studium nad zastosowaniem AI/ML w interfejsie radiowym NR (ang. New Radio)</w:t>
      </w:r>
      <w:r>
        <w:t xml:space="preserve"> </w:t>
      </w:r>
      <w:r>
        <w:t xml:space="preserve">(3GPP 2024)</w:t>
      </w:r>
      <w:r>
        <w:t xml:space="preserve">. W dokumencie wytypowano trzy przypadki użycia, dla których przeprowadzono badania i które stanowią punkt odniesienia dla prac w tym obszarze:</w:t>
      </w:r>
    </w:p>
    <w:p>
      <w:pPr>
        <w:pStyle w:val="Compact"/>
        <w:numPr>
          <w:ilvl w:val="0"/>
          <w:numId w:val="1001"/>
        </w:numPr>
      </w:pPr>
      <w:r>
        <w:t xml:space="preserve">kompresja informacji zwrotnej o stanie kanału (ang. Channel State Information feedback, CSI feedback),</w:t>
      </w:r>
    </w:p>
    <w:p>
      <w:pPr>
        <w:pStyle w:val="Compact"/>
        <w:numPr>
          <w:ilvl w:val="0"/>
          <w:numId w:val="1001"/>
        </w:numPr>
      </w:pPr>
      <w:r>
        <w:t xml:space="preserve">zarządzanie wiązką (ang. beam management),</w:t>
      </w:r>
    </w:p>
    <w:p>
      <w:pPr>
        <w:pStyle w:val="Compact"/>
        <w:numPr>
          <w:ilvl w:val="0"/>
          <w:numId w:val="1001"/>
        </w:numPr>
      </w:pPr>
      <w:r>
        <w:t xml:space="preserve">pozycjonowanie (ang. positioning).</w:t>
      </w:r>
    </w:p>
    <w:p>
      <w:pPr>
        <w:pStyle w:val="FirstParagraph"/>
      </w:pPr>
      <w:r>
        <w:t xml:space="preserve">W zarządzaniu wiązką wyróżniono predykcję w dziedzinie przestrzennej (BM-Case 1) i czasowej (BM-Case 2); niniejsza praca dotyczy pierwszego przypadku.</w:t>
      </w:r>
    </w:p>
    <w:p>
      <w:pPr>
        <w:pStyle w:val="BodyText"/>
      </w:pPr>
      <w:r>
        <w:t xml:space="preserve">W konwencjonalnych systemach 5G NR procedury zarządzania wiązką opierają się na okresowym przemiataniu wiązek (ang. beam sweeping) przy użyciu bloków synchronizacyjnych SSB (ang. Synchronization Signal Block) oraz sygnałów referencyjnych CSI-RS (ang. Channel State Information Reference Signal)</w:t>
      </w:r>
      <w:r>
        <w:t xml:space="preserve"> </w:t>
      </w:r>
      <w:r>
        <w:t xml:space="preserve">(Giordani et al. 2019)</w:t>
      </w:r>
      <w:r>
        <w:t xml:space="preserve">. Wraz ze wzrostem liczby elementów antenowych w pasmach fal milimetrowych wyczerpujące przeszukiwanie przestrzeni staje się źródłem znacznego narzutu czasowego i spadku przepływności, co motywuje poszukiwanie metod predykcyjnych opartych na AI/ML.</w:t>
      </w:r>
    </w:p>
    <w:p>
      <w:pPr>
        <w:pStyle w:val="BodyText"/>
      </w:pPr>
      <w:r>
        <w:t xml:space="preserve">Alkhateeb i in.</w:t>
      </w:r>
      <w:r>
        <w:t xml:space="preserve"> </w:t>
      </w:r>
      <w:r>
        <w:t xml:space="preserve">(Ahmed Alkhateeb et al. 2018)</w:t>
      </w:r>
      <w:r>
        <w:t xml:space="preserve"> </w:t>
      </w:r>
      <w:r>
        <w:t xml:space="preserve">zaproponowali uczenie głębokie do skoordynowanego kształtowania wiązki, wykorzystując dane z symulacji ray-tracingowych, na których oparto później zbiór DeepMIMO</w:t>
      </w:r>
      <w:r>
        <w:t xml:space="preserve"> </w:t>
      </w:r>
      <w:r>
        <w:t xml:space="preserve">(A. Alkhateeb 2019)</w:t>
      </w:r>
      <w:r>
        <w:t xml:space="preserve">. Wykazali, że model osiąga przepływność bliską optymalnej przy znacznie mniejszym narzucie pilotowym.</w:t>
      </w:r>
    </w:p>
    <w:p>
      <w:pPr>
        <w:pStyle w:val="BodyText"/>
      </w:pPr>
      <w:r>
        <w:t xml:space="preserve">Na potrzeby badań nad sztuczną inteligencją w warstwie fizycznej firma NVIDIA udostępniła otwartą bibliotekę Sionna, umożliwiającą akcelerowane na GPU symulacje łącza radiowego z różniczkowalnymi blokami przetwarzania sygnałów</w:t>
      </w:r>
      <w:r>
        <w:t xml:space="preserve"> </w:t>
      </w:r>
      <w:r>
        <w:t xml:space="preserve">(Hoydis et al. 2022)</w:t>
      </w:r>
      <w:r>
        <w:t xml:space="preserve">. Jej rozwinięciami są Sionna Research Kit, który pozwala uruchamiać modele w czasie rzeczywistym na stosie RAN</w:t>
      </w:r>
      <w:r>
        <w:t xml:space="preserve"> </w:t>
      </w:r>
      <w:r>
        <w:t xml:space="preserve">(Cammerer et al. 2025)</w:t>
      </w:r>
      <w:r>
        <w:t xml:space="preserve">, oraz platforma NVIDIA AI Aerial, obejmująca m.in. akcelerowaną warstwę fizyczną i cyfrowego bliźniaka sieci</w:t>
      </w:r>
      <w:r>
        <w:t xml:space="preserve"> </w:t>
      </w:r>
      <w:r>
        <w:t xml:space="preserve">(Cohen-Arazi et al. 2025)</w:t>
      </w:r>
      <w:r>
        <w:t xml:space="preserve">. Możliwość przeniesienia modeli predykcji wiązki na platformę NVIDIA AI Aerial jest przedmiotem pytania badawczego PB3.</w:t>
      </w:r>
    </w:p>
    <w:p>
      <w:r>
        <w:br w:type="page"/>
      </w:r>
    </w:p>
    <w:bookmarkEnd w:id="27"/>
    <w:bookmarkEnd w:id="28"/>
    <w:bookmarkStart w:id="34" w:name="charakterystyka-zbioru-danych"/>
    <w:p>
      <w:pPr>
        <w:pStyle w:val="Heading1"/>
      </w:pPr>
      <w:r>
        <w:t xml:space="preserve">2. Charakterystyka zbioru danych</w:t>
      </w:r>
    </w:p>
    <w:bookmarkStart w:id="29" w:name="źródło-i-licencja-danych"/>
    <w:p>
      <w:pPr>
        <w:pStyle w:val="Heading2"/>
      </w:pPr>
      <w:r>
        <w:t xml:space="preserve">2.1. Źródło i licencja danych</w:t>
      </w:r>
    </w:p>
    <w:p>
      <w:pPr>
        <w:pStyle w:val="FirstParagraph"/>
      </w:pPr>
      <w:r>
        <w:t xml:space="preserve">Dane wykorzystane w projekcie pochodzą z [Nazwa źródła / Repozytorium]</w:t>
      </w:r>
      <w:r>
        <w:t xml:space="preserve"> </w:t>
      </w:r>
      <w:r>
        <w:t xml:space="preserve">(</w:t>
      </w:r>
      <w:r>
        <w:rPr>
          <w:b/>
          <w:bCs/>
        </w:rPr>
        <w:t xml:space="preserve">dane_zrodlo?</w:t>
      </w:r>
      <w:r>
        <w:t xml:space="preserve">)</w:t>
      </w:r>
      <w:r>
        <w:t xml:space="preserve">.</w:t>
      </w:r>
      <w:r>
        <w:t xml:space="preserve"> </w:t>
      </w:r>
      <w:r>
        <w:t xml:space="preserve">-</w:t>
      </w:r>
      <w:r>
        <w:t xml:space="preserve"> </w:t>
      </w:r>
      <w:r>
        <w:rPr>
          <w:b/>
          <w:bCs/>
        </w:rPr>
        <w:t xml:space="preserve">Data pobrania danych:</w:t>
      </w:r>
      <w:r>
        <w:t xml:space="preserve"> </w:t>
      </w:r>
      <w:r>
        <w:t xml:space="preserve">[RRRR-MM-DD]</w:t>
      </w:r>
      <w:r>
        <w:t xml:space="preserve"> </w:t>
      </w:r>
      <w:r>
        <w:t xml:space="preserve">-</w:t>
      </w:r>
      <w:r>
        <w:t xml:space="preserve"> </w:t>
      </w:r>
      <w:r>
        <w:rPr>
          <w:b/>
          <w:bCs/>
        </w:rPr>
        <w:t xml:space="preserve">Licencja:</w:t>
      </w:r>
      <w:r>
        <w:t xml:space="preserve"> </w:t>
      </w:r>
      <w:r>
        <w:t xml:space="preserve">[np. CC-BY 4.0 / Public Domain / Dane edukacyjne]</w:t>
      </w:r>
      <w:r>
        <w:t xml:space="preserve"> </w:t>
      </w:r>
      <w:r>
        <w:t xml:space="preserve">-</w:t>
      </w:r>
      <w:r>
        <w:t xml:space="preserve"> </w:t>
      </w:r>
      <w:r>
        <w:rPr>
          <w:b/>
          <w:bCs/>
        </w:rPr>
        <w:t xml:space="preserve">Adres źródłowy:</w:t>
      </w:r>
      <w:r>
        <w:t xml:space="preserve"> </w:t>
      </w:r>
      <w:r>
        <w:t xml:space="preserve">[URL]</w:t>
      </w:r>
    </w:p>
    <w:bookmarkEnd w:id="29"/>
    <w:bookmarkStart w:id="30" w:name="opis-cech-i-zmiennych"/>
    <w:p>
      <w:pPr>
        <w:pStyle w:val="Heading2"/>
      </w:pPr>
      <w:r>
        <w:t xml:space="preserve">2.2. Opis cech i zmiennych</w:t>
      </w:r>
    </w:p>
    <w:p>
      <w:pPr>
        <w:pStyle w:val="FirstParagraph"/>
      </w:pPr>
      <w:r>
        <w:t xml:space="preserve">Zbiór zawiera [N] obserwacji oraz [M] cech (zmiennych objaśniających) oraz zmienną celu</w:t>
      </w:r>
      <w:r>
        <w:t xml:space="preserve"> </w:t>
      </w:r>
      <w:r>
        <w:rPr>
          <w:rStyle w:val="VerbatimChar"/>
        </w:rPr>
        <w:t xml:space="preserve">[nazwa_targetu]</w:t>
      </w:r>
      <w:r>
        <w:t xml:space="preserve">.</w:t>
      </w:r>
    </w:p>
    <w:p>
      <w:pPr>
        <w:pStyle w:val="BodyText"/>
      </w:pPr>
      <w:r>
        <w:t xml:space="preserve">Tabela 1. Zestawienie cech w zbiorze danych.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Nazwa cechy</w:t>
            </w:r>
          </w:p>
        </w:tc>
        <w:tc>
          <w:tcPr/>
          <w:p>
            <w:pPr>
              <w:pStyle w:val="Compact"/>
              <w:jc w:val="left"/>
            </w:pPr>
            <w:r>
              <w:t xml:space="preserve">Typ danych</w:t>
            </w:r>
          </w:p>
        </w:tc>
        <w:tc>
          <w:tcPr/>
          <w:p>
            <w:pPr>
              <w:pStyle w:val="Compact"/>
              <w:jc w:val="left"/>
            </w:pPr>
            <w:r>
              <w:t xml:space="preserve">Opis dziedzinowy</w:t>
            </w:r>
          </w:p>
        </w:tc>
        <w:tc>
          <w:tcPr/>
          <w:p>
            <w:pPr>
              <w:pStyle w:val="Compact"/>
              <w:jc w:val="left"/>
            </w:pPr>
            <w:r>
              <w:t xml:space="preserve">Przykładowe wartości</w:t>
            </w:r>
          </w:p>
        </w:tc>
      </w:tr>
      <w:tr>
        <w:tc>
          <w:tcPr/>
          <w:p>
            <w:pPr>
              <w:pStyle w:val="Compact"/>
              <w:jc w:val="left"/>
            </w:pPr>
            <w:r>
              <w:rPr>
                <w:rStyle w:val="VerbatimChar"/>
              </w:rPr>
              <w:t xml:space="preserve">feature_1</w:t>
            </w:r>
          </w:p>
        </w:tc>
        <w:tc>
          <w:tcPr/>
          <w:p>
            <w:pPr>
              <w:pStyle w:val="Compact"/>
              <w:jc w:val="left"/>
            </w:pPr>
            <w:r>
              <w:t xml:space="preserve">Numeryczny (float)</w:t>
            </w:r>
          </w:p>
        </w:tc>
        <w:tc>
          <w:tcPr/>
          <w:p>
            <w:pPr>
              <w:pStyle w:val="Compact"/>
              <w:jc w:val="left"/>
            </w:pPr>
            <w:r>
              <w:t xml:space="preserve">[Opis cechy 1]</w:t>
            </w:r>
          </w:p>
        </w:tc>
        <w:tc>
          <w:tcPr/>
          <w:p>
            <w:pPr>
              <w:pStyle w:val="Compact"/>
              <w:jc w:val="left"/>
            </w:pPr>
            <w:r>
              <w:t xml:space="preserve">12.4, 15.8</w:t>
            </w:r>
          </w:p>
        </w:tc>
      </w:tr>
      <w:tr>
        <w:tc>
          <w:tcPr/>
          <w:p>
            <w:pPr>
              <w:pStyle w:val="Compact"/>
              <w:jc w:val="left"/>
            </w:pPr>
            <w:r>
              <w:rPr>
                <w:rStyle w:val="VerbatimChar"/>
              </w:rPr>
              <w:t xml:space="preserve">feature_2</w:t>
            </w:r>
          </w:p>
        </w:tc>
        <w:tc>
          <w:tcPr/>
          <w:p>
            <w:pPr>
              <w:pStyle w:val="Compact"/>
              <w:jc w:val="left"/>
            </w:pPr>
            <w:r>
              <w:t xml:space="preserve">Kategoryczny (str)</w:t>
            </w:r>
          </w:p>
        </w:tc>
        <w:tc>
          <w:tcPr/>
          <w:p>
            <w:pPr>
              <w:pStyle w:val="Compact"/>
              <w:jc w:val="left"/>
            </w:pPr>
            <w:r>
              <w:t xml:space="preserve">[Opis cechy 2]</w:t>
            </w:r>
          </w:p>
        </w:tc>
        <w:tc>
          <w:tcPr/>
          <w:p>
            <w:pPr>
              <w:pStyle w:val="Compact"/>
              <w:jc w:val="left"/>
            </w:pPr>
            <w:r>
              <w:t xml:space="preserve">A, B, C</w:t>
            </w:r>
          </w:p>
        </w:tc>
      </w:tr>
      <w:tr>
        <w:tc>
          <w:tcPr/>
          <w:p>
            <w:pPr>
              <w:pStyle w:val="Compact"/>
              <w:jc w:val="left"/>
            </w:pPr>
            <w:r>
              <w:rPr>
                <w:rStyle w:val="VerbatimChar"/>
              </w:rPr>
              <w:t xml:space="preserve">target</w:t>
            </w:r>
          </w:p>
        </w:tc>
        <w:tc>
          <w:tcPr/>
          <w:p>
            <w:pPr>
              <w:pStyle w:val="Compact"/>
              <w:jc w:val="left"/>
            </w:pPr>
            <w:r>
              <w:t xml:space="preserve">Binarny (int)</w:t>
            </w:r>
          </w:p>
        </w:tc>
        <w:tc>
          <w:tcPr/>
          <w:p>
            <w:pPr>
              <w:pStyle w:val="Compact"/>
              <w:jc w:val="left"/>
            </w:pPr>
            <w:r>
              <w:t xml:space="preserve">Zmienna celu (0/1)</w:t>
            </w:r>
          </w:p>
        </w:tc>
        <w:tc>
          <w:tcPr/>
          <w:p>
            <w:pPr>
              <w:pStyle w:val="Compact"/>
              <w:jc w:val="left"/>
            </w:pPr>
            <w:r>
              <w:t xml:space="preserve">0, 1</w:t>
            </w:r>
          </w:p>
        </w:tc>
      </w:tr>
    </w:tbl>
    <w:bookmarkEnd w:id="30"/>
    <w:bookmarkStart w:id="31" w:name="statystyki-opisowe-i-jakość-danych"/>
    <w:p>
      <w:pPr>
        <w:pStyle w:val="Heading2"/>
      </w:pPr>
      <w:r>
        <w:t xml:space="preserve">2.3. Statystyki opisowe i jakość danych</w:t>
      </w:r>
    </w:p>
    <w:p>
      <w:pPr>
        <w:pStyle w:val="FirstParagraph"/>
      </w:pPr>
      <w:r>
        <w:t xml:space="preserve">[Krótkie omówienie rozkładów zmiennych, statystyk pozycyjnych i miar rozproszenia…]</w:t>
      </w:r>
    </w:p>
    <w:bookmarkEnd w:id="31"/>
    <w:bookmarkStart w:id="32" w:name="braki-danych-i-wartości-odstające"/>
    <w:p>
      <w:pPr>
        <w:pStyle w:val="Heading2"/>
      </w:pPr>
      <w:r>
        <w:t xml:space="preserve">2.4. Braki danych i wartości odstające</w:t>
      </w:r>
    </w:p>
    <w:p>
      <w:pPr>
        <w:pStyle w:val="FirstParagraph"/>
      </w:pPr>
      <w:r>
        <w:t xml:space="preserve">[Analiza braków danych (udział procentowy, mechanizm MCAR/MAR/MNAR) oraz strategie detekcji anomalii/outlierów…]</w:t>
      </w:r>
    </w:p>
    <w:bookmarkEnd w:id="32"/>
    <w:bookmarkStart w:id="33" w:name="ograniczenia-zbioru-danych"/>
    <w:p>
      <w:pPr>
        <w:pStyle w:val="Heading2"/>
      </w:pPr>
      <w:r>
        <w:t xml:space="preserve">2.5. Ograniczenia zbioru danych</w:t>
      </w:r>
    </w:p>
    <w:p>
      <w:pPr>
        <w:pStyle w:val="FirstParagraph"/>
      </w:pPr>
      <w:r>
        <w:t xml:space="preserve">[Jawne wymienienie ograniczeń zbioru, np. specyfika próbki, reprezentatywność, błąd pomiarowy…]</w:t>
      </w:r>
    </w:p>
    <w:p>
      <w:r>
        <w:br w:type="page"/>
      </w:r>
    </w:p>
    <w:bookmarkEnd w:id="33"/>
    <w:bookmarkEnd w:id="34"/>
    <w:bookmarkStart w:id="40" w:name="metodyka"/>
    <w:p>
      <w:pPr>
        <w:pStyle w:val="Heading1"/>
      </w:pPr>
      <w:r>
        <w:t xml:space="preserve">3. Metodyka</w:t>
      </w:r>
    </w:p>
    <w:bookmarkStart w:id="35" w:name="schemat-procesu-analitycznego"/>
    <w:p>
      <w:pPr>
        <w:pStyle w:val="Heading2"/>
      </w:pPr>
      <w:r>
        <w:t xml:space="preserve">3.1. Schemat procesu analitycznego</w:t>
      </w:r>
    </w:p>
    <w:p>
      <w:pPr>
        <w:pStyle w:val="FirstParagraph"/>
      </w:pPr>
      <w:r>
        <w:t xml:space="preserve">Poniższy diagram przedstawia kompletny proces przetwarzania danych, modelowania i walidacji:</w:t>
      </w:r>
    </w:p>
    <w:tbl>
      <w:tblPr>
        <w:tblStyle w:val="FigureTable"/>
        <w:tblW w:type="auto" w:w="0"/>
        <w:jc w:val="center"/>
        <w:tblLook w:firstRow="0" w:lastRow="0" w:firstColumn="0" w:lastColumn="0"/>
      </w:tblPr>
      <w:tblGrid>
        <w:gridCol w:w="7920"/>
      </w:tblGrid>
      <w:tr>
        <w:tc>
          <w:tcPr/>
          <w:p>
            <w:pPr>
              <w:pStyle w:val="Compact"/>
              <w:jc w:val="center"/>
            </w:pPr>
            <w:r>
              <w:t xml:space="preserve">Rysunek 1. Schemat blokowy procesu badawczo-analitycznego.</w:t>
            </w:r>
          </w:p>
        </w:tc>
      </w:tr>
    </w:tbl>
    <w:p>
      <w:pPr>
        <w:pStyle w:val="ImageCaption"/>
      </w:pPr>
      <w:r>
        <w:t xml:space="preserve">Rysunek 1. Schemat blokowy procesu badawczo-analitycznego.</w:t>
      </w:r>
    </w:p>
    <w:bookmarkEnd w:id="35"/>
    <w:bookmarkStart w:id="36" w:name="podział-danych-i-strategia-walidacji"/>
    <w:p>
      <w:pPr>
        <w:pStyle w:val="Heading2"/>
      </w:pPr>
      <w:r>
        <w:t xml:space="preserve">3.2. Podział danych i strategia walidacji</w:t>
      </w:r>
    </w:p>
    <w:p>
      <w:pPr>
        <w:pStyle w:val="FirstParagraph"/>
      </w:pPr>
      <w:r>
        <w:t xml:space="preserve">W celu uniknięcia wycieku danych (</w:t>
      </w:r>
      <w:r>
        <w:rPr>
          <w:i/>
          <w:iCs/>
        </w:rPr>
        <w:t xml:space="preserve">data leakage</w:t>
      </w:r>
      <w:r>
        <w:t xml:space="preserve">), podział na zbiór treningowy i testowy został wykonany jako pierwszy krok przed etapem preprocessingu:</w:t>
      </w:r>
      <w:r>
        <w:t xml:space="preserve"> </w:t>
      </w:r>
      <w:r>
        <w:t xml:space="preserve">- Podział: [np. 80% trening, 20% test z zachowaniem stratyfikacji / podziału czasowego].</w:t>
      </w:r>
      <w:r>
        <w:t xml:space="preserve"> </w:t>
      </w:r>
      <w:r>
        <w:t xml:space="preserve">- Walidacja krzyżowa: [np. 5-krotna stratyfikowana walidacja krzyżowa (StratifiedKFold)].</w:t>
      </w:r>
    </w:p>
    <w:bookmarkEnd w:id="36"/>
    <w:bookmarkStart w:id="37" w:name="przygotowanie-danych-i-pipeline"/>
    <w:p>
      <w:pPr>
        <w:pStyle w:val="Heading2"/>
      </w:pPr>
      <w:r>
        <w:t xml:space="preserve">3.3. Przygotowanie danych i pipeline</w:t>
      </w:r>
    </w:p>
    <w:p>
      <w:pPr>
        <w:pStyle w:val="FirstParagraph"/>
      </w:pPr>
      <w:r>
        <w:t xml:space="preserve">Wszystkie transformacje (skalowanie, imputacja braków, kodowanie zmiennych kategorycznych) zostały zaimplementowane w ramach obiektów</w:t>
      </w:r>
      <w:r>
        <w:t xml:space="preserve"> </w:t>
      </w:r>
      <w:r>
        <w:rPr>
          <w:rStyle w:val="VerbatimChar"/>
        </w:rPr>
        <w:t xml:space="preserve">Pipeline</w:t>
      </w:r>
      <w:r>
        <w:t xml:space="preserve"> </w:t>
      </w:r>
      <w:r>
        <w:t xml:space="preserve">biblioteki</w:t>
      </w:r>
      <w:r>
        <w:t xml:space="preserve"> </w:t>
      </w:r>
      <w:r>
        <w:rPr>
          <w:rStyle w:val="VerbatimChar"/>
        </w:rPr>
        <w:t xml:space="preserve">scikit-learn</w:t>
      </w:r>
      <w:r>
        <w:t xml:space="preserve">…</w:t>
      </w:r>
    </w:p>
    <w:bookmarkEnd w:id="37"/>
    <w:bookmarkStart w:id="38" w:name="Xc26eab739f92967b1266102f5825f32bc618574"/>
    <w:p>
      <w:pPr>
        <w:pStyle w:val="Heading2"/>
      </w:pPr>
      <w:r>
        <w:t xml:space="preserve">3.4. Dobór modeli i punkt odniesienia (Baseline)</w:t>
      </w:r>
    </w:p>
    <w:p>
      <w:pPr>
        <w:pStyle w:val="Compact"/>
        <w:numPr>
          <w:ilvl w:val="0"/>
          <w:numId w:val="1002"/>
        </w:numPr>
      </w:pPr>
      <w:r>
        <w:rPr>
          <w:b/>
          <w:bCs/>
        </w:rPr>
        <w:t xml:space="preserve">Model bazowy (baseline):</w:t>
      </w:r>
      <w:r>
        <w:t xml:space="preserve"> </w:t>
      </w:r>
      <w:r>
        <w:t xml:space="preserve">[np. DummyClassifier - klasa większościowa / naiwny model średniej].</w:t>
      </w:r>
    </w:p>
    <w:p>
      <w:pPr>
        <w:pStyle w:val="Compact"/>
        <w:numPr>
          <w:ilvl w:val="0"/>
          <w:numId w:val="1002"/>
        </w:numPr>
      </w:pPr>
      <w:r>
        <w:rPr>
          <w:b/>
          <w:bCs/>
        </w:rPr>
        <w:t xml:space="preserve">Modele kandydujące:</w:t>
      </w:r>
      <w:r>
        <w:t xml:space="preserve"> </w:t>
      </w:r>
      <w:r>
        <w:t xml:space="preserve">[np. Regresja Logistyczna, Random Forest, XGBoost / LightGBM].</w:t>
      </w:r>
    </w:p>
    <w:bookmarkEnd w:id="38"/>
    <w:bookmarkStart w:id="39" w:name="metryki-ewaluacji"/>
    <w:p>
      <w:pPr>
        <w:pStyle w:val="Heading2"/>
      </w:pPr>
      <w:r>
        <w:t xml:space="preserve">3.5. Metryki ewaluacji</w:t>
      </w:r>
    </w:p>
    <w:p>
      <w:pPr>
        <w:pStyle w:val="FirstParagraph"/>
      </w:pPr>
      <w:r>
        <w:t xml:space="preserve">Uzasadnienie doboru metryk:</w:t>
      </w:r>
      <w:r>
        <w:t xml:space="preserve"> </w:t>
      </w:r>
      <w:r>
        <w:t xml:space="preserve">1.</w:t>
      </w:r>
      <w:r>
        <w:t xml:space="preserve"> </w:t>
      </w:r>
      <w:r>
        <w:rPr>
          <w:b/>
          <w:bCs/>
        </w:rPr>
        <w:t xml:space="preserve">[Metryka 1, np. PR-AUC / ROC-AUC]:</w:t>
      </w:r>
      <w:r>
        <w:t xml:space="preserve"> </w:t>
      </w:r>
      <w:r>
        <w:t xml:space="preserve">[Uzasadnienie merytoryczne i biznesowe]</w:t>
      </w:r>
      <w:r>
        <w:t xml:space="preserve"> </w:t>
      </w:r>
      <w:r>
        <w:t xml:space="preserve">2.</w:t>
      </w:r>
      <w:r>
        <w:t xml:space="preserve"> </w:t>
      </w:r>
      <w:r>
        <w:rPr>
          <w:b/>
          <w:bCs/>
        </w:rPr>
        <w:t xml:space="preserve">[Metryka 2, np. F1-score / Balanced Accuracy]:</w:t>
      </w:r>
      <w:r>
        <w:t xml:space="preserve"> </w:t>
      </w:r>
      <w:r>
        <w:t xml:space="preserve">[Uzasadnienie merytoryczne]</w:t>
      </w:r>
      <w:r>
        <w:t xml:space="preserve"> </w:t>
      </w:r>
      <w:r>
        <w:t xml:space="preserve">3.</w:t>
      </w:r>
      <w:r>
        <w:t xml:space="preserve"> </w:t>
      </w:r>
      <w:r>
        <w:rPr>
          <w:b/>
          <w:bCs/>
        </w:rPr>
        <w:t xml:space="preserve">[Metryka 3, np. Brier Score / Log-Loss]:</w:t>
      </w:r>
      <w:r>
        <w:t xml:space="preserve"> </w:t>
      </w:r>
      <w:r>
        <w:t xml:space="preserve">[Uzasadnienie oceny prawdopodobieństw]</w:t>
      </w:r>
    </w:p>
    <w:p>
      <w:r>
        <w:br w:type="page"/>
      </w:r>
    </w:p>
    <w:bookmarkEnd w:id="39"/>
    <w:bookmarkEnd w:id="40"/>
    <w:bookmarkStart w:id="45" w:name="wyniki"/>
    <w:p>
      <w:pPr>
        <w:pStyle w:val="Heading1"/>
      </w:pPr>
      <w:r>
        <w:t xml:space="preserve">4. Wyniki</w:t>
      </w:r>
    </w:p>
    <w:bookmarkStart w:id="41" w:name="porównanie-modeli-z-punktem-odniesienia"/>
    <w:p>
      <w:pPr>
        <w:pStyle w:val="Heading2"/>
      </w:pPr>
      <w:r>
        <w:t xml:space="preserve">4.1. Porównanie modeli z punktem odniesienia</w:t>
      </w:r>
    </w:p>
    <w:p>
      <w:pPr>
        <w:pStyle w:val="FirstParagraph"/>
      </w:pPr>
      <w:r>
        <w:t xml:space="preserve">Tabela 2. Zbiorcze zestawienie metryk na zbiorze testowym.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Metryka 1 (np. PR-AUC)</w:t>
            </w:r>
          </w:p>
        </w:tc>
        <w:tc>
          <w:tcPr/>
          <w:p>
            <w:pPr>
              <w:pStyle w:val="Compact"/>
              <w:jc w:val="left"/>
            </w:pPr>
            <w:r>
              <w:t xml:space="preserve">Metryka 2 (np. F1-score)</w:t>
            </w:r>
          </w:p>
        </w:tc>
        <w:tc>
          <w:tcPr/>
          <w:p>
            <w:pPr>
              <w:pStyle w:val="Compact"/>
              <w:jc w:val="left"/>
            </w:pPr>
            <w:r>
              <w:t xml:space="preserve">Metryka 3 (np. ROC-AUC)</w:t>
            </w:r>
          </w:p>
        </w:tc>
      </w:tr>
      <w:tr>
        <w:tc>
          <w:tcPr/>
          <w:p>
            <w:pPr>
              <w:pStyle w:val="Compact"/>
              <w:jc w:val="left"/>
            </w:pPr>
            <w:r>
              <w:rPr>
                <w:b/>
                <w:bCs/>
              </w:rPr>
              <w:t xml:space="preserve">Baseline (Dummy)</w:t>
            </w:r>
          </w:p>
        </w:tc>
        <w:tc>
          <w:tcPr/>
          <w:p>
            <w:pPr>
              <w:pStyle w:val="Compact"/>
              <w:jc w:val="left"/>
            </w:pPr>
            <w:r>
              <w:t xml:space="preserve">0.150</w:t>
            </w:r>
          </w:p>
        </w:tc>
        <w:tc>
          <w:tcPr/>
          <w:p>
            <w:pPr>
              <w:pStyle w:val="Compact"/>
              <w:jc w:val="left"/>
            </w:pPr>
            <w:r>
              <w:t xml:space="preserve">0.000</w:t>
            </w:r>
          </w:p>
        </w:tc>
        <w:tc>
          <w:tcPr/>
          <w:p>
            <w:pPr>
              <w:pStyle w:val="Compact"/>
              <w:jc w:val="left"/>
            </w:pPr>
            <w:r>
              <w:t xml:space="preserve">0.500</w:t>
            </w:r>
          </w:p>
        </w:tc>
      </w:tr>
      <w:tr>
        <w:tc>
          <w:tcPr/>
          <w:p>
            <w:pPr>
              <w:pStyle w:val="Compact"/>
              <w:jc w:val="left"/>
            </w:pPr>
            <w:r>
              <w:rPr>
                <w:b/>
                <w:bCs/>
              </w:rPr>
              <w:t xml:space="preserve">Model 1 (Logistic Regression)</w:t>
            </w:r>
          </w:p>
        </w:tc>
        <w:tc>
          <w:tcPr/>
          <w:p>
            <w:pPr>
              <w:pStyle w:val="Compact"/>
              <w:jc w:val="left"/>
            </w:pPr>
            <w:r>
              <w:t xml:space="preserve">0.580</w:t>
            </w:r>
          </w:p>
        </w:tc>
        <w:tc>
          <w:tcPr/>
          <w:p>
            <w:pPr>
              <w:pStyle w:val="Compact"/>
              <w:jc w:val="left"/>
            </w:pPr>
            <w:r>
              <w:t xml:space="preserve">0.610</w:t>
            </w:r>
          </w:p>
        </w:tc>
        <w:tc>
          <w:tcPr/>
          <w:p>
            <w:pPr>
              <w:pStyle w:val="Compact"/>
              <w:jc w:val="left"/>
            </w:pPr>
            <w:r>
              <w:t xml:space="preserve">0.790</w:t>
            </w:r>
          </w:p>
        </w:tc>
      </w:tr>
      <w:tr>
        <w:tc>
          <w:tcPr/>
          <w:p>
            <w:pPr>
              <w:pStyle w:val="Compact"/>
              <w:jc w:val="left"/>
            </w:pPr>
            <w:r>
              <w:rPr>
                <w:b/>
                <w:bCs/>
              </w:rPr>
              <w:t xml:space="preserve">Model 2 (Random Forest)</w:t>
            </w:r>
          </w:p>
        </w:tc>
        <w:tc>
          <w:tcPr/>
          <w:p>
            <w:pPr>
              <w:pStyle w:val="Compact"/>
              <w:jc w:val="left"/>
            </w:pPr>
            <w:r>
              <w:t xml:space="preserve">0.670</w:t>
            </w:r>
          </w:p>
        </w:tc>
        <w:tc>
          <w:tcPr/>
          <w:p>
            <w:pPr>
              <w:pStyle w:val="Compact"/>
              <w:jc w:val="left"/>
            </w:pPr>
            <w:r>
              <w:t xml:space="preserve">0.690</w:t>
            </w:r>
          </w:p>
        </w:tc>
        <w:tc>
          <w:tcPr/>
          <w:p>
            <w:pPr>
              <w:pStyle w:val="Compact"/>
              <w:jc w:val="left"/>
            </w:pPr>
            <w:r>
              <w:t xml:space="preserve">0.850</w:t>
            </w:r>
          </w:p>
        </w:tc>
      </w:tr>
      <w:tr>
        <w:tc>
          <w:tcPr/>
          <w:p>
            <w:pPr>
              <w:pStyle w:val="Compact"/>
              <w:jc w:val="left"/>
            </w:pPr>
            <w:r>
              <w:rPr>
                <w:b/>
                <w:bCs/>
              </w:rPr>
              <w:t xml:space="preserve">Model 3 (XGBoost - finalny)</w:t>
            </w:r>
          </w:p>
        </w:tc>
        <w:tc>
          <w:tcPr/>
          <w:p>
            <w:pPr>
              <w:pStyle w:val="Compact"/>
              <w:jc w:val="left"/>
            </w:pPr>
            <w:r>
              <w:rPr>
                <w:b/>
                <w:bCs/>
              </w:rPr>
              <w:t xml:space="preserve">0.720</w:t>
            </w:r>
          </w:p>
        </w:tc>
        <w:tc>
          <w:tcPr/>
          <w:p>
            <w:pPr>
              <w:pStyle w:val="Compact"/>
              <w:jc w:val="left"/>
            </w:pPr>
            <w:r>
              <w:rPr>
                <w:b/>
                <w:bCs/>
              </w:rPr>
              <w:t xml:space="preserve">0.730</w:t>
            </w:r>
          </w:p>
        </w:tc>
        <w:tc>
          <w:tcPr/>
          <w:p>
            <w:pPr>
              <w:pStyle w:val="Compact"/>
              <w:jc w:val="left"/>
            </w:pPr>
            <w:r>
              <w:rPr>
                <w:b/>
                <w:bCs/>
              </w:rPr>
              <w:t xml:space="preserve">0.880</w:t>
            </w:r>
          </w:p>
        </w:tc>
      </w:tr>
    </w:tbl>
    <w:bookmarkEnd w:id="41"/>
    <w:bookmarkStart w:id="42" w:name="wizualizacja-jakości-predykcji"/>
    <w:p>
      <w:pPr>
        <w:pStyle w:val="Heading2"/>
      </w:pPr>
      <w:r>
        <w:t xml:space="preserve">4.2. Wizualizacja jakości predykcji</w:t>
      </w:r>
    </w:p>
    <w:p>
      <w:pPr>
        <w:pStyle w:val="FirstParagraph"/>
      </w:pPr>
      <w:r>
        <w:t xml:space="preserve">Poniższe rysunki przedstawiają szczegółową ocenę zachowania najlepszego modelu:</w:t>
      </w:r>
    </w:p>
    <w:tbl>
      <w:tblPr>
        <w:tblStyle w:val="FigureTable"/>
        <w:tblW w:type="auto" w:w="0"/>
        <w:jc w:val="center"/>
        <w:tblLook w:firstRow="0" w:lastRow="0" w:firstColumn="0" w:lastColumn="0"/>
      </w:tblPr>
      <w:tblGrid>
        <w:gridCol w:w="7920"/>
      </w:tblGrid>
      <w:tr>
        <w:tc>
          <w:tcPr/>
          <w:p>
            <w:pPr>
              <w:pStyle w:val="Compact"/>
              <w:jc w:val="center"/>
            </w:pPr>
            <w:r>
              <w:t xml:space="preserve">Rysunek 2. Krzywa Precision-Recall dla modeli na zbiorze testowym.</w:t>
            </w:r>
          </w:p>
        </w:tc>
      </w:tr>
    </w:tbl>
    <w:p>
      <w:pPr>
        <w:pStyle w:val="ImageCaption"/>
      </w:pPr>
      <w:r>
        <w:t xml:space="preserve">Rysunek 2. Krzywa Precision-Recall dla modeli na zbiorze testowym.</w:t>
      </w:r>
    </w:p>
    <w:tbl>
      <w:tblPr>
        <w:tblStyle w:val="FigureTable"/>
        <w:tblW w:type="auto" w:w="0"/>
        <w:jc w:val="center"/>
        <w:tblLook w:firstRow="0" w:lastRow="0" w:firstColumn="0" w:lastColumn="0"/>
      </w:tblPr>
      <w:tblGrid>
        <w:gridCol w:w="7920"/>
      </w:tblGrid>
      <w:tr>
        <w:tc>
          <w:tcPr/>
          <w:p>
            <w:pPr>
              <w:pStyle w:val="Compact"/>
              <w:jc w:val="center"/>
            </w:pPr>
            <w:r>
              <w:t xml:space="preserve">Rysunek 3. Znormalizowana macierz pomyłek modelu finalnego.</w:t>
            </w:r>
          </w:p>
        </w:tc>
      </w:tr>
    </w:tbl>
    <w:p>
      <w:pPr>
        <w:pStyle w:val="ImageCaption"/>
      </w:pPr>
      <w:r>
        <w:t xml:space="preserve">Rysunek 3. Znormalizowana macierz pomyłek modelu finalnego.</w:t>
      </w:r>
    </w:p>
    <w:bookmarkEnd w:id="42"/>
    <w:bookmarkStart w:id="43" w:name="analiza-ważności-cech"/>
    <w:p>
      <w:pPr>
        <w:pStyle w:val="Heading2"/>
      </w:pPr>
      <w:r>
        <w:t xml:space="preserve">4.3. Analiza ważności cech</w:t>
      </w:r>
    </w:p>
    <w:p>
      <w:pPr>
        <w:pStyle w:val="FirstParagraph"/>
      </w:pPr>
      <w:r>
        <w:t xml:space="preserve">W celu interpretacji wpływu poszczególnych cech na predykcje zastosowano metodę Permutation Importance / wartości SHAP:</w:t>
      </w:r>
    </w:p>
    <w:tbl>
      <w:tblPr>
        <w:tblStyle w:val="FigureTable"/>
        <w:tblW w:type="auto" w:w="0"/>
        <w:jc w:val="center"/>
        <w:tblLook w:firstRow="0" w:lastRow="0" w:firstColumn="0" w:lastColumn="0"/>
      </w:tblPr>
      <w:tblGrid>
        <w:gridCol w:w="7920"/>
      </w:tblGrid>
      <w:tr>
        <w:tc>
          <w:tcPr/>
          <w:p>
            <w:pPr>
              <w:pStyle w:val="Compact"/>
              <w:jc w:val="center"/>
            </w:pPr>
            <w:r>
              <w:t xml:space="preserve">Rysunek 4. Istotność cech wyznaczona metodą Permutation Feature Importance.</w:t>
            </w:r>
          </w:p>
        </w:tc>
      </w:tr>
    </w:tbl>
    <w:p>
      <w:pPr>
        <w:pStyle w:val="ImageCaption"/>
      </w:pPr>
      <w:r>
        <w:t xml:space="preserve">Rysunek 4. Istotność cech wyznaczona metodą Permutation Feature Importance.</w:t>
      </w:r>
    </w:p>
    <w:bookmarkEnd w:id="43"/>
    <w:bookmarkStart w:id="44" w:name="analiza-błędów-error-analysis"/>
    <w:p>
      <w:pPr>
        <w:pStyle w:val="Heading2"/>
      </w:pPr>
      <w:r>
        <w:t xml:space="preserve">4.4. Analiza błędów (Error Analysis)</w:t>
      </w:r>
    </w:p>
    <w:p>
      <w:pPr>
        <w:pStyle w:val="FirstParagraph"/>
      </w:pPr>
      <w:r>
        <w:t xml:space="preserve">[Szczegółowa analiza przypadków fałszywie pozytywnych (FP) i fałszywie negatywnych (FN): jakie profile obserwacji sprawiają modelowi największą trudność i dlaczego…]</w:t>
      </w:r>
    </w:p>
    <w:p>
      <w:r>
        <w:br w:type="page"/>
      </w:r>
    </w:p>
    <w:bookmarkEnd w:id="44"/>
    <w:bookmarkEnd w:id="45"/>
    <w:bookmarkStart w:id="49" w:name="dyskusja-i-ograniczenia"/>
    <w:p>
      <w:pPr>
        <w:pStyle w:val="Heading1"/>
      </w:pPr>
      <w:r>
        <w:t xml:space="preserve">5. Dyskusja i ograniczenia</w:t>
      </w:r>
    </w:p>
    <w:bookmarkStart w:id="46" w:name="interpretacja-dziedzinowa"/>
    <w:p>
      <w:pPr>
        <w:pStyle w:val="Heading2"/>
      </w:pPr>
      <w:r>
        <w:t xml:space="preserve">5.1. Interpretacja dziedzinowa</w:t>
      </w:r>
    </w:p>
    <w:p>
      <w:pPr>
        <w:pStyle w:val="FirstParagraph"/>
      </w:pPr>
      <w:r>
        <w:t xml:space="preserve">[Omówienie uzyskanych rezultatów w kontekście praktycznym i biznesowym…]</w:t>
      </w:r>
    </w:p>
    <w:bookmarkEnd w:id="46"/>
    <w:bookmarkStart w:id="47" w:name="odniesienie-do-literatury"/>
    <w:p>
      <w:pPr>
        <w:pStyle w:val="Heading2"/>
      </w:pPr>
      <w:r>
        <w:t xml:space="preserve">5.2. Odniesienie do literatury</w:t>
      </w:r>
    </w:p>
    <w:p>
      <w:pPr>
        <w:pStyle w:val="FirstParagraph"/>
      </w:pPr>
      <w:r>
        <w:t xml:space="preserve">[Porównanie z wynikami raportowanymi w innych publikacjach lub na podobnych zbiorach danych…]</w:t>
      </w:r>
    </w:p>
    <w:bookmarkEnd w:id="47"/>
    <w:bookmarkStart w:id="48" w:name="ograniczenia-pracy"/>
    <w:p>
      <w:pPr>
        <w:pStyle w:val="Heading2"/>
      </w:pPr>
      <w:r>
        <w:t xml:space="preserve">5.3. Ograniczenia pracy</w:t>
      </w:r>
    </w:p>
    <w:p>
      <w:pPr>
        <w:pStyle w:val="FirstParagraph"/>
      </w:pPr>
      <w:r>
        <w:t xml:space="preserve">W procesie badawczym zidentyfikowano następujące istotne ograniczenia:</w:t>
      </w:r>
      <w:r>
        <w:t xml:space="preserve"> </w:t>
      </w:r>
      <w:r>
        <w:t xml:space="preserve">1.</w:t>
      </w:r>
      <w:r>
        <w:t xml:space="preserve"> </w:t>
      </w:r>
      <w:r>
        <w:rPr>
          <w:b/>
          <w:bCs/>
        </w:rPr>
        <w:t xml:space="preserve">Ograniczenia próby i danych:</w:t>
      </w:r>
      <w:r>
        <w:t xml:space="preserve"> </w:t>
      </w:r>
      <w:r>
        <w:t xml:space="preserve">[np. reprezentatywność, błędy pomiarowe, zakres czasowy…]</w:t>
      </w:r>
      <w:r>
        <w:t xml:space="preserve"> </w:t>
      </w:r>
      <w:r>
        <w:t xml:space="preserve">2.</w:t>
      </w:r>
      <w:r>
        <w:t xml:space="preserve"> </w:t>
      </w:r>
      <w:r>
        <w:rPr>
          <w:b/>
          <w:bCs/>
        </w:rPr>
        <w:t xml:space="preserve">Kwestie przyczynowo-skutkowe:</w:t>
      </w:r>
      <w:r>
        <w:t xml:space="preserve"> </w:t>
      </w:r>
      <w:r>
        <w:t xml:space="preserve">Zastosowane modele ujawniają korelacje statystyczne, a nie bezpośrednie związki przyczynowo-skutkowe.</w:t>
      </w:r>
      <w:r>
        <w:t xml:space="preserve"> </w:t>
      </w:r>
      <w:r>
        <w:t xml:space="preserve">3.</w:t>
      </w:r>
      <w:r>
        <w:t xml:space="preserve"> </w:t>
      </w:r>
      <w:r>
        <w:rPr>
          <w:b/>
          <w:bCs/>
        </w:rPr>
        <w:t xml:space="preserve">Założenia upraszczające:</w:t>
      </w:r>
      <w:r>
        <w:t xml:space="preserve"> </w:t>
      </w:r>
      <w:r>
        <w:t xml:space="preserve">[np. uproszczenia przy ekstrakcji cech…]</w:t>
      </w:r>
    </w:p>
    <w:p>
      <w:r>
        <w:br w:type="page"/>
      </w:r>
    </w:p>
    <w:bookmarkEnd w:id="48"/>
    <w:bookmarkEnd w:id="49"/>
    <w:bookmarkStart w:id="52" w:name="wnioski"/>
    <w:p>
      <w:pPr>
        <w:pStyle w:val="Heading1"/>
      </w:pPr>
      <w:r>
        <w:t xml:space="preserve">6. Wnioski</w:t>
      </w:r>
    </w:p>
    <w:bookmarkStart w:id="50" w:name="odpowiedzi-na-pytania-badawcze"/>
    <w:p>
      <w:pPr>
        <w:pStyle w:val="Heading2"/>
      </w:pPr>
      <w:r>
        <w:t xml:space="preserve">6.1. Odpowiedzi na pytania badawcze</w:t>
      </w:r>
    </w:p>
    <w:p>
      <w:pPr>
        <w:pStyle w:val="FirstParagraph"/>
      </w:pPr>
      <w:r>
        <w:t xml:space="preserve">W nawiązaniu do pytań postawionych we Wstępie sformułowano następujące odpowiedzi:</w:t>
      </w:r>
      <w:r>
        <w:t xml:space="preserve"> </w:t>
      </w:r>
      <w:r>
        <w:t xml:space="preserve">1.</w:t>
      </w:r>
      <w:r>
        <w:t xml:space="preserve"> </w:t>
      </w:r>
      <w:r>
        <w:rPr>
          <w:b/>
          <w:bCs/>
        </w:rPr>
        <w:t xml:space="preserve">Odpowiedź na PB1:</w:t>
      </w:r>
      <w:r>
        <w:t xml:space="preserve"> </w:t>
      </w:r>
      <w:r>
        <w:t xml:space="preserve">[Uzasadniona danymi odpowiedź na pierwsze pytanie]</w:t>
      </w:r>
      <w:r>
        <w:t xml:space="preserve"> </w:t>
      </w:r>
      <w:r>
        <w:t xml:space="preserve">2.</w:t>
      </w:r>
      <w:r>
        <w:t xml:space="preserve"> </w:t>
      </w:r>
      <w:r>
        <w:rPr>
          <w:b/>
          <w:bCs/>
        </w:rPr>
        <w:t xml:space="preserve">Odpowiedź na PB2:</w:t>
      </w:r>
      <w:r>
        <w:t xml:space="preserve"> </w:t>
      </w:r>
      <w:r>
        <w:t xml:space="preserve">[Uzasadniona danymi odpowiedź na drugie pytanie]</w:t>
      </w:r>
      <w:r>
        <w:t xml:space="preserve"> </w:t>
      </w:r>
      <w:r>
        <w:t xml:space="preserve">3.</w:t>
      </w:r>
      <w:r>
        <w:t xml:space="preserve"> </w:t>
      </w:r>
      <w:r>
        <w:rPr>
          <w:b/>
          <w:bCs/>
        </w:rPr>
        <w:t xml:space="preserve">Odpowiedź na PB3:</w:t>
      </w:r>
      <w:r>
        <w:t xml:space="preserve"> </w:t>
      </w:r>
      <w:r>
        <w:t xml:space="preserve">[Uzasadniona danymi odpowiedź na trzecie pytanie]</w:t>
      </w:r>
    </w:p>
    <w:bookmarkEnd w:id="50"/>
    <w:bookmarkStart w:id="51" w:name="podsumowanie-i-kierunki-dalszych-badań"/>
    <w:p>
      <w:pPr>
        <w:pStyle w:val="Heading2"/>
      </w:pPr>
      <w:r>
        <w:t xml:space="preserve">6.2. Podsumowanie i kierunki dalszych badań</w:t>
      </w:r>
    </w:p>
    <w:p>
      <w:pPr>
        <w:pStyle w:val="FirstParagraph"/>
      </w:pPr>
      <w:r>
        <w:t xml:space="preserve">[Główne wnioski końcowe oraz propozycje rozwoju projektu, np. nowe źródła danych, zaawansowane architektury, wdrożenie produkcyjne]</w:t>
      </w:r>
    </w:p>
    <w:p>
      <w:r>
        <w:br w:type="page"/>
      </w:r>
    </w:p>
    <w:bookmarkEnd w:id="51"/>
    <w:bookmarkEnd w:id="52"/>
    <w:bookmarkStart w:id="79" w:name="bibliografia-i-załączniki"/>
    <w:p>
      <w:pPr>
        <w:pStyle w:val="Heading1"/>
      </w:pPr>
      <w:r>
        <w:t xml:space="preserve">7. Bibliografia i Załączniki</w:t>
      </w:r>
    </w:p>
    <w:bookmarkStart w:id="53" w:name="repozytorium-kodu"/>
    <w:p>
      <w:pPr>
        <w:pStyle w:val="Heading2"/>
      </w:pPr>
      <w:r>
        <w:t xml:space="preserve">7.1. Repozytorium kodu</w:t>
      </w:r>
    </w:p>
    <w:p>
      <w:pPr>
        <w:pStyle w:val="FirstParagraph"/>
      </w:pPr>
      <w:r>
        <w:t xml:space="preserve">Kod źródłowy projektu, notebooki eksperymentalne oraz instrukcja pełnej reprodukcji wyników znajdują się w repozytorium:</w:t>
      </w:r>
      <w:r>
        <w:t xml:space="preserve"> </w:t>
      </w:r>
      <w:r>
        <w:t xml:space="preserve">-</w:t>
      </w:r>
      <w:r>
        <w:t xml:space="preserve"> </w:t>
      </w:r>
      <w:r>
        <w:rPr>
          <w:b/>
          <w:bCs/>
        </w:rPr>
        <w:t xml:space="preserve">URL repozytorium:</w:t>
      </w:r>
      <w:r>
        <w:t xml:space="preserve"> </w:t>
      </w:r>
      <w:r>
        <w:rPr>
          <w:rStyle w:val="VerbatimChar"/>
        </w:rPr>
        <w:t xml:space="preserve">https://github.com/twoj-login/praca-koncowa-twoje-nazwisko</w:t>
      </w:r>
    </w:p>
    <w:bookmarkEnd w:id="53"/>
    <w:bookmarkStart w:id="54" w:name="X46293fc64c5a25459dba04a9b6079cf79af659f"/>
    <w:p>
      <w:pPr>
        <w:pStyle w:val="Heading2"/>
      </w:pPr>
      <w:r>
        <w:t xml:space="preserve">7.2. Oświadczenie o wykorzystaniu narzędzi sztucznej inteligencji (AI)</w:t>
      </w:r>
    </w:p>
    <w:p>
      <w:pPr>
        <w:pStyle w:val="FirstParagraph"/>
      </w:pPr>
      <w:r>
        <w:t xml:space="preserve">Zgodnie z §10.3 regulaminu studiów oświadczam, że narzędzia sztucznej inteligencji (LLM) zostały wykorzystane w następującym zakresie:</w:t>
      </w:r>
      <w:r>
        <w:t xml:space="preserve"> </w:t>
      </w:r>
      <w:r>
        <w:t xml:space="preserve">- [ ] Wsparcie w pisaniu i refaktoryzacji kodu Pythona (np. optymalizacja funkcji, podpowiedzi składniowe).</w:t>
      </w:r>
      <w:r>
        <w:t xml:space="preserve"> </w:t>
      </w:r>
      <w:r>
        <w:t xml:space="preserve">- [ ] Korekta językowa i stylistyczna tekstu pracy.</w:t>
      </w:r>
      <w:r>
        <w:t xml:space="preserve"> </w:t>
      </w:r>
      <w:r>
        <w:t xml:space="preserve">- [ ] Pomoc w wyszukiwaniu literatury i weryfikacja zagadnień teoretycznych.</w:t>
      </w:r>
    </w:p>
    <w:p>
      <w:pPr>
        <w:pStyle w:val="BodyText"/>
      </w:pPr>
      <w:r>
        <w:t xml:space="preserve">Jednocześnie oświadczam, że:</w:t>
      </w:r>
      <w:r>
        <w:t xml:space="preserve"> </w:t>
      </w:r>
      <w:r>
        <w:t xml:space="preserve">- Wszystkie analizy, eksperymenty, obliczenia i wykresy zostały wygenerowane za pomocą autorskiego kodu uruchomionego w środowisku projektu.</w:t>
      </w:r>
      <w:r>
        <w:t xml:space="preserve"> </w:t>
      </w:r>
      <w:r>
        <w:t xml:space="preserve">- Do zewnętrznych narzędzi AI nie wprowadzono żadnych poufnych danych ani danych osobowych.</w:t>
      </w:r>
    </w:p>
    <w:p>
      <w:pPr>
        <w:pStyle w:val="BodyText"/>
      </w:pPr>
      <w:r>
        <w:t xml:space="preserve">Data: ……………….. Podpis: ……………………………..</w:t>
      </w:r>
    </w:p>
    <w:bookmarkEnd w:id="54"/>
    <w:bookmarkStart w:id="78" w:name="literatura"/>
    <w:p>
      <w:pPr>
        <w:pStyle w:val="Heading2"/>
      </w:pPr>
      <w:r>
        <w:t xml:space="preserve">7.3. Literatura</w:t>
      </w:r>
    </w:p>
    <w:bookmarkStart w:id="77" w:name="refs"/>
    <w:bookmarkStart w:id="55" w:name="ref-3gpp_tr38843"/>
    <w:p>
      <w:pPr>
        <w:pStyle w:val="Bibliography"/>
      </w:pPr>
      <w:r>
        <w:t xml:space="preserve">3GPP. 2024.</w:t>
      </w:r>
      <w:r>
        <w:t xml:space="preserve"> </w:t>
      </w:r>
      <w:r>
        <w:t xml:space="preserve">“</w:t>
      </w:r>
      <w:r>
        <w:t xml:space="preserve">Study on Artificial Intelligence (AI)/Machine Learning (ML) for NR air interface</w:t>
      </w:r>
      <w:r>
        <w:t xml:space="preserve">.”</w:t>
      </w:r>
      <w:r>
        <w:t xml:space="preserve"> </w:t>
      </w:r>
      <w:r>
        <w:t xml:space="preserve">Technical Report (TR) 38.843. 3rd Generation Partnership Project (</w:t>
      </w:r>
      <w:r>
        <w:t xml:space="preserve">3GPP</w:t>
      </w:r>
      <w:r>
        <w:t xml:space="preserve">).</w:t>
      </w:r>
    </w:p>
    <w:bookmarkEnd w:id="55"/>
    <w:bookmarkStart w:id="56" w:name="ref-Alkhateeb2019"/>
    <w:p>
      <w:pPr>
        <w:pStyle w:val="Bibliography"/>
      </w:pPr>
      <w:r>
        <w:t xml:space="preserve">Alkhateeb, A. 2019.</w:t>
      </w:r>
      <w:r>
        <w:t xml:space="preserve"> </w:t>
      </w:r>
      <w:r>
        <w:t xml:space="preserve">“</w:t>
      </w:r>
      <w:r>
        <w:t xml:space="preserve">DeepMIMO</w:t>
      </w:r>
      <w:r>
        <w:t xml:space="preserve">: A Generic Deep Learning Dataset for Millimeter Wave and Massive</w:t>
      </w:r>
      <w:r>
        <w:t xml:space="preserve"> </w:t>
      </w:r>
      <w:r>
        <w:t xml:space="preserve">MIMO</w:t>
      </w:r>
      <w:r>
        <w:t xml:space="preserve"> </w:t>
      </w:r>
      <w:r>
        <w:t xml:space="preserve">Applications.”</w:t>
      </w:r>
      <w:r>
        <w:t xml:space="preserve"> </w:t>
      </w:r>
      <w:r>
        <w:t xml:space="preserve">In</w:t>
      </w:r>
      <w:r>
        <w:t xml:space="preserve"> </w:t>
      </w:r>
      <w:r>
        <w:rPr>
          <w:i/>
          <w:iCs/>
        </w:rPr>
        <w:t xml:space="preserve">Proc. Of Information Theory and Applications Workshop (ITA)</w:t>
      </w:r>
      <w:r>
        <w:t xml:space="preserve">, 1–8. San Diego, CA.</w:t>
      </w:r>
    </w:p>
    <w:bookmarkEnd w:id="56"/>
    <w:bookmarkStart w:id="58" w:name="ref-deepmimo_website"/>
    <w:p>
      <w:pPr>
        <w:pStyle w:val="Bibliography"/>
      </w:pPr>
      <w:r>
        <w:t xml:space="preserve">Alkhateeb, Ahmed. 2024.</w:t>
      </w:r>
      <w:r>
        <w:t xml:space="preserve"> </w:t>
      </w:r>
      <w:r>
        <w:t xml:space="preserve">“</w:t>
      </w:r>
      <w:r>
        <w:t xml:space="preserve">DeepMIMO</w:t>
      </w:r>
      <w:r>
        <w:t xml:space="preserve">: A Generic Deep Learning Dataset for Millimeter Wave and Massive</w:t>
      </w:r>
      <w:r>
        <w:t xml:space="preserve"> </w:t>
      </w:r>
      <w:r>
        <w:t xml:space="preserve">MIMO</w:t>
      </w:r>
      <w:r>
        <w:t xml:space="preserve"> </w:t>
      </w:r>
      <w:r>
        <w:t xml:space="preserve">Applications.”</w:t>
      </w:r>
      <w:r>
        <w:t xml:space="preserve"> </w:t>
      </w:r>
      <w:r>
        <w:t xml:space="preserve">2024.</w:t>
      </w:r>
      <w:r>
        <w:t xml:space="preserve"> </w:t>
      </w:r>
      <w:hyperlink r:id="rId57">
        <w:r>
          <w:rPr>
            <w:rStyle w:val="Hyperlink"/>
          </w:rPr>
          <w:t xml:space="preserve">https://www.deepmimo.net/</w:t>
        </w:r>
      </w:hyperlink>
      <w:r>
        <w:t xml:space="preserve">.</w:t>
      </w:r>
    </w:p>
    <w:bookmarkEnd w:id="58"/>
    <w:bookmarkStart w:id="60" w:name="ref-alkhateeb2018deep"/>
    <w:p>
      <w:pPr>
        <w:pStyle w:val="Bibliography"/>
      </w:pPr>
      <w:r>
        <w:t xml:space="preserve">Alkhateeb, Ahmed, Sam Alex, Paul Varkey, Ying Li, Qi Qu, and Djordje Tujkovic. 2018.</w:t>
      </w:r>
      <w:r>
        <w:t xml:space="preserve"> </w:t>
      </w:r>
      <w:r>
        <w:t xml:space="preserve">“</w:t>
      </w:r>
      <w:r>
        <w:t xml:space="preserve">Deep Learning Coordinated Beamforming for Highly-Mobile Millimeter Wave Systems</w:t>
      </w:r>
      <w:r>
        <w:t xml:space="preserve">.”</w:t>
      </w:r>
      <w:r>
        <w:t xml:space="preserve"> </w:t>
      </w:r>
      <w:r>
        <w:rPr>
          <w:i/>
          <w:iCs/>
        </w:rPr>
        <w:t xml:space="preserve">IEEE Access</w:t>
      </w:r>
      <w:r>
        <w:t xml:space="preserve"> </w:t>
      </w:r>
      <w:r>
        <w:t xml:space="preserve">6: 37328–48.</w:t>
      </w:r>
      <w:r>
        <w:t xml:space="preserve"> </w:t>
      </w:r>
      <w:hyperlink r:id="rId59">
        <w:r>
          <w:rPr>
            <w:rStyle w:val="Hyperlink"/>
          </w:rPr>
          <w:t xml:space="preserve">https://doi.org/10.1109/ACCESS.2018.2850226</w:t>
        </w:r>
      </w:hyperlink>
      <w:r>
        <w:t xml:space="preserve">.</w:t>
      </w:r>
    </w:p>
    <w:bookmarkEnd w:id="60"/>
    <w:bookmarkStart w:id="62" w:name="ref-bjornson2017massive"/>
    <w:p>
      <w:pPr>
        <w:pStyle w:val="Bibliography"/>
      </w:pPr>
      <w:r>
        <w:t xml:space="preserve">Björnson, Emil, Jakob Hoydis, and Luca Sanguinetti. 2017.</w:t>
      </w:r>
      <w:r>
        <w:t xml:space="preserve"> </w:t>
      </w:r>
      <w:r>
        <w:rPr>
          <w:i/>
          <w:iCs/>
        </w:rPr>
        <w:t xml:space="preserve">Massive</w:t>
      </w:r>
      <w:r>
        <w:rPr>
          <w:i/>
          <w:iCs/>
        </w:rPr>
        <w:t xml:space="preserve"> </w:t>
      </w:r>
      <w:r>
        <w:rPr>
          <w:i/>
          <w:iCs/>
        </w:rPr>
        <w:t xml:space="preserve">MIMO</w:t>
      </w:r>
      <w:r>
        <w:rPr>
          <w:i/>
          <w:iCs/>
        </w:rPr>
        <w:t xml:space="preserve"> </w:t>
      </w:r>
      <w:r>
        <w:rPr>
          <w:i/>
          <w:iCs/>
        </w:rPr>
        <w:t xml:space="preserve">Networks: Spectral, Energy, and Hardware Efficiency</w:t>
      </w:r>
      <w:r>
        <w:t xml:space="preserve">. Vol. 11. Foundations and Trends in Signal Processing 3–4. Now Publishers.</w:t>
      </w:r>
      <w:r>
        <w:t xml:space="preserve"> </w:t>
      </w:r>
      <w:hyperlink r:id="rId61">
        <w:r>
          <w:rPr>
            <w:rStyle w:val="Hyperlink"/>
          </w:rPr>
          <w:t xml:space="preserve">https://doi.org/10.1561/2000000093</w:t>
        </w:r>
      </w:hyperlink>
      <w:r>
        <w:t xml:space="preserve">.</w:t>
      </w:r>
    </w:p>
    <w:bookmarkEnd w:id="62"/>
    <w:bookmarkStart w:id="64" w:name="ref-cammerer2025sionna"/>
    <w:p>
      <w:pPr>
        <w:pStyle w:val="Bibliography"/>
      </w:pPr>
      <w:r>
        <w:t xml:space="preserve">Cammerer, Sebastian, Guillermo Marcus, Tobias Zirr, Fayçal Aı̈t Aoudia, Lorenzo Maggi, Jakob Hoydis, and Alexander Keller. 2025.</w:t>
      </w:r>
      <w:r>
        <w:t xml:space="preserve"> </w:t>
      </w:r>
      <w:r>
        <w:t xml:space="preserve">“</w:t>
      </w:r>
      <w:r>
        <w:t xml:space="preserve">Sionna</w:t>
      </w:r>
      <w:r>
        <w:t xml:space="preserve"> </w:t>
      </w:r>
      <w:r>
        <w:t xml:space="preserve">Research Kit: A</w:t>
      </w:r>
      <w:r>
        <w:t xml:space="preserve"> </w:t>
      </w:r>
      <w:r>
        <w:t xml:space="preserve">GPU</w:t>
      </w:r>
      <w:r>
        <w:t xml:space="preserve">-Accelerated Research Platform for</w:t>
      </w:r>
      <w:r>
        <w:t xml:space="preserve"> </w:t>
      </w:r>
      <w:r>
        <w:t xml:space="preserve">AI</w:t>
      </w:r>
      <w:r>
        <w:t xml:space="preserve">-</w:t>
      </w:r>
      <w:r>
        <w:t xml:space="preserve">RAN</w:t>
      </w:r>
      <w:r>
        <w:t xml:space="preserve">.”</w:t>
      </w:r>
      <w:r>
        <w:t xml:space="preserve"> </w:t>
      </w:r>
      <w:r>
        <w:rPr>
          <w:i/>
          <w:iCs/>
        </w:rPr>
        <w:t xml:space="preserve">arXiv Preprint arXiv:2505.15848</w:t>
      </w:r>
      <w:r>
        <w:t xml:space="preserve">.</w:t>
      </w:r>
      <w:r>
        <w:t xml:space="preserve"> </w:t>
      </w:r>
      <w:hyperlink r:id="rId63">
        <w:r>
          <w:rPr>
            <w:rStyle w:val="Hyperlink"/>
          </w:rPr>
          <w:t xml:space="preserve">https://doi.org/10.48550/arXiv.2505.15848</w:t>
        </w:r>
      </w:hyperlink>
      <w:r>
        <w:t xml:space="preserve">.</w:t>
      </w:r>
    </w:p>
    <w:bookmarkEnd w:id="64"/>
    <w:bookmarkStart w:id="66" w:name="ref-cohenarazi2025aerial"/>
    <w:p>
      <w:pPr>
        <w:pStyle w:val="Bibliography"/>
      </w:pPr>
      <w:r>
        <w:t xml:space="preserve">Cohen-Arazi, Kobi, Michael Roe, Zhen Hu, Rohan Chavan, Anna Ptasznik, Joanna Lin, Joao Morais, Joseph Boccuzzi, and Tommaso Balercia. 2025.</w:t>
      </w:r>
      <w:r>
        <w:t xml:space="preserve"> </w:t>
      </w:r>
      <w:r>
        <w:t xml:space="preserve">“</w:t>
      </w:r>
      <w:r>
        <w:t xml:space="preserve">NVIDIA AI Aerial</w:t>
      </w:r>
      <w:r>
        <w:t xml:space="preserve">:</w:t>
      </w:r>
      <w:r>
        <w:t xml:space="preserve"> </w:t>
      </w:r>
      <w:r>
        <w:t xml:space="preserve">AI</w:t>
      </w:r>
      <w:r>
        <w:t xml:space="preserve">-Native Wireless Communications</w:t>
      </w:r>
      <w:r>
        <w:t xml:space="preserve">.”</w:t>
      </w:r>
      <w:r>
        <w:t xml:space="preserve"> </w:t>
      </w:r>
      <w:r>
        <w:rPr>
          <w:i/>
          <w:iCs/>
        </w:rPr>
        <w:t xml:space="preserve">arXiv Preprint arXiv:2510.01533</w:t>
      </w:r>
      <w:r>
        <w:t xml:space="preserve">.</w:t>
      </w:r>
      <w:r>
        <w:t xml:space="preserve"> </w:t>
      </w:r>
      <w:hyperlink r:id="rId65">
        <w:r>
          <w:rPr>
            <w:rStyle w:val="Hyperlink"/>
          </w:rPr>
          <w:t xml:space="preserve">https://doi.org/10.48550/arXiv.2510.01533</w:t>
        </w:r>
      </w:hyperlink>
      <w:r>
        <w:t xml:space="preserve">.</w:t>
      </w:r>
    </w:p>
    <w:bookmarkEnd w:id="66"/>
    <w:bookmarkStart w:id="68" w:name="ref-gsma2018spectrum_pricing"/>
    <w:p>
      <w:pPr>
        <w:pStyle w:val="Bibliography"/>
      </w:pPr>
      <w:r>
        <w:t xml:space="preserve">Garbellini, Chiara, Kalvin Bahia, and Pau Castells. 2018.</w:t>
      </w:r>
      <w:r>
        <w:t xml:space="preserve"> </w:t>
      </w:r>
      <w:r>
        <w:t xml:space="preserve">“</w:t>
      </w:r>
      <w:r>
        <w:t xml:space="preserve">Spectrum Pricing in Developing Countries: Evidence to support better and more affordable mobile services</w:t>
      </w:r>
      <w:r>
        <w:t xml:space="preserve">.”</w:t>
      </w:r>
      <w:r>
        <w:t xml:space="preserve"> </w:t>
      </w:r>
      <w:r>
        <w:t xml:space="preserve">Raport.</w:t>
      </w:r>
      <w:r>
        <w:t xml:space="preserve"> </w:t>
      </w:r>
      <w:r>
        <w:t xml:space="preserve">GSMA Intelligence</w:t>
      </w:r>
      <w:r>
        <w:t xml:space="preserve">.</w:t>
      </w:r>
      <w:r>
        <w:t xml:space="preserve"> </w:t>
      </w:r>
      <w:hyperlink r:id="rId67">
        <w:r>
          <w:rPr>
            <w:rStyle w:val="Hyperlink"/>
          </w:rPr>
          <w:t xml:space="preserve">https://www.gsma.com/spectrum/resources/spectrum-pricing-in-developing-countries/</w:t>
        </w:r>
      </w:hyperlink>
      <w:r>
        <w:t xml:space="preserve">.</w:t>
      </w:r>
    </w:p>
    <w:bookmarkEnd w:id="68"/>
    <w:bookmarkStart w:id="70" w:name="ref-giordani2019tutorial"/>
    <w:p>
      <w:pPr>
        <w:pStyle w:val="Bibliography"/>
      </w:pPr>
      <w:r>
        <w:t xml:space="preserve">Giordani, Marco, Michele Polese, Arnab Roy, Douglas Castor, and Michele Zorzi. 2019.</w:t>
      </w:r>
      <w:r>
        <w:t xml:space="preserve"> </w:t>
      </w:r>
      <w:r>
        <w:t xml:space="preserve">“</w:t>
      </w:r>
      <w:r>
        <w:t xml:space="preserve">A Tutorial on Beam Management for 3GPP NR at mmWave Frequencies</w:t>
      </w:r>
      <w:r>
        <w:t xml:space="preserve">.”</w:t>
      </w:r>
      <w:r>
        <w:t xml:space="preserve"> </w:t>
      </w:r>
      <w:r>
        <w:rPr>
          <w:i/>
          <w:iCs/>
        </w:rPr>
        <w:t xml:space="preserve">IEEE Communications Surveys &amp; Tutorials</w:t>
      </w:r>
      <w:r>
        <w:t xml:space="preserve"> </w:t>
      </w:r>
      <w:r>
        <w:t xml:space="preserve">21 (1): 173–96.</w:t>
      </w:r>
      <w:r>
        <w:t xml:space="preserve"> </w:t>
      </w:r>
      <w:hyperlink r:id="rId69">
        <w:r>
          <w:rPr>
            <w:rStyle w:val="Hyperlink"/>
          </w:rPr>
          <w:t xml:space="preserve">https://doi.org/10.1109/COMST.2018.2869411</w:t>
        </w:r>
      </w:hyperlink>
      <w:r>
        <w:t xml:space="preserve">.</w:t>
      </w:r>
    </w:p>
    <w:bookmarkEnd w:id="70"/>
    <w:bookmarkStart w:id="72" w:name="ref-hoydis2022sionna"/>
    <w:p>
      <w:pPr>
        <w:pStyle w:val="Bibliography"/>
      </w:pPr>
      <w:r>
        <w:t xml:space="preserve">Hoydis, Jakob, Sebastian Cammerer, Fayçal Aı̈t Aoudia, Avinash Vem, Nikolaus Binder, Guillermo Marcus, and Alexander Keller. 2022.</w:t>
      </w:r>
      <w:r>
        <w:t xml:space="preserve"> </w:t>
      </w:r>
      <w:r>
        <w:t xml:space="preserve">“</w:t>
      </w:r>
      <w:r>
        <w:t xml:space="preserve">Sionna: An Open-Source Library for Next-Generation Physical Layer Research</w:t>
      </w:r>
      <w:r>
        <w:t xml:space="preserve">.”</w:t>
      </w:r>
      <w:r>
        <w:t xml:space="preserve"> </w:t>
      </w:r>
      <w:r>
        <w:rPr>
          <w:i/>
          <w:iCs/>
        </w:rPr>
        <w:t xml:space="preserve">arXiv Preprint arXiv:2203.11854</w:t>
      </w:r>
      <w:r>
        <w:t xml:space="preserve">.</w:t>
      </w:r>
      <w:r>
        <w:t xml:space="preserve"> </w:t>
      </w:r>
      <w:hyperlink r:id="rId71">
        <w:r>
          <w:rPr>
            <w:rStyle w:val="Hyperlink"/>
          </w:rPr>
          <w:t xml:space="preserve">https://doi.org/10.48550/arXiv.2203.11854</w:t>
        </w:r>
      </w:hyperlink>
      <w:r>
        <w:t xml:space="preserve">.</w:t>
      </w:r>
    </w:p>
    <w:bookmarkEnd w:id="72"/>
    <w:bookmarkStart w:id="74" w:name="ref-lin2023overview"/>
    <w:p>
      <w:pPr>
        <w:pStyle w:val="Bibliography"/>
      </w:pPr>
      <w:r>
        <w:t xml:space="preserve">Lin, Xingqin. 2023.</w:t>
      </w:r>
      <w:r>
        <w:t xml:space="preserve"> </w:t>
      </w:r>
      <w:r>
        <w:t xml:space="preserve">“</w:t>
      </w:r>
      <w:r>
        <w:t xml:space="preserve">An Overview of the</w:t>
      </w:r>
      <w:r>
        <w:t xml:space="preserve"> </w:t>
      </w:r>
      <w:r>
        <w:t xml:space="preserve">3GPP</w:t>
      </w:r>
      <w:r>
        <w:t xml:space="preserve"> </w:t>
      </w:r>
      <w:r>
        <w:t xml:space="preserve">Study on Artificial Intelligence for</w:t>
      </w:r>
      <w:r>
        <w:t xml:space="preserve"> </w:t>
      </w:r>
      <w:r>
        <w:t xml:space="preserve">5G</w:t>
      </w:r>
      <w:r>
        <w:t xml:space="preserve"> </w:t>
      </w:r>
      <w:r>
        <w:t xml:space="preserve">New Radio</w:t>
      </w:r>
      <w:r>
        <w:t xml:space="preserve">.”</w:t>
      </w:r>
      <w:r>
        <w:t xml:space="preserve"> </w:t>
      </w:r>
      <w:r>
        <w:rPr>
          <w:i/>
          <w:iCs/>
        </w:rPr>
        <w:t xml:space="preserve">arXiv Preprint arXiv:2308.05315</w:t>
      </w:r>
      <w:r>
        <w:t xml:space="preserve">.</w:t>
      </w:r>
      <w:r>
        <w:t xml:space="preserve"> </w:t>
      </w:r>
      <w:hyperlink r:id="rId73">
        <w:r>
          <w:rPr>
            <w:rStyle w:val="Hyperlink"/>
          </w:rPr>
          <w:t xml:space="preserve">https://doi.org/10.48550/arXiv.2308.05315</w:t>
        </w:r>
      </w:hyperlink>
      <w:r>
        <w:t xml:space="preserve">.</w:t>
      </w:r>
    </w:p>
    <w:bookmarkEnd w:id="74"/>
    <w:bookmarkStart w:id="76" w:name="ref-marzetta2010noncooperative"/>
    <w:p>
      <w:pPr>
        <w:pStyle w:val="Bibliography"/>
      </w:pPr>
      <w:r>
        <w:t xml:space="preserve">Marzetta, Thomas L. 2010.</w:t>
      </w:r>
      <w:r>
        <w:t xml:space="preserve"> </w:t>
      </w:r>
      <w:r>
        <w:t xml:space="preserve">“</w:t>
      </w:r>
      <w:r>
        <w:t xml:space="preserve">Noncooperative Cellular Wireless with Unlimited Numbers of Base Station Antennas</w:t>
      </w:r>
      <w:r>
        <w:t xml:space="preserve">.”</w:t>
      </w:r>
      <w:r>
        <w:t xml:space="preserve"> </w:t>
      </w:r>
      <w:r>
        <w:rPr>
          <w:i/>
          <w:iCs/>
        </w:rPr>
        <w:t xml:space="preserve">IEEE Transactions on Wireless Communications</w:t>
      </w:r>
      <w:r>
        <w:t xml:space="preserve"> </w:t>
      </w:r>
      <w:r>
        <w:t xml:space="preserve">9 (11): 3590–600.</w:t>
      </w:r>
      <w:r>
        <w:t xml:space="preserve"> </w:t>
      </w:r>
      <w:hyperlink r:id="rId75">
        <w:r>
          <w:rPr>
            <w:rStyle w:val="Hyperlink"/>
          </w:rPr>
          <w:t xml:space="preserve">https://doi.org/10.1109/TWC.2010.092810.091092</w:t>
        </w:r>
      </w:hyperlink>
      <w:r>
        <w:t xml:space="preserve">.</w:t>
      </w:r>
    </w:p>
    <w:bookmarkEnd w:id="76"/>
    <w:bookmarkEnd w:id="77"/>
    <w:p>
      <w:r>
        <w:br w:type="page"/>
      </w:r>
    </w:p>
    <w:bookmarkEnd w:id="78"/>
    <w:bookmarkEnd w:id="79"/>
    <w:sectPr w:rsidR="002425EF" w:rsidSect="000615CB">
      <w:pgSz w:h="15840" w:w="12240"/>
      <w:pgMar w:bottom="1418" w:footer="720" w:gutter="0" w:header="720" w:left="1418" w:right="1418"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9A61DF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76507425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425EF"/>
    <w:rsid w:val="000615CB"/>
    <w:rsid w:val="002425EF"/>
    <w:rsid w:val="00951256"/>
    <w:rsid w:val="00984B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20" w:line="276" w:lineRule="auto"/>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outlineLvl w:val="8"/>
    </w:pPr>
    <w:rPr>
      <w:rFonts w:asciiTheme="majorHAnsi" w:cstheme="majorBidi" w:eastAsiaTheme="majorEastAsia" w:hAnsiTheme="majorHAnsi"/>
      <w:color w:themeColor="accent1" w:val="4F81BD"/>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style>
  <w:style w:customStyle="1" w:styleId="FirstParagraph" w:type="paragraph">
    <w:name w:val="First Paragraph"/>
    <w:basedOn w:val="BodyText"/>
    <w:next w:val="BodyText"/>
    <w:qFormat/>
  </w:style>
  <w:style w:customStyle="1" w:styleId="Compact" w:type="paragraph">
    <w:name w:val="Compact"/>
    <w:basedOn w:val="BodyText"/>
    <w:qFormat/>
  </w:style>
  <w:style w:styleId="Title" w:type="paragraph">
    <w:name w:val="Title"/>
    <w:basedOn w:val="Normal"/>
    <w:next w:val="BodyText"/>
    <w:qFormat/>
    <w:pPr>
      <w:keepNext/>
      <w:keepLines/>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pPr>
    <w:rPr>
      <w:b/>
      <w:color w:val="345A8A"/>
      <w:sz w:val="20"/>
      <w:szCs w:val="20"/>
    </w:rPr>
  </w:style>
  <w:style w:customStyle="1" w:styleId="Abstract" w:type="paragraph">
    <w:name w:val="Abstract"/>
    <w:basedOn w:val="Normal"/>
    <w:next w:val="BodyText"/>
    <w:qFormat/>
    <w:pPr>
      <w:keepNext/>
      <w:keepLines/>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doi.org/10.1109/ACCESS.2018.2850226" TargetMode="External" /><Relationship Type="http://schemas.openxmlformats.org/officeDocument/2006/relationships/hyperlink" Id="rId69" Target="https://doi.org/10.1109/COMST.2018.2869411" TargetMode="External" /><Relationship Type="http://schemas.openxmlformats.org/officeDocument/2006/relationships/hyperlink" Id="rId75" Target="https://doi.org/10.1109/TWC.2010.092810.091092" TargetMode="External" /><Relationship Type="http://schemas.openxmlformats.org/officeDocument/2006/relationships/hyperlink" Id="rId61" Target="https://doi.org/10.1561/2000000093" TargetMode="External" /><Relationship Type="http://schemas.openxmlformats.org/officeDocument/2006/relationships/hyperlink" Id="rId71" Target="https://doi.org/10.48550/arXiv.2203.11854" TargetMode="External" /><Relationship Type="http://schemas.openxmlformats.org/officeDocument/2006/relationships/hyperlink" Id="rId73" Target="https://doi.org/10.48550/arXiv.2308.05315" TargetMode="External" /><Relationship Type="http://schemas.openxmlformats.org/officeDocument/2006/relationships/hyperlink" Id="rId63" Target="https://doi.org/10.48550/arXiv.2505.15848" TargetMode="External" /><Relationship Type="http://schemas.openxmlformats.org/officeDocument/2006/relationships/hyperlink" Id="rId65" Target="https://doi.org/10.48550/arXiv.2510.01533" TargetMode="External" /><Relationship Type="http://schemas.openxmlformats.org/officeDocument/2006/relationships/hyperlink" Id="rId57" Target="https://www.deepmimo.net/" TargetMode="External" /><Relationship Type="http://schemas.openxmlformats.org/officeDocument/2006/relationships/hyperlink" Id="rId67" Target="https://www.gsma.com/spectrum/resources/spectrum-pricing-in-developing-countries/"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109/ACCESS.2018.2850226" TargetMode="External" /><Relationship Type="http://schemas.openxmlformats.org/officeDocument/2006/relationships/hyperlink" Id="rId69" Target="https://doi.org/10.1109/COMST.2018.2869411" TargetMode="External" /><Relationship Type="http://schemas.openxmlformats.org/officeDocument/2006/relationships/hyperlink" Id="rId75" Target="https://doi.org/10.1109/TWC.2010.092810.091092" TargetMode="External" /><Relationship Type="http://schemas.openxmlformats.org/officeDocument/2006/relationships/hyperlink" Id="rId61" Target="https://doi.org/10.1561/2000000093" TargetMode="External" /><Relationship Type="http://schemas.openxmlformats.org/officeDocument/2006/relationships/hyperlink" Id="rId71" Target="https://doi.org/10.48550/arXiv.2203.11854" TargetMode="External" /><Relationship Type="http://schemas.openxmlformats.org/officeDocument/2006/relationships/hyperlink" Id="rId73" Target="https://doi.org/10.48550/arXiv.2308.05315" TargetMode="External" /><Relationship Type="http://schemas.openxmlformats.org/officeDocument/2006/relationships/hyperlink" Id="rId63" Target="https://doi.org/10.48550/arXiv.2505.15848" TargetMode="External" /><Relationship Type="http://schemas.openxmlformats.org/officeDocument/2006/relationships/hyperlink" Id="rId65" Target="https://doi.org/10.48550/arXiv.2510.01533" TargetMode="External" /><Relationship Type="http://schemas.openxmlformats.org/officeDocument/2006/relationships/hyperlink" Id="rId57" Target="https://www.deepmimo.net/" TargetMode="External" /><Relationship Type="http://schemas.openxmlformats.org/officeDocument/2006/relationships/hyperlink" Id="rId67" Target="https://www.gsma.com/spectrum/resources/spectrum-pricing-in-developing-count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2026-10-23T11:56:22Z</dcterms:created>
  <dcterms:modified xsi:type="dcterms:W3CDTF">2026-10-23T11:56:22Z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/home/finch/repo/praca-koncowa-zieba/praca/references.bib</vt:lpwstr>
  </property>
</Properties>
</file>