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Follow-Doctor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0"/>
        </w:rPr>
        <w:t xml:space="preserve">: follow-doctor.component.html, follow-doctor.component.css, follow-doctor.component.ts, follow-doctor.component.spec.ts, followers.ts, followersDAO.java, DoctorController.java, DoctorInfoService.java, DoctorInfoServiceImpl.java, followers.java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 used:</w:t>
      </w:r>
      <w:r w:rsidDel="00000000" w:rsidR="00000000" w:rsidRPr="00000000">
        <w:rPr>
          <w:sz w:val="24"/>
          <w:szCs w:val="24"/>
          <w:rtl w:val="0"/>
        </w:rPr>
        <w:t xml:space="preserve"> doctor-info.service.ts, session.service.ts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module used to let revature associates follow and unfollow doctors by clicking the toggling follow/unfollow button. Revature associates can follow multiple doctors at a time. This component is injected into the doctor-profile component 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: Courtney Starling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305"/>
        <w:tblGridChange w:id="0">
          <w:tblGrid>
            <w:gridCol w:w="2865"/>
            <w:gridCol w:w="7305"/>
          </w:tblGrid>
        </w:tblGridChange>
      </w:tblGrid>
      <w:tr>
        <w:trPr>
          <w:trHeight w:val="48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SUMMARY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Unique Id generated in database to identify the follower object.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The doctor’s identification number to matchup with Revature Associate’s email and follow doctor if associate is not currently following.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revAssociate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(RevAssociate) The associate object in the session. It is used to access the Revature Associate’s email address and matchup with NPI number to follow doctor.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(number) Date Revature Associate began following the Doctor.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revAssociateEmail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(string) Email address for Revature Associate to matchup with npi number and follow doctor if associate is not currently following.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(Doctor) The doctor object in the session for Revature Associates to follow.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5025"/>
        <w:tblGridChange w:id="0">
          <w:tblGrid>
            <w:gridCol w:w="5190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isFollowing(npi: number, revassociate: 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 that checks if the Revature Associate’s email and NPI number matchup in the database and thus if the Revature Associate is following the Doctor or not.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followDoctor(followers: Followers)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Revature Associates to follow a doctor and add the follower object to the followers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unfollowDoctor(followerId)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Revature Associate to unfollow a doctor and delete the follower object from the followers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getAllFollowers()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a list of all followers.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getAssociateSession()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Continues the Revature Associate’s session so that following status will persist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toggleFollowing()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Toggles the follow button between “Follow” and “Unfollow” depending on Revature Associate’s current following status for the Doctor.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getDoctor(npi: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Retrieves Doctor by NPI number.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Enhancements:</w:t>
      </w:r>
      <w:r w:rsidDel="00000000" w:rsidR="00000000" w:rsidRPr="00000000">
        <w:rPr>
          <w:sz w:val="24"/>
          <w:szCs w:val="24"/>
          <w:rtl w:val="0"/>
        </w:rPr>
        <w:t xml:space="preserve"> Provide the Revature Associate with more benefits for following the doctor. Such as a page that displays info for all the doctors an associate is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