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Comparative assessment of Spirometry findings among Bidi and Cigarette Smokers in Rural Odisha: A Community-Based Cross-sectional Study</w:t>
      </w:r>
    </w:p>
    <w:p w:rsidR="00000000" w:rsidDel="00000000" w:rsidP="00000000" w:rsidRDefault="00000000" w:rsidRPr="00000000" w14:paraId="0000000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Abstract: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Tobacco smoking continues to be a significant public health issue in India, with bidi smoking being especially prevalent in rural regions. While various smoking types might affect lung function differently, there is limited comparative data on airflow restriction between bidi and cigarette smokers, specifically in rural Odisha. Aim &amp; Objectives: To compare the FEV₁/FVC ratio between bidi and cigarette smokers, assess the prevalence of obstructive airway disease (OAD) in these groups, and analyse blood pressure differences in smokers with and without OAD. Methods: A community-based, observational, descriptive study was conducted with 355 adult male smokers aged 20–60 years in rural Odisha. Data on sociodemographic factors and smoking habits were collected using a pre-tested semi-structured questionnaire. Spirometry was performed following standard protocols. Results: The study included 355 smokers, with 51.5% smoking cigarettes and 48.5% smoking bidis.  The overall prevalence of OAD was 43.6%. Bidi smokers had a higher rate of OAD (66.9%) compared to cigarette smokers (21.9%) (p&lt;0.001). Smokers with OAD also exhibited higher systolic and diastolic blood pressure (p&lt;0.05). Factors such as early initiation of smoking, higher smoking intensity, lower education levels, and lower socio-economic status were significantly associated with OAD. Conclusion: Bidi smoking is linked to more severe airflow restriction and a higher prevalence of obstructive airway disease than cigarette smoking among rural men. There is a pressing need for targeted smoking cessation programs and routine spirometry screening in rural communities.</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Airflow limitation, Obstructive airway disease, Smokers, Rural Odisha</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Comparative assessment of Spirometry findings among Bidi and Cigarette Smokers in Rural Odisha: A Community-Based Cross-sectional Study</w:t>
      </w:r>
    </w:p>
    <w:p w:rsidR="00000000" w:rsidDel="00000000" w:rsidP="00000000" w:rsidRDefault="00000000" w:rsidRPr="00000000" w14:paraId="0000000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According to the Global Adult Tobacco Survey (GATS-2), approximately 28.6% of Indians aged 15 years and above use tobacco in various forms</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Tobacco use contributes to progressive narrowing of the airways, leading to impaired pulmonary function over time</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Chronic smoking is also associated with endothelial dysfunction and arterial stiffness, which contribute to sustained hypertension</w:t>
      </w:r>
      <w:r w:rsidDel="00000000" w:rsidR="00000000" w:rsidRPr="00000000">
        <w:rPr>
          <w:rFonts w:ascii="Times New Roman" w:cs="Times New Roman" w:eastAsia="Times New Roman" w:hAnsi="Times New Roman"/>
          <w:sz w:val="24"/>
          <w:szCs w:val="24"/>
          <w:vertAlign w:val="superscript"/>
          <w:rtl w:val="0"/>
        </w:rPr>
        <w:t xml:space="preserve">3,4</w:t>
      </w:r>
      <w:r w:rsidDel="00000000" w:rsidR="00000000" w:rsidRPr="00000000">
        <w:rPr>
          <w:rFonts w:ascii="Times New Roman" w:cs="Times New Roman" w:eastAsia="Times New Roman" w:hAnsi="Times New Roman"/>
          <w:sz w:val="24"/>
          <w:szCs w:val="24"/>
          <w:rtl w:val="0"/>
        </w:rPr>
        <w:t xml:space="preserve">. These adverse cardiovascular effects may be further aggravated in rural populations due to limited access to healthcare services, lower awareness levels, and delayed detection of disease. While the association between tobacco use and hypertension has been examined in urban settings of Odisha, limited evidence is available from rural communities. A secondary analysis of the National Family Health Survey-5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(NFHS-5) demonstrated that daily smokers have a significantly higher likelihood of hypertension</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Spirometry is an essential tool for assessing respiratory health and lung function, measuring parameters such as forced vital capacity (FVC), forced expiratory volume in one second (FEV₁), FEV₁/FVC ratio, and peak expiratory flow rate (PEFR)</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Despite several studies evaluating smoking-related lung impairment, there is a paucity of research comparing cigarette and bidi smoking in rural Odisha</w:t>
      </w:r>
      <w:r w:rsidDel="00000000" w:rsidR="00000000" w:rsidRPr="00000000">
        <w:rPr>
          <w:rFonts w:ascii="Times New Roman" w:cs="Times New Roman" w:eastAsia="Times New Roman" w:hAnsi="Times New Roman"/>
          <w:sz w:val="24"/>
          <w:szCs w:val="24"/>
          <w:vertAlign w:val="superscript"/>
          <w:rtl w:val="0"/>
        </w:rPr>
        <w:t xml:space="preserve">7,8</w:t>
      </w:r>
      <w:r w:rsidDel="00000000" w:rsidR="00000000" w:rsidRPr="00000000">
        <w:rPr>
          <w:rFonts w:ascii="Times New Roman" w:cs="Times New Roman" w:eastAsia="Times New Roman" w:hAnsi="Times New Roman"/>
          <w:sz w:val="24"/>
          <w:szCs w:val="24"/>
          <w:rtl w:val="0"/>
        </w:rPr>
        <w:t xml:space="preserve">. Despite numerous studies on smokers, few have compared cigarette and bidi use in rural Odisha, with the following objectives. </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lhudnc80pzz"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To compare the FEV1/FVC ratio among cigarette and bidi smokers.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To determine the prevalence of obstructive airway disease among smokers.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To study the mean ± SD blood pressure in subjects with and without obstructive airway disease (OAD).</w:t>
      </w:r>
    </w:p>
    <w:p w:rsidR="00000000" w:rsidDel="00000000" w:rsidP="00000000" w:rsidRDefault="00000000" w:rsidRPr="00000000" w14:paraId="0000000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 </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bookmarkStart w:colFirst="0" w:colLast="0" w:name="_lmyn774oi3f0" w:id="1"/>
      <w:bookmarkEnd w:id="1"/>
      <w:r w:rsidDel="00000000" w:rsidR="00000000" w:rsidRPr="00000000">
        <w:rPr>
          <w:rFonts w:ascii="Times New Roman" w:cs="Times New Roman" w:eastAsia="Times New Roman" w:hAnsi="Times New Roman"/>
          <w:b w:val="1"/>
          <w:bCs w:val="1"/>
          <w:sz w:val="24"/>
          <w:szCs w:val="24"/>
          <w:rtl w:val="0"/>
        </w:rPr>
        <w:t xml:space="preserve">Study Design: </w:t>
      </w:r>
      <w:r w:rsidDel="00000000" w:rsidR="00000000" w:rsidRPr="00000000">
        <w:rPr>
          <w:rFonts w:ascii="Times New Roman" w:cs="Times New Roman" w:eastAsia="Times New Roman" w:hAnsi="Times New Roman"/>
          <w:sz w:val="24"/>
          <w:szCs w:val="24"/>
          <w:rtl w:val="0"/>
        </w:rPr>
        <w:t xml:space="preserve">Community based cross sectional study</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Period: </w:t>
      </w:r>
      <w:r w:rsidDel="00000000" w:rsidR="00000000" w:rsidRPr="00000000">
        <w:rPr>
          <w:rFonts w:ascii="Times New Roman" w:cs="Times New Roman" w:eastAsia="Times New Roman" w:hAnsi="Times New Roman"/>
          <w:sz w:val="24"/>
          <w:szCs w:val="24"/>
          <w:rtl w:val="0"/>
        </w:rPr>
        <w:t xml:space="preserve">July 2025 to September 2025, i.e. for 3 months</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bookmarkStart w:colFirst="0" w:colLast="0" w:name="_kbeyjxuumgi8" w:id="2"/>
      <w:bookmarkEnd w:id="2"/>
      <w:r w:rsidDel="00000000" w:rsidR="00000000" w:rsidRPr="00000000">
        <w:rPr>
          <w:rFonts w:ascii="Times New Roman" w:cs="Times New Roman" w:eastAsia="Times New Roman" w:hAnsi="Times New Roman"/>
          <w:b w:val="1"/>
          <w:bCs w:val="1"/>
          <w:sz w:val="24"/>
          <w:szCs w:val="24"/>
          <w:rtl w:val="0"/>
        </w:rPr>
        <w:t xml:space="preserve">Study Population: </w:t>
      </w:r>
      <w:r w:rsidDel="00000000" w:rsidR="00000000" w:rsidRPr="00000000">
        <w:rPr>
          <w:rFonts w:ascii="Times New Roman" w:cs="Times New Roman" w:eastAsia="Times New Roman" w:hAnsi="Times New Roman"/>
          <w:sz w:val="24"/>
          <w:szCs w:val="24"/>
          <w:rtl w:val="0"/>
        </w:rPr>
        <w:t xml:space="preserve"> Male subjects in the age group of 20-60 years, residing in the Kalarabanka village. </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Settings:</w:t>
      </w:r>
      <w:r w:rsidDel="00000000" w:rsidR="00000000" w:rsidRPr="00000000">
        <w:rPr>
          <w:rFonts w:ascii="Times New Roman" w:cs="Times New Roman" w:eastAsia="Times New Roman" w:hAnsi="Times New Roman"/>
          <w:sz w:val="24"/>
          <w:szCs w:val="24"/>
          <w:rtl w:val="0"/>
        </w:rPr>
        <w:t xml:space="preserve"> Rural health and training centre </w:t>
      </w:r>
    </w:p>
    <w:p w:rsidR="00000000" w:rsidDel="00000000" w:rsidP="00000000" w:rsidRDefault="00000000" w:rsidRPr="00000000" w14:paraId="0000001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Size: </w:t>
      </w:r>
      <w:r w:rsidDel="00000000" w:rsidR="00000000" w:rsidRPr="00000000">
        <w:rPr>
          <w:rFonts w:ascii="Times New Roman" w:cs="Times New Roman" w:eastAsia="Times New Roman" w:hAnsi="Times New Roman"/>
          <w:sz w:val="24"/>
          <w:szCs w:val="24"/>
          <w:rtl w:val="0"/>
        </w:rPr>
        <w:t xml:space="preserve"> It is calculated using the formula </w:t>
      </w:r>
    </w:p>
    <w:p w:rsidR="00000000" w:rsidDel="00000000" w:rsidP="00000000" w:rsidRDefault="00000000" w:rsidRPr="00000000" w14:paraId="0000001A">
      <w:pPr>
        <w:spacing w:after="0" w:line="240" w:lineRule="auto"/>
        <w:ind w:left="1440"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 = </w:t>
      </w:r>
      <w:r w:rsidDel="00000000" w:rsidR="00000000" w:rsidRPr="00000000">
        <w:rPr>
          <w:rFonts w:ascii="Times New Roman" w:cs="Times New Roman" w:eastAsia="Times New Roman" w:hAnsi="Times New Roman"/>
          <w:sz w:val="24"/>
          <w:szCs w:val="24"/>
          <w:u w:val="single"/>
          <w:rtl w:val="0"/>
        </w:rPr>
        <w:t xml:space="preserve">Z</w:t>
      </w:r>
      <w:r w:rsidDel="00000000" w:rsidR="00000000" w:rsidRPr="00000000">
        <w:rPr>
          <w:rFonts w:ascii="Times New Roman" w:cs="Times New Roman" w:eastAsia="Times New Roman" w:hAnsi="Times New Roman"/>
          <w:sz w:val="24"/>
          <w:szCs w:val="24"/>
          <w:u w:val="single"/>
          <w:vertAlign w:val="superscript"/>
          <w:rtl w:val="0"/>
        </w:rPr>
        <w:t xml:space="preserve">2</w:t>
      </w:r>
      <w:r w:rsidDel="00000000" w:rsidR="00000000" w:rsidRPr="00000000">
        <w:rPr>
          <w:rFonts w:ascii="Times New Roman" w:cs="Times New Roman" w:eastAsia="Times New Roman" w:hAnsi="Times New Roman"/>
          <w:sz w:val="24"/>
          <w:szCs w:val="24"/>
          <w:u w:val="single"/>
          <w:rtl w:val="0"/>
        </w:rPr>
        <w:t xml:space="preserve"> X p X (1-p)</w:t>
      </w:r>
    </w:p>
    <w:p w:rsidR="00000000" w:rsidDel="00000000" w:rsidP="00000000" w:rsidRDefault="00000000" w:rsidRPr="00000000" w14:paraId="0000001B">
      <w:pPr>
        <w:spacing w:after="0" w:line="240" w:lineRule="auto"/>
        <w:ind w:left="2160"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d2</w:t>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Z = 1.96 (for 95% confidence) </w:t>
      </w:r>
      <w:r w:rsidDel="00000000" w:rsidR="00000000" w:rsidRPr="00000000">
        <w:rPr>
          <w:rFonts w:ascii="Times New Roman" w:cs="Times New Roman" w:eastAsia="Times New Roman" w:hAnsi="Times New Roman"/>
          <w:color w:val="222222"/>
          <w:sz w:val="24"/>
          <w:szCs w:val="24"/>
          <w:highlight w:val="white"/>
          <w:rtl w:val="0"/>
        </w:rPr>
        <w:t xml:space="preserve">p= 0.30 (30% estimated abnormal spirometry taken from GOLD</w:t>
      </w:r>
      <w:r w:rsidDel="00000000" w:rsidR="00000000" w:rsidRPr="00000000">
        <w:rPr>
          <w:rFonts w:ascii="Times New Roman" w:cs="Times New Roman" w:eastAsia="Times New Roman" w:hAnsi="Times New Roman"/>
          <w:b w:val="0"/>
          <w:bCs w:val="0"/>
          <w:sz w:val="24"/>
          <w:szCs w:val="24"/>
          <w:rtl w:val="0"/>
        </w:rPr>
        <w:t xml:space="preserve"> reports and Indian studies</w:t>
      </w:r>
      <w:r w:rsidDel="00000000" w:rsidR="00000000" w:rsidRPr="00000000">
        <w:rPr>
          <w:rFonts w:ascii="Times New Roman" w:cs="Times New Roman" w:eastAsia="Times New Roman" w:hAnsi="Times New Roman"/>
          <w:sz w:val="24"/>
          <w:szCs w:val="24"/>
          <w:rtl w:val="0"/>
        </w:rPr>
        <w:t xml:space="preserve"> often show </w:t>
      </w:r>
      <w:r w:rsidDel="00000000" w:rsidR="00000000" w:rsidRPr="00000000">
        <w:rPr>
          <w:rFonts w:ascii="Times New Roman" w:cs="Times New Roman" w:eastAsia="Times New Roman" w:hAnsi="Times New Roman"/>
          <w:b w:val="0"/>
          <w:bCs w:val="0"/>
          <w:sz w:val="24"/>
          <w:szCs w:val="24"/>
          <w:rtl w:val="0"/>
        </w:rPr>
        <w:t xml:space="preserve">airflow obstruction in 30% of adult smokers</w:t>
      </w:r>
      <w:r w:rsidDel="00000000" w:rsidR="00000000" w:rsidRPr="00000000">
        <w:rPr>
          <w:rFonts w:ascii="Times New Roman" w:cs="Times New Roman" w:eastAsia="Times New Roman" w:hAnsi="Times New Roman"/>
          <w:sz w:val="24"/>
          <w:szCs w:val="24"/>
          <w:rtl w:val="0"/>
        </w:rPr>
        <w:t xml:space="preserve"> when using FEV₁/FVC &lt; 0.70 as a cut-off</w:t>
      </w:r>
      <w:r w:rsidDel="00000000" w:rsidR="00000000" w:rsidRPr="00000000">
        <w:rPr>
          <w:rFonts w:ascii="Times New Roman" w:cs="Times New Roman" w:eastAsia="Times New Roman" w:hAnsi="Times New Roman"/>
          <w:color w:val="222222"/>
          <w:sz w:val="24"/>
          <w:szCs w:val="24"/>
          <w:highlight w:val="white"/>
          <w:rtl w:val="0"/>
        </w:rPr>
        <w:t xml:space="preserve">) and d= 0.05 (5 % absolute precision) Adjusting</w:t>
      </w:r>
      <w:r w:rsidDel="00000000" w:rsidR="00000000" w:rsidRPr="00000000">
        <w:rPr>
          <w:rFonts w:ascii="Times New Roman" w:cs="Times New Roman" w:eastAsia="Times New Roman" w:hAnsi="Times New Roman"/>
          <w:sz w:val="24"/>
          <w:szCs w:val="24"/>
          <w:rtl w:val="0"/>
        </w:rPr>
        <w:t xml:space="preserve"> 10% non -response we arrived at a final sample size is 355. </w:t>
      </w:r>
    </w:p>
    <w:p w:rsidR="00000000" w:rsidDel="00000000" w:rsidP="00000000" w:rsidRDefault="00000000" w:rsidRPr="00000000" w14:paraId="0000001D">
      <w:pPr>
        <w:spacing w:after="280" w:before="280" w:line="24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E">
      <w:pPr>
        <w:spacing w:after="0" w:lin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w:t>
      </w:r>
      <w:r w:rsidDel="00000000" w:rsidR="00000000" w:rsidRPr="00000000">
        <w:rPr>
          <w:rFonts w:ascii="Times New Roman" w:cs="Times New Roman" w:eastAsia="Times New Roman" w:hAnsi="Times New Roman"/>
          <w:sz w:val="24"/>
          <w:szCs w:val="24"/>
          <w:u w:val="single"/>
          <w:rtl w:val="0"/>
        </w:rPr>
        <w:t xml:space="preserve">1.96</w:t>
      </w:r>
      <w:r w:rsidDel="00000000" w:rsidR="00000000" w:rsidRPr="00000000">
        <w:rPr>
          <w:rFonts w:ascii="Times New Roman" w:cs="Times New Roman" w:eastAsia="Times New Roman" w:hAnsi="Times New Roman"/>
          <w:sz w:val="24"/>
          <w:szCs w:val="24"/>
          <w:u w:val="single"/>
          <w:vertAlign w:val="superscript"/>
          <w:rtl w:val="0"/>
        </w:rPr>
        <w:t xml:space="preserve">2</w:t>
      </w:r>
      <w:r w:rsidDel="00000000" w:rsidR="00000000" w:rsidRPr="00000000">
        <w:rPr>
          <w:rFonts w:ascii="Times New Roman" w:cs="Times New Roman" w:eastAsia="Times New Roman" w:hAnsi="Times New Roman"/>
          <w:sz w:val="24"/>
          <w:szCs w:val="24"/>
          <w:u w:val="single"/>
          <w:rtl w:val="0"/>
        </w:rPr>
        <w:t xml:space="preserve"> X 0.30 X 0.70    </w:t>
      </w:r>
      <w:r w:rsidDel="00000000" w:rsidR="00000000" w:rsidRPr="00000000">
        <w:rPr>
          <w:rFonts w:ascii="Times New Roman" w:cs="Times New Roman" w:eastAsia="Times New Roman" w:hAnsi="Times New Roman"/>
          <w:sz w:val="24"/>
          <w:szCs w:val="24"/>
          <w:rtl w:val="0"/>
        </w:rPr>
        <w:t xml:space="preserve"> = 323</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ab/>
        <w:tab/>
        <w:tab/>
        <w:tab/>
        <w:t xml:space="preserve">      0.05</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bookmarkStart w:colFirst="0" w:colLast="0" w:name="_6bfzfejwkc5b" w:id="3"/>
      <w:bookmarkEnd w:id="3"/>
      <w:r w:rsidDel="00000000" w:rsidR="00000000" w:rsidRPr="00000000">
        <w:rPr>
          <w:rFonts w:ascii="Times New Roman" w:cs="Times New Roman" w:eastAsia="Times New Roman" w:hAnsi="Times New Roman"/>
          <w:b w:val="1"/>
          <w:bCs w:val="1"/>
          <w:sz w:val="24"/>
          <w:szCs w:val="24"/>
          <w:rtl w:val="0"/>
        </w:rPr>
        <w:t xml:space="preserve">Sampling Technique: </w:t>
      </w:r>
      <w:r w:rsidDel="00000000" w:rsidR="00000000" w:rsidRPr="00000000">
        <w:rPr>
          <w:rFonts w:ascii="Times New Roman" w:cs="Times New Roman" w:eastAsia="Times New Roman" w:hAnsi="Times New Roman"/>
          <w:sz w:val="24"/>
          <w:szCs w:val="24"/>
          <w:rtl w:val="0"/>
        </w:rPr>
        <w:t xml:space="preserve">Purposive sampling was done to include men aged 20 to 60 years who met the inclusion criteria. Only males were selected due to the low smoking rate among women in the Indian context. All eligible participants who provided written informed consent were enrolled.</w:t>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Exclusion criteria</w:t>
      </w:r>
      <w:r w:rsidDel="00000000" w:rsidR="00000000" w:rsidRPr="00000000">
        <w:rPr>
          <w:rFonts w:ascii="Times New Roman" w:cs="Times New Roman" w:eastAsia="Times New Roman" w:hAnsi="Times New Roman"/>
          <w:sz w:val="24"/>
          <w:szCs w:val="24"/>
          <w:rtl w:val="0"/>
        </w:rPr>
        <w:t xml:space="preserve">: Previously diagnosed lung disease, TB /cancer/rheumatic heart disease or any other chronic illness and those who didn’t give consent.</w:t>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Tool: </w:t>
      </w:r>
      <w:r w:rsidDel="00000000" w:rsidR="00000000" w:rsidRPr="00000000">
        <w:rPr>
          <w:rFonts w:ascii="Times New Roman" w:cs="Times New Roman" w:eastAsia="Times New Roman" w:hAnsi="Times New Roman"/>
          <w:sz w:val="24"/>
          <w:szCs w:val="24"/>
          <w:rtl w:val="0"/>
        </w:rPr>
        <w:t xml:space="preserve"> Written informed consent was obtained from all participants after explaining the study objectives. Data were collected using a pre-tested, semi-structured questionnaire, covering sociodemographic details, working conditions, and substance use patterns like cigarettes and bidis.  Height (cm) was measured with light clothing and no footwear, using the SECA 213 stadiometer, and weight (kg) with a digital scale (Phoenix, Nitiraj Engineer Ltd., India). Spirometry was done using a portable spirometer (Contec SP 10) according to American Thoracic Society/European Respiratory Society criteria. </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w:t>
      </w:r>
      <w:r w:rsidDel="00000000" w:rsidR="00000000" w:rsidRPr="00000000">
        <w:rPr>
          <w:rFonts w:ascii="Times New Roman" w:cs="Times New Roman" w:eastAsia="Times New Roman" w:hAnsi="Times New Roman"/>
          <w:sz w:val="24"/>
          <w:szCs w:val="24"/>
          <w:rtl w:val="0"/>
        </w:rPr>
        <w:t xml:space="preserve">Interview technique and spirometry were done by trained healthcare personnel.</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definition of Smoker</w:t>
      </w:r>
      <w:r w:rsidDel="00000000" w:rsidR="00000000" w:rsidRPr="00000000">
        <w:rPr>
          <w:rFonts w:ascii="Times New Roman" w:cs="Times New Roman" w:eastAsia="Times New Roman" w:hAnsi="Times New Roman"/>
          <w:sz w:val="24"/>
          <w:szCs w:val="24"/>
          <w:rtl w:val="0"/>
        </w:rPr>
        <w:t xml:space="preserve">:  Someone who, at the time of the study, smokes cigarette or bidi either daily or occasionally. </w:t>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Clearance:</w:t>
      </w:r>
      <w:r w:rsidDel="00000000" w:rsidR="00000000" w:rsidRPr="00000000">
        <w:rPr>
          <w:rFonts w:ascii="Times New Roman" w:cs="Times New Roman" w:eastAsia="Times New Roman" w:hAnsi="Times New Roman"/>
          <w:sz w:val="24"/>
          <w:szCs w:val="24"/>
          <w:rtl w:val="0"/>
        </w:rPr>
        <w:t xml:space="preserve">  The study was approved by the Institutional Review Board and Ethics Committee of Kalinga Institute of Medical Sciences (</w:t>
      </w:r>
      <w:r w:rsidDel="00000000" w:rsidR="00000000" w:rsidRPr="00000000">
        <w:rPr>
          <w:rFonts w:ascii="Times New Roman" w:cs="Times New Roman" w:eastAsia="Times New Roman" w:hAnsi="Times New Roman"/>
          <w:b w:val="1"/>
          <w:bCs w:val="1"/>
          <w:sz w:val="24"/>
          <w:szCs w:val="24"/>
          <w:rtl w:val="0"/>
        </w:rPr>
        <w:t xml:space="preserve">Ref no: KIIT/KIMS/IEC/2291/2025</w:t>
      </w:r>
      <w:r w:rsidDel="00000000" w:rsidR="00000000" w:rsidRPr="00000000">
        <w:rPr>
          <w:rFonts w:ascii="Times New Roman" w:cs="Times New Roman" w:eastAsia="Times New Roman" w:hAnsi="Times New Roman"/>
          <w:sz w:val="24"/>
          <w:szCs w:val="24"/>
          <w:rtl w:val="0"/>
        </w:rPr>
        <w:t xml:space="preserve">) and conducted in accordance with principles of the amended Declaration of Helsinki, with written informed consent from study participants.</w:t>
      </w:r>
    </w:p>
    <w:p w:rsidR="00000000" w:rsidDel="00000000" w:rsidP="00000000" w:rsidRDefault="00000000" w:rsidRPr="00000000" w14:paraId="0000002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 were entered into EpiCollect-5 and analysed in IBM SPSS Statistics v21. Descriptive statistics summarised categorical and continuous variables. Variables significant in bivariate analysis were entered into binary logistic regression to adjust for potential confounders; p&lt;0.05 was considered statistically significant. </w:t>
      </w:r>
      <w:r w:rsidDel="00000000" w:rsidR="00000000" w:rsidRPr="00000000">
        <w:rPr>
          <w:rFonts w:ascii="Times New Roman" w:cs="Times New Roman" w:eastAsia="Times New Roman" w:hAnsi="Times New Roman"/>
          <w:color w:val="000000"/>
          <w:sz w:val="24"/>
          <w:szCs w:val="24"/>
          <w:rtl w:val="0"/>
        </w:rPr>
        <w:t xml:space="preserve">Associations between smoking exposure and lung function were analysed using chi-square tests, independent t-tests, and Pearson’s correlation coefficient. </w:t>
      </w:r>
      <w:r w:rsidDel="00000000" w:rsidR="00000000" w:rsidRPr="00000000">
        <w:rPr>
          <w:rFonts w:ascii="Times New Roman" w:cs="Times New Roman" w:eastAsia="Times New Roman" w:hAnsi="Times New Roman"/>
          <w:sz w:val="24"/>
          <w:szCs w:val="24"/>
          <w:rtl w:val="0"/>
        </w:rPr>
        <w:t xml:space="preserve">A chi-square test of significance (two-sided) was applied to assess the association between exposure and outcome. Univariate odds ratios and 95% confidence intervals (CIs) were estimated for these variables. Significance was considered at p&lt;0.05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cu2v8py9x7ep"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total of 355 adult male smokers participated in the study, with a mean age of 47.9 ± 10.6 years. Over half were cigarette smokers (51.5%), and the remaining 48.5% smoked bidis. Most participants (90%) began smoking before age 20. Of these, 155 individuals had obstructive airway disease (OAD), representing a prevalence of 43.6% among smokers. Table 1 compares spirometry parameters between bidi and cigarette smokers, showing significant differences in all lung function measures. Bidi smokers had slightly higher forced vital capacity (FVC) (3.98 ± 0.62 L) than cigarette smokers (3.61 ± 0.65 L), but significantly lower forced expiratory volume in one second (FEV₁) (2.08 ± 0.54 L vs. 3.01 ± 0.69 L). The FEV₁/FVC ratio, a key marker of airway obstruction, was notably lower in bidi smokers (56.2 ± 11.8%) compared to cigarette smokers (82.4 ± 13.1%) (p &lt; 0.001). Other expiratory flow measures, including FEF25–75 (1.69 ± 0.60 L/s vs. 2.06 ± 0.66 L/s) and PEFR (5.12 ± 1.08 L/s vs. 6.41 ± 1.22 L/s), were also significantly reduced in bidi smokers (p &lt; 0.001), indicating more extensive airway impairment. Table 2 compares demographic and clinical features between those with normal lung function and those with OAD. Participants with OAD were slightly younger (45 ± 10 years) than those without obstruction (48 ± 11 years), with this difference being statistically significant (p = 0.009). No significant differences were found in height and weight. Lung function parameters showed marked differences: individuals with OAD had lower FEV₁ (2.14 ± 0.55 L vs. 3.05 ± 0.71 L) and FEV₁/FVC ratio (54.50 ± 12.24% vs. 84.09 ± 12.95%) (p &lt; 0.001).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airway measures like FEF25–75 were lower in the OAD group (1.72 ± 0.61 L/s vs. 2.04 ± 0.67 L/s). Interestingly, FVC was higher in the OAD group (3.96 ± 0.63 L vs. 3.62 ± 0.66 L), possibly reflecting air trapping. Smoking exposure was higher among those with OAD: daily smoking intensity (6 ± 3 units/day vs. 2 ± 1 units/day) and duration (14 ± 6 years vs. 6 ± 3 years), both with p &lt; 0.001. Cardiovascular measures, including systolic (131 ± 6 mmHg) and diastolic blood pressure (85 ± 5 mmHg), were elevated compared to non-OAD participants (122 ± 7 mmHg and 79 ± 5 mmHg, respectively, p &lt; 0.001). The OAD group also had lower oxygen saturation (83 ± 4%) versus the normal group (96 ± 2%) (p &lt; 0.001). Table 3 shows that age is significantly associated with OAD (p &lt; 0.001), with 53% of participants under 50 having OAD, compared to 33.9% aged 50 or more. Socioeconomic status affected OAD prevalence; lower socioeconomic groups had higher rates, and all illiterate participants had airway obstruction. Higher education was linked to lower OAD prevalence (p &lt; 0.001). The age at smoking initiation was crucial: starting at or after 20 years increased the OAD rate (97.1%) compared to earlier initiation (37.8%) (p &lt; 0.001). The type of tobacco used also influenced outcomes; 66.9% of bidi smokers had OAD, compared to only 21.9% of cigarette smokers (p &lt; 0.001). Table 4 indicates that airway obstruction was more common with increased smoking intensity and duration—66.9% among bidi smokers versus 21.9% among cigarette smokers (p &lt; 0.001). Increasing daily smoking units from ≤3 to ≥7 raised OAD prevalence from 12.9% to 87.4%. Longer smoking duration (≥10 years) resulted in a 60% OAD rate, versus 24.8% for those smoking less than 10 years (p &lt; 0.001). The scatter plot (Figure 1) illustrates that the FEV₁/FVC ratio decreases with age, especially in heavier bidi smokers, indicating progressive airflow limitation over time. </w:t>
      </w:r>
    </w:p>
    <w:p w:rsidR="00000000" w:rsidDel="00000000" w:rsidP="00000000" w:rsidRDefault="00000000" w:rsidRPr="00000000" w14:paraId="0000003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w:t>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community-based cross-sectional study demonstrated that bidi smokers had a significantly higher prevalence of obstructive airway disease than cigarette smokers. Bidi smokers had lower FEV₁ and FEV₁/FVC ratios, indicating more severe airflow restriction. Similar results were reported by other researchers who found that bidi smoking was associated with more severe pulmonary and vascular impairments than cigarette smoking</w:t>
      </w:r>
      <w:r w:rsidDel="00000000" w:rsidR="00000000" w:rsidRPr="00000000">
        <w:rPr>
          <w:rFonts w:ascii="Times New Roman" w:cs="Times New Roman" w:eastAsia="Times New Roman" w:hAnsi="Times New Roman"/>
          <w:sz w:val="24"/>
          <w:szCs w:val="24"/>
          <w:vertAlign w:val="superscript"/>
          <w:rtl w:val="0"/>
        </w:rPr>
        <w:t xml:space="preserve">6,7</w:t>
      </w:r>
      <w:r w:rsidDel="00000000" w:rsidR="00000000" w:rsidRPr="00000000">
        <w:rPr>
          <w:rFonts w:ascii="Times New Roman" w:cs="Times New Roman" w:eastAsia="Times New Roman" w:hAnsi="Times New Roman"/>
          <w:sz w:val="24"/>
          <w:szCs w:val="24"/>
          <w:rtl w:val="0"/>
        </w:rPr>
        <w:t xml:space="preserve">. The overall prevalence of airway obstruction observed in this study (43.6%) is comparable to findings reported in other studies among smokers in India. As mentioned by Kumar et al., a considerable proportion of smokers exhibit airflow limitation on spirometry and emphasised that many cases remain undiagnosed at the primary care level</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A similar prevalence (42.9%) to that reported in our study has also been documented in a rural-based study of the senile population 8. In addition, multicentre studies, such as the Burden of Obstructive Lung Disease (BOLD) study conducted across several Indian cities, have documented COPD prevalence ranging from 6% to 16%, demonstrating considerable regional variation in disease burden</w:t>
      </w:r>
      <w:r w:rsidDel="00000000" w:rsidR="00000000" w:rsidRPr="00000000">
        <w:rPr>
          <w:rFonts w:ascii="Times New Roman" w:cs="Times New Roman" w:eastAsia="Times New Roman" w:hAnsi="Times New Roman"/>
          <w:sz w:val="24"/>
          <w:szCs w:val="24"/>
          <w:vertAlign w:val="superscript"/>
          <w:rtl w:val="0"/>
        </w:rPr>
        <w:t xml:space="preserve">9,10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from lower socio-economic backgrounds and with less education showed a higher prevalence of OAD. Our findings align with other research indicating that socioeconomic status and education levels influence the type and patterns of tobacco use in rural areas</w:t>
      </w:r>
      <w:r w:rsidDel="00000000" w:rsidR="00000000" w:rsidRPr="00000000">
        <w:rPr>
          <w:rFonts w:ascii="Times New Roman" w:cs="Times New Roman" w:eastAsia="Times New Roman" w:hAnsi="Times New Roman"/>
          <w:sz w:val="24"/>
          <w:szCs w:val="24"/>
          <w:vertAlign w:val="superscript"/>
          <w:rtl w:val="0"/>
        </w:rPr>
        <w:t xml:space="preserve">11-13</w:t>
      </w:r>
      <w:r w:rsidDel="00000000" w:rsidR="00000000" w:rsidRPr="00000000">
        <w:rPr>
          <w:rFonts w:ascii="Times New Roman" w:cs="Times New Roman" w:eastAsia="Times New Roman" w:hAnsi="Times New Roman"/>
          <w:sz w:val="24"/>
          <w:szCs w:val="24"/>
          <w:rtl w:val="0"/>
        </w:rPr>
        <w:t xml:space="preserve">.  Early initiation of smoking was another notable finding in the present study. Early initiation significantly increases the duration of tobacco exposure and consequently elevates the risk of chronic respiratory diseases, including obstructive airway disease. These findings align with the present study, where nearly half of the participants reported early initiation of bidi smoking </w:t>
      </w:r>
      <w:r w:rsidDel="00000000" w:rsidR="00000000" w:rsidRPr="00000000">
        <w:rPr>
          <w:rFonts w:ascii="Times New Roman" w:cs="Times New Roman" w:eastAsia="Times New Roman" w:hAnsi="Times New Roman"/>
          <w:sz w:val="24"/>
          <w:szCs w:val="24"/>
          <w:vertAlign w:val="superscript"/>
          <w:rtl w:val="0"/>
        </w:rPr>
        <w:t xml:space="preserve">14,15</w:t>
      </w:r>
      <w:r w:rsidDel="00000000" w:rsidR="00000000" w:rsidRPr="00000000">
        <w:rPr>
          <w:rFonts w:ascii="Times New Roman" w:cs="Times New Roman" w:eastAsia="Times New Roman" w:hAnsi="Times New Roman"/>
          <w:sz w:val="24"/>
          <w:szCs w:val="24"/>
          <w:rtl w:val="0"/>
        </w:rPr>
        <w:t xml:space="preserve">. Participants in our study viewed bidis as less harmful than cigarettes, primarily due to their traditional and indigenous nature. This perception is consistent with findings from other studies</w:t>
      </w:r>
      <w:r w:rsidDel="00000000" w:rsidR="00000000" w:rsidRPr="00000000">
        <w:rPr>
          <w:rFonts w:ascii="Times New Roman" w:cs="Times New Roman" w:eastAsia="Times New Roman" w:hAnsi="Times New Roman"/>
          <w:sz w:val="24"/>
          <w:szCs w:val="24"/>
          <w:vertAlign w:val="superscript"/>
          <w:rtl w:val="0"/>
        </w:rPr>
        <w:t xml:space="preserve">16,17</w:t>
      </w:r>
      <w:r w:rsidDel="00000000" w:rsidR="00000000" w:rsidRPr="00000000">
        <w:rPr>
          <w:rFonts w:ascii="Times New Roman" w:cs="Times New Roman" w:eastAsia="Times New Roman" w:hAnsi="Times New Roman"/>
          <w:sz w:val="24"/>
          <w:szCs w:val="24"/>
          <w:rtl w:val="0"/>
        </w:rPr>
        <w:t xml:space="preserve">. Subjects in our study preferred bidi due to its lower cost and easy availability, which is consistent with findings from other studies</w:t>
      </w:r>
      <w:r w:rsidDel="00000000" w:rsidR="00000000" w:rsidRPr="00000000">
        <w:rPr>
          <w:rFonts w:ascii="Times New Roman" w:cs="Times New Roman" w:eastAsia="Times New Roman" w:hAnsi="Times New Roman"/>
          <w:sz w:val="24"/>
          <w:szCs w:val="24"/>
          <w:vertAlign w:val="superscript"/>
          <w:rtl w:val="0"/>
        </w:rPr>
        <w:t xml:space="preserve">18-20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Conclusions: </w:t>
      </w:r>
    </w:p>
    <w:p w:rsidR="00000000" w:rsidDel="00000000" w:rsidP="00000000" w:rsidRDefault="00000000" w:rsidRPr="00000000" w14:paraId="00000035">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Both bidi and cigarette smoking have significantly harmful effects on the lungs. Bidi smokers experience a greater decline in lung function compared to cigarette smokers. While their total lung capacity (FVC) remains similar, bidi smokers have lower expiratory flow (FEV₁) and a lower FEV₁/FVC ratio, indicating obstructive airway disease. Factors such as age, type of smoked product, smoking duration, blood pressure, socio-economic status, and education are significantly linked to obstructive airway disease. Since bidis lack filters, they lead to deeper inhalation and higher levels of harmful substances such as tar and carbon monoxide, causing more severe damage to the small airways. These results support existing evidence that bidi use causes more serious respiratory and vascular damage than cigarette smoking, especially in low-resource regions where bidis are common. Overall, individuals with obstructive airway disease show impaired lung function, elevated blood pressure, and lower oxygen saturation compared with others.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w:t>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an active smoking cessation awareness program in rural Odisha is highly advisable. Since bidi smoking is linked to higher cardiovascular risks and more severe chronic obstructive pulmonary disease (COPD), Indian public health strategies and clinical guidelines need to explicitly address this form of tobacco use. Bidi smoking should not be regarded as a less harmful alternative to cigarettes; rather, it requires specific regulatory measures. Enhancing health warnings on bidi packets, akin to those on cigarette packages, is crucial for raising users' awareness of risks. Furthermore, clinicians should consider spirometry screening, and the government should prioritise tobacco cessation initiatives.</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Declaration: </w:t>
      </w:r>
      <w:r w:rsidDel="00000000" w:rsidR="00000000" w:rsidRPr="00000000">
        <w:rPr>
          <w:rFonts w:ascii="Times New Roman" w:cs="Times New Roman" w:eastAsia="Times New Roman" w:hAnsi="Times New Roman"/>
          <w:sz w:val="24"/>
          <w:szCs w:val="24"/>
          <w:rtl w:val="0"/>
        </w:rPr>
        <w:t xml:space="preserve">A part of the study was presented as a poster paper at IAPSMCON 2026. </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pStyle w:val="Heading2"/>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1: Comparison of Spirometry Parameters between Bidi and Cigarette Smokers</w:t>
      </w:r>
      <w:r w:rsidDel="00000000" w:rsidR="00000000" w:rsidRPr="00000000">
        <w:rPr>
          <w:rtl w:val="0"/>
        </w:rPr>
      </w:r>
    </w:p>
    <w:tbl>
      <w:tblPr>
        <w:tblStyle w:val="Table1"/>
        <w:tblW w:w="9820.0" w:type="dxa"/>
        <w:jc w:val="left"/>
        <w:tblLayout w:type="fixed"/>
        <w:tblLook w:val="0400"/>
      </w:tblPr>
      <w:tblGrid>
        <w:gridCol w:w="2095"/>
        <w:gridCol w:w="2889"/>
        <w:gridCol w:w="3311"/>
        <w:gridCol w:w="711"/>
        <w:gridCol w:w="814"/>
        <w:tblGridChange w:id="0">
          <w:tblGrid>
            <w:gridCol w:w="2095"/>
            <w:gridCol w:w="2889"/>
            <w:gridCol w:w="3311"/>
            <w:gridCol w:w="711"/>
            <w:gridCol w:w="814"/>
          </w:tblGrid>
        </w:tblGridChange>
      </w:tblGrid>
      <w:tr>
        <w:trPr>
          <w:cantSplit w:val="0"/>
          <w:trHeight w:val="517" w:hRule="atLeast"/>
          <w:tblHeader w:val="1"/>
        </w:trPr>
        <w:tc>
          <w:tcPr>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Spirometry parameter</w:t>
            </w:r>
          </w:p>
        </w:tc>
        <w:tc>
          <w:tcPr>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Bidi smokers (n = 172) Mean ± SD</w:t>
            </w:r>
          </w:p>
        </w:tc>
        <w:tc>
          <w:tcPr>
            <w:vAlign w:val="center"/>
          </w:tcPr>
          <w:p w:rsidR="00000000" w:rsidDel="00000000" w:rsidP="00000000" w:rsidRDefault="00000000" w:rsidRPr="00000000" w14:paraId="0000005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Cigarette smokers (n = 183) Mean ± SD</w:t>
            </w:r>
          </w:p>
        </w:tc>
        <w:tc>
          <w:tcPr>
            <w:vAlign w:val="center"/>
          </w:tcPr>
          <w:p w:rsidR="00000000" w:rsidDel="00000000" w:rsidP="00000000" w:rsidRDefault="00000000" w:rsidRPr="00000000" w14:paraId="0000005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 value</w:t>
            </w:r>
          </w:p>
        </w:tc>
        <w:tc>
          <w:tcPr>
            <w:vAlign w:val="center"/>
          </w:tcPr>
          <w:p w:rsidR="00000000" w:rsidDel="00000000" w:rsidP="00000000" w:rsidRDefault="00000000" w:rsidRPr="00000000" w14:paraId="0000005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p-value</w:t>
            </w:r>
          </w:p>
        </w:tc>
      </w:tr>
      <w:tr>
        <w:trPr>
          <w:cantSplit w:val="0"/>
          <w:trHeight w:val="262" w:hRule="atLeast"/>
          <w:tblHeader w:val="0"/>
        </w:trPr>
        <w:tc>
          <w:tcPr>
            <w:vAlign w:val="center"/>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FVC (L)</w:t>
            </w:r>
          </w:p>
        </w:tc>
        <w:tc>
          <w:tcPr>
            <w:vAlign w:val="center"/>
          </w:tcPr>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 ± 0.62</w:t>
            </w:r>
          </w:p>
        </w:tc>
        <w:tc>
          <w:tcPr>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3.61 ± 0.65</w:t>
            </w:r>
          </w:p>
        </w:tc>
        <w:tc>
          <w:tcPr>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w:t>
            </w:r>
          </w:p>
        </w:tc>
        <w:tc>
          <w:tcPr>
            <w:vAlign w:val="center"/>
          </w:tcPr>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w:t>
            </w:r>
          </w:p>
        </w:tc>
      </w:tr>
      <w:tr>
        <w:trPr>
          <w:cantSplit w:val="0"/>
          <w:trHeight w:val="262" w:hRule="atLeast"/>
          <w:tblHeader w:val="0"/>
        </w:trPr>
        <w:tc>
          <w:tcPr>
            <w:vAlign w:val="center"/>
          </w:tcPr>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FEV₁ (L)</w:t>
            </w:r>
          </w:p>
        </w:tc>
        <w:tc>
          <w:tcPr>
            <w:vAlign w:val="center"/>
          </w:tcPr>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 ± 0.54</w:t>
            </w:r>
          </w:p>
        </w:tc>
        <w:tc>
          <w:tcPr>
            <w:vAlign w:val="center"/>
          </w:tcPr>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3.01 ± 0.69</w:t>
            </w:r>
          </w:p>
        </w:tc>
        <w:tc>
          <w:tcPr>
            <w:vAlign w:val="center"/>
          </w:tcPr>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14.87</w:t>
            </w:r>
          </w:p>
        </w:tc>
        <w:tc>
          <w:tcPr>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w:t>
            </w:r>
          </w:p>
        </w:tc>
      </w:tr>
      <w:tr>
        <w:trPr>
          <w:cantSplit w:val="0"/>
          <w:trHeight w:val="255" w:hRule="atLeast"/>
          <w:tblHeader w:val="0"/>
        </w:trPr>
        <w:tc>
          <w:tcP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FEV₁/FVC (%)</w:t>
            </w:r>
          </w:p>
        </w:tc>
        <w:tc>
          <w:tcPr>
            <w:vAlign w:val="center"/>
          </w:tcPr>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 ± 11.8</w:t>
            </w:r>
          </w:p>
        </w:tc>
        <w:tc>
          <w:tcPr>
            <w:vAlign w:val="cente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82.4 ± 13.1</w:t>
            </w:r>
          </w:p>
        </w:tc>
        <w:tc>
          <w:tcPr>
            <w:vAlign w:val="center"/>
          </w:tcPr>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19.63</w:t>
            </w:r>
          </w:p>
        </w:tc>
        <w:tc>
          <w:tcPr>
            <w:vAlign w:val="center"/>
          </w:tcPr>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w:t>
            </w:r>
          </w:p>
        </w:tc>
      </w:tr>
      <w:tr>
        <w:trPr>
          <w:cantSplit w:val="0"/>
          <w:trHeight w:val="262" w:hRule="atLeast"/>
          <w:tblHeader w:val="0"/>
        </w:trPr>
        <w:tc>
          <w:tcPr>
            <w:vAlign w:val="center"/>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FEF25–75 (L/s)</w:t>
            </w:r>
          </w:p>
        </w:tc>
        <w:tc>
          <w:tcPr>
            <w:vAlign w:val="center"/>
          </w:tcPr>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 ± 0.60</w:t>
            </w:r>
          </w:p>
        </w:tc>
        <w:tc>
          <w:tcPr>
            <w:vAlign w:val="center"/>
          </w:tcPr>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2.06 ± 0.66</w:t>
            </w:r>
          </w:p>
        </w:tc>
        <w:tc>
          <w:tcPr>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w:t>
            </w:r>
          </w:p>
        </w:tc>
        <w:tc>
          <w:tcPr>
            <w:vAlign w:val="center"/>
          </w:tcPr>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w:t>
            </w:r>
          </w:p>
        </w:tc>
      </w:tr>
      <w:tr>
        <w:trPr>
          <w:cantSplit w:val="0"/>
          <w:trHeight w:val="262" w:hRule="atLeast"/>
          <w:tblHeader w:val="0"/>
        </w:trPr>
        <w:tc>
          <w:tcPr>
            <w:vAlign w:val="center"/>
          </w:tcPr>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PEFR (L/s)</w:t>
            </w:r>
          </w:p>
        </w:tc>
        <w:tc>
          <w:tcPr>
            <w:vAlign w:val="center"/>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 1.08</w:t>
            </w:r>
          </w:p>
        </w:tc>
        <w:tc>
          <w:tcPr>
            <w:vAlign w:val="center"/>
          </w:tcPr>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6.41 ± 1.22</w:t>
            </w:r>
          </w:p>
        </w:tc>
        <w:tc>
          <w:tcPr>
            <w:vAlign w:val="center"/>
          </w:tcPr>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w:t>
            </w:r>
          </w:p>
        </w:tc>
        <w:tc>
          <w:tcPr>
            <w:vAlign w:val="center"/>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w:t>
            </w:r>
          </w:p>
        </w:tc>
      </w:tr>
    </w:tbl>
    <w:p w:rsidR="00000000" w:rsidDel="00000000" w:rsidP="00000000" w:rsidRDefault="00000000" w:rsidRPr="00000000" w14:paraId="0000006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Demographic &amp; </w:t>
      </w:r>
      <w:r w:rsidDel="00000000" w:rsidR="00000000" w:rsidRPr="00000000">
        <w:rPr>
          <w:rFonts w:ascii="Times New Roman" w:cs="Times New Roman" w:eastAsia="Times New Roman" w:hAnsi="Times New Roman"/>
          <w:b w:val="1"/>
          <w:bCs w:val="1"/>
          <w:color w:val="1f1f1f"/>
          <w:sz w:val="24"/>
          <w:szCs w:val="24"/>
          <w:rtl w:val="0"/>
        </w:rPr>
        <w:t xml:space="preserve">clinical characteristics of the study samples</w:t>
      </w:r>
      <w:r w:rsidDel="00000000" w:rsidR="00000000" w:rsidRPr="00000000">
        <w:rPr>
          <w:rtl w:val="0"/>
        </w:rPr>
      </w:r>
    </w:p>
    <w:tbl>
      <w:tblPr>
        <w:tblStyle w:val="Table2"/>
        <w:tblpPr w:leftFromText="180" w:rightFromText="180" w:topFromText="0" w:bottomFromText="0" w:vertAnchor="text" w:horzAnchor="text" w:tblpX="0" w:tblpY="328"/>
        <w:tblW w:w="9290.0" w:type="dxa"/>
        <w:jc w:val="left"/>
        <w:tblLayout w:type="fixed"/>
        <w:tblLook w:val="0400"/>
      </w:tblPr>
      <w:tblGrid>
        <w:gridCol w:w="2215"/>
        <w:gridCol w:w="2787"/>
        <w:gridCol w:w="1656"/>
        <w:gridCol w:w="1316"/>
        <w:gridCol w:w="1316"/>
        <w:tblGridChange w:id="0">
          <w:tblGrid>
            <w:gridCol w:w="2215"/>
            <w:gridCol w:w="2787"/>
            <w:gridCol w:w="1656"/>
            <w:gridCol w:w="1316"/>
            <w:gridCol w:w="1316"/>
          </w:tblGrid>
        </w:tblGridChange>
      </w:tblGrid>
      <w:tr>
        <w:trPr>
          <w:cantSplit w:val="0"/>
          <w:trHeight w:val="464" w:hRule="atLeast"/>
          <w:tblHeader w:val="0"/>
        </w:trPr>
        <w:tc>
          <w:tcPr/>
          <w:p w:rsidR="00000000" w:rsidDel="00000000" w:rsidP="00000000" w:rsidRDefault="00000000" w:rsidRPr="00000000" w14:paraId="0000007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  </w:t>
            </w:r>
          </w:p>
        </w:tc>
        <w:tc>
          <w:tcPr/>
          <w:p w:rsidR="00000000" w:rsidDel="00000000" w:rsidP="00000000" w:rsidRDefault="00000000" w:rsidRPr="00000000" w14:paraId="0000007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p>
        </w:tc>
        <w:tc>
          <w:tcPr/>
          <w:p w:rsidR="00000000" w:rsidDel="00000000" w:rsidP="00000000" w:rsidRDefault="00000000" w:rsidRPr="00000000" w14:paraId="0000007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Obstructive airway disease</w:t>
            </w:r>
          </w:p>
        </w:tc>
        <w:tc>
          <w:tcPr/>
          <w:p w:rsidR="00000000" w:rsidDel="00000000" w:rsidP="00000000" w:rsidRDefault="00000000" w:rsidRPr="00000000" w14:paraId="0000007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w:t>
            </w:r>
          </w:p>
        </w:tc>
        <w:tc>
          <w:tcPr/>
          <w:p w:rsidR="00000000" w:rsidDel="00000000" w:rsidP="00000000" w:rsidRDefault="00000000" w:rsidRPr="00000000" w14:paraId="0000007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p-value</w:t>
            </w:r>
          </w:p>
        </w:tc>
      </w:tr>
      <w:tr>
        <w:trPr>
          <w:cantSplit w:val="0"/>
          <w:trHeight w:val="464" w:hRule="atLeast"/>
          <w:tblHeader w:val="0"/>
        </w:trPr>
        <w:tc>
          <w:tcPr/>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48±11</w:t>
            </w:r>
          </w:p>
        </w:tc>
        <w:tc>
          <w:tcPr/>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45±10</w:t>
            </w:r>
          </w:p>
        </w:tc>
        <w:tc>
          <w:tcPr/>
          <w:p w:rsidR="00000000" w:rsidDel="00000000" w:rsidP="00000000" w:rsidRDefault="00000000" w:rsidRPr="00000000" w14:paraId="0000007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2.618</w:t>
            </w:r>
          </w:p>
        </w:tc>
        <w:tc>
          <w:tcPr/>
          <w:p w:rsidR="00000000" w:rsidDel="00000000" w:rsidP="00000000" w:rsidRDefault="00000000" w:rsidRPr="00000000" w14:paraId="0000007B">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0.009</w:t>
            </w:r>
          </w:p>
        </w:tc>
      </w:tr>
      <w:tr>
        <w:trPr>
          <w:cantSplit w:val="0"/>
          <w:trHeight w:val="464" w:hRule="atLeast"/>
          <w:tblHeader w:val="0"/>
        </w:trPr>
        <w:tc>
          <w:tcPr/>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Height(cm)</w:t>
            </w:r>
          </w:p>
        </w:tc>
        <w:tc>
          <w:tcPr/>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172±7</w:t>
            </w:r>
          </w:p>
        </w:tc>
        <w:tc>
          <w:tcPr/>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172±7</w:t>
            </w:r>
          </w:p>
        </w:tc>
        <w:tc>
          <w:tcPr/>
          <w:p w:rsidR="00000000" w:rsidDel="00000000" w:rsidP="00000000" w:rsidRDefault="00000000" w:rsidRPr="00000000" w14:paraId="0000007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0.674</w:t>
            </w:r>
          </w:p>
        </w:tc>
        <w:tc>
          <w:tcPr/>
          <w:p w:rsidR="00000000" w:rsidDel="00000000" w:rsidP="00000000" w:rsidRDefault="00000000" w:rsidRPr="00000000" w14:paraId="0000008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0.501</w:t>
            </w:r>
          </w:p>
        </w:tc>
      </w:tr>
      <w:tr>
        <w:trPr>
          <w:cantSplit w:val="0"/>
          <w:trHeight w:val="464" w:hRule="atLeast"/>
          <w:tblHeader w:val="0"/>
        </w:trPr>
        <w:tc>
          <w:tcPr/>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Weight(kg)</w:t>
            </w:r>
          </w:p>
        </w:tc>
        <w:tc>
          <w:tcPr/>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74±13</w:t>
            </w:r>
          </w:p>
        </w:tc>
        <w:tc>
          <w:tcPr/>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73±12</w:t>
            </w:r>
          </w:p>
        </w:tc>
        <w:tc>
          <w:tcPr/>
          <w:p w:rsidR="00000000" w:rsidDel="00000000" w:rsidP="00000000" w:rsidRDefault="00000000" w:rsidRPr="00000000" w14:paraId="0000008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0.491</w:t>
            </w:r>
          </w:p>
        </w:tc>
        <w:tc>
          <w:tcPr/>
          <w:p w:rsidR="00000000" w:rsidDel="00000000" w:rsidP="00000000" w:rsidRDefault="00000000" w:rsidRPr="00000000" w14:paraId="0000008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0.624</w:t>
            </w:r>
          </w:p>
        </w:tc>
      </w:tr>
      <w:tr>
        <w:trPr>
          <w:cantSplit w:val="0"/>
          <w:trHeight w:val="464" w:hRule="atLeast"/>
          <w:tblHeader w:val="0"/>
        </w:trPr>
        <w:tc>
          <w:tcPr/>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FVC(L)</w:t>
            </w:r>
          </w:p>
        </w:tc>
        <w:tc>
          <w:tcPr/>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3.62±0.66</w:t>
            </w:r>
          </w:p>
        </w:tc>
        <w:tc>
          <w:tcPr/>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3.96±0.63</w:t>
            </w:r>
          </w:p>
        </w:tc>
        <w:tc>
          <w:tcPr/>
          <w:p w:rsidR="00000000" w:rsidDel="00000000" w:rsidP="00000000" w:rsidRDefault="00000000" w:rsidRPr="00000000" w14:paraId="0000008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-5.015</w:t>
            </w:r>
          </w:p>
        </w:tc>
        <w:tc>
          <w:tcPr/>
          <w:p w:rsidR="00000000" w:rsidDel="00000000" w:rsidP="00000000" w:rsidRDefault="00000000" w:rsidRPr="00000000" w14:paraId="0000008A">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&lt;0.001</w:t>
            </w:r>
          </w:p>
        </w:tc>
      </w:tr>
      <w:tr>
        <w:trPr>
          <w:cantSplit w:val="0"/>
          <w:trHeight w:val="464" w:hRule="atLeast"/>
          <w:tblHeader w:val="0"/>
        </w:trPr>
        <w:tc>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FEV1(L)</w:t>
            </w:r>
          </w:p>
        </w:tc>
        <w:tc>
          <w:tcPr/>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3.05±0.71</w:t>
            </w:r>
          </w:p>
        </w:tc>
        <w:tc>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2.14±0.55</w:t>
            </w:r>
          </w:p>
        </w:tc>
        <w:tc>
          <w:tcPr/>
          <w:p w:rsidR="00000000" w:rsidDel="00000000" w:rsidP="00000000" w:rsidRDefault="00000000" w:rsidRPr="00000000" w14:paraId="0000008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13.653</w:t>
            </w:r>
          </w:p>
        </w:tc>
        <w:tc>
          <w:tcPr/>
          <w:p w:rsidR="00000000" w:rsidDel="00000000" w:rsidP="00000000" w:rsidRDefault="00000000" w:rsidRPr="00000000" w14:paraId="0000008F">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&lt;0.001</w:t>
            </w:r>
          </w:p>
        </w:tc>
      </w:tr>
      <w:tr>
        <w:trPr>
          <w:cantSplit w:val="0"/>
          <w:trHeight w:val="464" w:hRule="atLeast"/>
          <w:tblHeader w:val="0"/>
        </w:trPr>
        <w:tc>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FEF2575(L/s)</w:t>
            </w:r>
          </w:p>
        </w:tc>
        <w:tc>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2.04±0.67</w:t>
            </w:r>
          </w:p>
        </w:tc>
        <w:tc>
          <w:tcPr/>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1.72±0.61</w:t>
            </w:r>
          </w:p>
        </w:tc>
        <w:tc>
          <w:tcPr/>
          <w:p w:rsidR="00000000" w:rsidDel="00000000" w:rsidP="00000000" w:rsidRDefault="00000000" w:rsidRPr="00000000" w14:paraId="0000009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4.655</w:t>
            </w:r>
          </w:p>
        </w:tc>
        <w:tc>
          <w:tcPr/>
          <w:p w:rsidR="00000000" w:rsidDel="00000000" w:rsidP="00000000" w:rsidRDefault="00000000" w:rsidRPr="00000000" w14:paraId="00000094">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&lt;0.001</w:t>
            </w:r>
          </w:p>
        </w:tc>
      </w:tr>
      <w:tr>
        <w:trPr>
          <w:cantSplit w:val="0"/>
          <w:trHeight w:val="464" w:hRule="atLeast"/>
          <w:tblHeader w:val="0"/>
        </w:trPr>
        <w:tc>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FEV1/FVC (%) measured</w:t>
            </w:r>
          </w:p>
        </w:tc>
        <w:tc>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84.09±12.95</w:t>
            </w:r>
          </w:p>
        </w:tc>
        <w:tc>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54.50±12.24</w:t>
            </w:r>
          </w:p>
        </w:tc>
        <w:tc>
          <w:tcPr/>
          <w:p w:rsidR="00000000" w:rsidDel="00000000" w:rsidP="00000000" w:rsidRDefault="00000000" w:rsidRPr="00000000" w14:paraId="0000009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22.099</w:t>
            </w:r>
          </w:p>
        </w:tc>
        <w:tc>
          <w:tcPr/>
          <w:p w:rsidR="00000000" w:rsidDel="00000000" w:rsidP="00000000" w:rsidRDefault="00000000" w:rsidRPr="00000000" w14:paraId="00000099">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&lt;0.001</w:t>
            </w:r>
          </w:p>
        </w:tc>
      </w:tr>
      <w:tr>
        <w:trPr>
          <w:cantSplit w:val="0"/>
          <w:trHeight w:val="464" w:hRule="atLeast"/>
          <w:tblHeader w:val="0"/>
        </w:trPr>
        <w:tc>
          <w:tcPr/>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unit smoked /day</w:t>
            </w:r>
          </w:p>
        </w:tc>
        <w:tc>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p w:rsidR="00000000" w:rsidDel="00000000" w:rsidP="00000000" w:rsidRDefault="00000000" w:rsidRPr="00000000" w14:paraId="0000009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-15.989</w:t>
            </w:r>
          </w:p>
        </w:tc>
        <w:tc>
          <w:tcPr/>
          <w:p w:rsidR="00000000" w:rsidDel="00000000" w:rsidP="00000000" w:rsidRDefault="00000000" w:rsidRPr="00000000" w14:paraId="0000009E">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&lt;0.001</w:t>
            </w:r>
          </w:p>
        </w:tc>
      </w:tr>
      <w:tr>
        <w:trPr>
          <w:cantSplit w:val="0"/>
          <w:trHeight w:val="381" w:hRule="atLeast"/>
          <w:tblHeader w:val="0"/>
        </w:trPr>
        <w:tc>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of smoking(years)</w:t>
            </w:r>
          </w:p>
        </w:tc>
        <w:tc>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w:t>
            </w:r>
          </w:p>
        </w:tc>
        <w:tc>
          <w:tcPr/>
          <w:p w:rsidR="00000000" w:rsidDel="00000000" w:rsidP="00000000" w:rsidRDefault="00000000" w:rsidRPr="00000000" w14:paraId="000000A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-15.75</w:t>
            </w:r>
          </w:p>
        </w:tc>
        <w:tc>
          <w:tcPr/>
          <w:p w:rsidR="00000000" w:rsidDel="00000000" w:rsidP="00000000" w:rsidRDefault="00000000" w:rsidRPr="00000000" w14:paraId="000000A3">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&lt;0.001</w:t>
            </w:r>
          </w:p>
        </w:tc>
      </w:tr>
      <w:tr>
        <w:trPr>
          <w:cantSplit w:val="0"/>
          <w:trHeight w:val="464" w:hRule="atLeast"/>
          <w:tblHeader w:val="0"/>
        </w:trPr>
        <w:tc>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SBP</w:t>
            </w:r>
          </w:p>
        </w:tc>
        <w:tc>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122±7</w:t>
            </w:r>
          </w:p>
        </w:tc>
        <w:tc>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131±6</w:t>
            </w:r>
          </w:p>
        </w:tc>
        <w:tc>
          <w:tcPr/>
          <w:p w:rsidR="00000000" w:rsidDel="00000000" w:rsidP="00000000" w:rsidRDefault="00000000" w:rsidRPr="00000000" w14:paraId="000000A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-12.37</w:t>
            </w:r>
          </w:p>
        </w:tc>
        <w:tc>
          <w:tcPr/>
          <w:p w:rsidR="00000000" w:rsidDel="00000000" w:rsidP="00000000" w:rsidRDefault="00000000" w:rsidRPr="00000000" w14:paraId="000000A8">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&lt;0.001</w:t>
            </w:r>
          </w:p>
        </w:tc>
      </w:tr>
      <w:tr>
        <w:trPr>
          <w:cantSplit w:val="0"/>
          <w:trHeight w:val="464" w:hRule="atLeast"/>
          <w:tblHeader w:val="0"/>
        </w:trPr>
        <w:tc>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DBP</w:t>
            </w:r>
          </w:p>
        </w:tc>
        <w:tc>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79±5</w:t>
            </w:r>
          </w:p>
        </w:tc>
        <w:tc>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85±5</w:t>
            </w:r>
          </w:p>
        </w:tc>
        <w:tc>
          <w:tcPr/>
          <w:p w:rsidR="00000000" w:rsidDel="00000000" w:rsidP="00000000" w:rsidRDefault="00000000" w:rsidRPr="00000000" w14:paraId="000000A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-11.787</w:t>
            </w:r>
          </w:p>
        </w:tc>
        <w:tc>
          <w:tcPr/>
          <w:p w:rsidR="00000000" w:rsidDel="00000000" w:rsidP="00000000" w:rsidRDefault="00000000" w:rsidRPr="00000000" w14:paraId="000000AD">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&lt;0.001</w:t>
            </w:r>
          </w:p>
        </w:tc>
      </w:tr>
      <w:tr>
        <w:trPr>
          <w:cantSplit w:val="0"/>
          <w:trHeight w:val="464" w:hRule="atLeast"/>
          <w:tblHeader w:val="0"/>
        </w:trPr>
        <w:tc>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SP02(%)</w:t>
            </w:r>
          </w:p>
        </w:tc>
        <w:tc>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96±2</w:t>
            </w:r>
          </w:p>
        </w:tc>
        <w:tc>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83±4</w:t>
            </w:r>
          </w:p>
        </w:tc>
        <w:tc>
          <w:tcPr/>
          <w:p w:rsidR="00000000" w:rsidDel="00000000" w:rsidP="00000000" w:rsidRDefault="00000000" w:rsidRPr="00000000" w14:paraId="000000B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34.685</w:t>
            </w:r>
          </w:p>
        </w:tc>
        <w:tc>
          <w:tcPr/>
          <w:p w:rsidR="00000000" w:rsidDel="00000000" w:rsidP="00000000" w:rsidRDefault="00000000" w:rsidRPr="00000000" w14:paraId="000000B2">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&lt;0.001</w:t>
            </w:r>
          </w:p>
        </w:tc>
      </w:tr>
      <w:tr>
        <w:trPr>
          <w:cantSplit w:val="0"/>
          <w:trHeight w:val="464" w:hRule="atLeast"/>
          <w:tblHeader w:val="0"/>
        </w:trPr>
        <w:tc>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tabs>
          <w:tab w:val="left" w:leader="none" w:pos="3700"/>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Association of socio demographic characteristics with obstructive airway disease among smokers</w:t>
      </w:r>
    </w:p>
    <w:tbl>
      <w:tblPr>
        <w:tblStyle w:val="Table3"/>
        <w:tblW w:w="9792.0" w:type="dxa"/>
        <w:jc w:val="center"/>
        <w:tblLayout w:type="fixed"/>
        <w:tblLook w:val="0400"/>
      </w:tblPr>
      <w:tblGrid>
        <w:gridCol w:w="1402"/>
        <w:gridCol w:w="1555"/>
        <w:gridCol w:w="985"/>
        <w:gridCol w:w="982"/>
        <w:gridCol w:w="985"/>
        <w:gridCol w:w="1040"/>
        <w:gridCol w:w="985"/>
        <w:gridCol w:w="982"/>
        <w:gridCol w:w="876"/>
        <w:tblGridChange w:id="0">
          <w:tblGrid>
            <w:gridCol w:w="1402"/>
            <w:gridCol w:w="1555"/>
            <w:gridCol w:w="985"/>
            <w:gridCol w:w="982"/>
            <w:gridCol w:w="985"/>
            <w:gridCol w:w="1040"/>
            <w:gridCol w:w="985"/>
            <w:gridCol w:w="982"/>
            <w:gridCol w:w="876"/>
          </w:tblGrid>
        </w:tblGridChange>
      </w:tblGrid>
      <w:tr>
        <w:trPr>
          <w:cantSplit w:val="0"/>
          <w:trHeight w:val="183" w:hRule="atLeast"/>
          <w:tblHeader w:val="0"/>
        </w:trPr>
        <w:tc>
          <w:tcPr>
            <w:vMerge w:val="restart"/>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Parameters</w:t>
            </w:r>
          </w:p>
        </w:tc>
        <w:tc>
          <w:tcPr>
            <w:vMerge w:val="restart"/>
            <w:vAlign w:val="center"/>
          </w:tcPr>
          <w:p w:rsidR="00000000" w:rsidDel="00000000" w:rsidP="00000000" w:rsidRDefault="00000000" w:rsidRPr="00000000" w14:paraId="000000C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gridSpan w:val="2"/>
            <w:vAlign w:val="center"/>
          </w:tcPr>
          <w:p w:rsidR="00000000" w:rsidDel="00000000" w:rsidP="00000000" w:rsidRDefault="00000000" w:rsidRPr="00000000" w14:paraId="000000C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p>
        </w:tc>
        <w:tc>
          <w:tcPr>
            <w:gridSpan w:val="2"/>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Obstructive airway disease</w:t>
            </w:r>
          </w:p>
        </w:tc>
        <w:tc>
          <w:tcPr>
            <w:gridSpan w:val="2"/>
            <w:vAlign w:val="center"/>
          </w:tcPr>
          <w:p w:rsidR="00000000" w:rsidDel="00000000" w:rsidP="00000000" w:rsidRDefault="00000000" w:rsidRPr="00000000" w14:paraId="000000C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vMerge w:val="restart"/>
            <w:vAlign w:val="center"/>
          </w:tcPr>
          <w:p w:rsidR="00000000" w:rsidDel="00000000" w:rsidP="00000000" w:rsidRDefault="00000000" w:rsidRPr="00000000" w14:paraId="000000C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P-value</w:t>
            </w:r>
          </w:p>
        </w:tc>
      </w:tr>
      <w:tr>
        <w:trPr>
          <w:cantSplit w:val="0"/>
          <w:trHeight w:val="183" w:hRule="atLeast"/>
          <w:tblHeader w:val="0"/>
        </w:trPr>
        <w:tc>
          <w:tcPr>
            <w:vMerge w:val="continue"/>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c>
          <w:tcPr>
            <w:vAlign w:val="center"/>
          </w:tcPr>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c>
          <w:tcPr>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vAlign w:val="center"/>
          </w:tcPr>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c>
          <w:tcPr>
            <w:vAlign w:val="center"/>
          </w:tcPr>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vMerge w:val="continue"/>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83" w:hRule="atLeast"/>
          <w:tblHeader w:val="0"/>
        </w:trPr>
        <w:tc>
          <w:tcPr>
            <w:vMerge w:val="restart"/>
            <w:vAlign w:val="center"/>
          </w:tcPr>
          <w:p w:rsidR="00000000" w:rsidDel="00000000" w:rsidP="00000000" w:rsidRDefault="00000000" w:rsidRPr="00000000" w14:paraId="000000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w:t>
            </w:r>
          </w:p>
        </w:tc>
        <w:tc>
          <w:tcPr>
            <w:vAlign w:val="center"/>
          </w:tcPr>
          <w:p w:rsidR="00000000" w:rsidDel="00000000" w:rsidP="00000000" w:rsidRDefault="00000000" w:rsidRPr="00000000" w14:paraId="000000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vAlign w:val="center"/>
          </w:tcPr>
          <w:p w:rsidR="00000000" w:rsidDel="00000000" w:rsidP="00000000" w:rsidRDefault="00000000" w:rsidRPr="00000000" w14:paraId="000000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w:t>
            </w:r>
          </w:p>
        </w:tc>
        <w:tc>
          <w:tcPr>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vAlign w:val="center"/>
          </w:tcPr>
          <w:p w:rsidR="00000000" w:rsidDel="00000000" w:rsidP="00000000" w:rsidRDefault="00000000" w:rsidRPr="00000000" w14:paraId="000000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w:t>
            </w:r>
          </w:p>
        </w:tc>
        <w:tc>
          <w:tcPr>
            <w:vAlign w:val="center"/>
          </w:tcPr>
          <w:p w:rsidR="00000000" w:rsidDel="00000000" w:rsidP="00000000" w:rsidRDefault="00000000" w:rsidRPr="00000000" w14:paraId="000000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w:t>
            </w:r>
          </w:p>
        </w:tc>
        <w:tc>
          <w:tcPr>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tc>
        <w:tc>
          <w:tcPr>
            <w:vMerge w:val="restart"/>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183" w:hRule="atLeast"/>
          <w:tblHeader w:val="0"/>
        </w:trPr>
        <w:tc>
          <w:tcPr>
            <w:vMerge w:val="continue"/>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w:t>
            </w:r>
          </w:p>
        </w:tc>
        <w:tc>
          <w:tcPr>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vAlign w:val="center"/>
          </w:tcPr>
          <w:p w:rsidR="00000000" w:rsidDel="00000000" w:rsidP="00000000" w:rsidRDefault="00000000" w:rsidRPr="00000000" w14:paraId="000000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66.1%</w:t>
            </w:r>
          </w:p>
        </w:tc>
        <w:tc>
          <w:tcPr>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vAlign w:val="center"/>
          </w:tcPr>
          <w:p w:rsidR="00000000" w:rsidDel="00000000" w:rsidP="00000000" w:rsidRDefault="00000000" w:rsidRPr="00000000" w14:paraId="000000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w:t>
            </w:r>
          </w:p>
        </w:tc>
        <w:tc>
          <w:tcPr>
            <w:vAlign w:val="center"/>
          </w:tcPr>
          <w:p w:rsidR="00000000" w:rsidDel="00000000" w:rsidP="00000000" w:rsidRDefault="00000000" w:rsidRPr="00000000" w14:paraId="000000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w:t>
            </w:r>
          </w:p>
        </w:tc>
        <w:tc>
          <w:tcPr>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w:t>
            </w:r>
          </w:p>
        </w:tc>
        <w:tc>
          <w:tcPr>
            <w:vMerge w:val="continue"/>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3" w:hRule="atLeast"/>
          <w:tblHeader w:val="0"/>
        </w:trPr>
        <w:tc>
          <w:tcPr>
            <w:vMerge w:val="restart"/>
            <w:vAlign w:val="center"/>
          </w:tcPr>
          <w:p w:rsidR="00000000" w:rsidDel="00000000" w:rsidP="00000000" w:rsidRDefault="00000000" w:rsidRPr="00000000" w14:paraId="000000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 - Economic Status</w:t>
            </w:r>
          </w:p>
        </w:tc>
        <w:tc>
          <w:tcPr>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92.3%</w:t>
            </w:r>
          </w:p>
        </w:tc>
        <w:tc>
          <w:tcPr>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vAlign w:val="cente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vAlign w:val="center"/>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vMerge w:val="restart"/>
            <w:vAlign w:val="center"/>
          </w:tcPr>
          <w:p w:rsidR="00000000" w:rsidDel="00000000" w:rsidP="00000000" w:rsidRDefault="00000000" w:rsidRPr="00000000" w14:paraId="000000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183" w:hRule="atLeast"/>
          <w:tblHeader w:val="0"/>
        </w:trPr>
        <w:tc>
          <w:tcPr>
            <w:vMerge w:val="continue"/>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vAlign w:val="center"/>
          </w:tcPr>
          <w:p w:rsidR="00000000" w:rsidDel="00000000" w:rsidP="00000000" w:rsidRDefault="00000000" w:rsidRPr="00000000" w14:paraId="000000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82.6%</w:t>
            </w:r>
          </w:p>
        </w:tc>
        <w:tc>
          <w:tcPr>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vAlign w:val="center"/>
          </w:tcPr>
          <w:p w:rsidR="00000000" w:rsidDel="00000000" w:rsidP="00000000" w:rsidRDefault="00000000" w:rsidRPr="00000000" w14:paraId="000000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w:t>
            </w:r>
          </w:p>
        </w:tc>
        <w:tc>
          <w:tcPr>
            <w:vAlign w:val="center"/>
          </w:tcPr>
          <w:p w:rsidR="00000000" w:rsidDel="00000000" w:rsidP="00000000" w:rsidRDefault="00000000" w:rsidRPr="00000000" w14:paraId="000000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vAlign w:val="center"/>
          </w:tcPr>
          <w:p w:rsidR="00000000" w:rsidDel="00000000" w:rsidP="00000000" w:rsidRDefault="00000000" w:rsidRPr="00000000" w14:paraId="000000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25.9%</w:t>
            </w:r>
          </w:p>
        </w:tc>
        <w:tc>
          <w:tcPr>
            <w:vMerge w:val="continue"/>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3" w:hRule="atLeast"/>
          <w:tblHeader w:val="0"/>
        </w:trPr>
        <w:tc>
          <w:tcPr>
            <w:vMerge w:val="continue"/>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vAlign w:val="center"/>
          </w:tcPr>
          <w:p w:rsidR="00000000" w:rsidDel="00000000" w:rsidP="00000000" w:rsidRDefault="00000000" w:rsidRPr="00000000" w14:paraId="000000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vAlign w:val="center"/>
          </w:tcPr>
          <w:p w:rsidR="00000000" w:rsidDel="00000000" w:rsidP="00000000" w:rsidRDefault="00000000" w:rsidRPr="00000000" w14:paraId="000001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49.5%</w:t>
            </w:r>
          </w:p>
        </w:tc>
        <w:tc>
          <w:tcPr>
            <w:vAlign w:val="cente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vAlign w:val="cente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w:t>
            </w:r>
          </w:p>
        </w:tc>
        <w:tc>
          <w:tcPr>
            <w:vAlign w:val="center"/>
          </w:tcPr>
          <w:p w:rsidR="00000000" w:rsidDel="00000000" w:rsidP="00000000" w:rsidRDefault="00000000" w:rsidRPr="00000000" w14:paraId="000001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vAlign w:val="center"/>
          </w:tcPr>
          <w:p w:rsidR="00000000" w:rsidDel="00000000" w:rsidP="00000000" w:rsidRDefault="00000000" w:rsidRPr="00000000" w14:paraId="000001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w:t>
            </w:r>
          </w:p>
        </w:tc>
        <w:tc>
          <w:tcPr>
            <w:vMerge w:val="continue"/>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3" w:hRule="atLeast"/>
          <w:tblHeader w:val="0"/>
        </w:trPr>
        <w:tc>
          <w:tcPr>
            <w:vMerge w:val="continue"/>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c>
          <w:tcPr>
            <w:vAlign w:val="center"/>
          </w:tcPr>
          <w:p w:rsidR="00000000" w:rsidDel="00000000" w:rsidP="00000000" w:rsidRDefault="00000000" w:rsidRPr="00000000" w14:paraId="000001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vAlign w:val="center"/>
          </w:tcPr>
          <w:p w:rsidR="00000000" w:rsidDel="00000000" w:rsidP="00000000" w:rsidRDefault="00000000" w:rsidRPr="00000000" w14:paraId="000001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w:t>
            </w:r>
          </w:p>
        </w:tc>
        <w:tc>
          <w:tcPr>
            <w:vAlign w:val="center"/>
          </w:tcPr>
          <w:p w:rsidR="00000000" w:rsidDel="00000000" w:rsidP="00000000" w:rsidRDefault="00000000" w:rsidRPr="00000000" w14:paraId="000001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vAlign w:val="center"/>
          </w:tcPr>
          <w:p w:rsidR="00000000" w:rsidDel="00000000" w:rsidP="00000000" w:rsidRDefault="00000000" w:rsidRPr="00000000" w14:paraId="000001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58.6%</w:t>
            </w:r>
          </w:p>
        </w:tc>
        <w:tc>
          <w:tcPr>
            <w:vAlign w:val="center"/>
          </w:tcPr>
          <w:p w:rsidR="00000000" w:rsidDel="00000000" w:rsidP="00000000" w:rsidRDefault="00000000" w:rsidRPr="00000000" w14:paraId="000001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vAlign w:val="center"/>
          </w:tcPr>
          <w:p w:rsidR="00000000" w:rsidDel="00000000" w:rsidP="00000000" w:rsidRDefault="00000000" w:rsidRPr="00000000" w14:paraId="000001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w:t>
            </w:r>
          </w:p>
        </w:tc>
        <w:tc>
          <w:tcPr>
            <w:vMerge w:val="continue"/>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3" w:hRule="atLeast"/>
          <w:tblHeader w:val="0"/>
        </w:trPr>
        <w:tc>
          <w:tcPr>
            <w:vMerge w:val="continue"/>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vAlign w:val="cente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vAlign w:val="center"/>
          </w:tcPr>
          <w:p w:rsidR="00000000" w:rsidDel="00000000" w:rsidP="00000000" w:rsidRDefault="00000000" w:rsidRPr="00000000" w14:paraId="000001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Align w:val="center"/>
          </w:tcPr>
          <w:p w:rsidR="00000000" w:rsidDel="00000000" w:rsidP="00000000" w:rsidRDefault="00000000" w:rsidRPr="00000000" w14:paraId="000001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vAlign w:val="cente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Align w:val="center"/>
          </w:tcPr>
          <w:p w:rsidR="00000000" w:rsidDel="00000000" w:rsidP="00000000" w:rsidRDefault="00000000" w:rsidRPr="00000000" w14:paraId="000001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vMerge w:val="continue"/>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75" w:hRule="atLeast"/>
          <w:tblHeader w:val="0"/>
        </w:trPr>
        <w:tc>
          <w:tcPr>
            <w:vMerge w:val="restart"/>
            <w:vAlign w:val="cente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tc>
        <w:tc>
          <w:tcP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Illiterate</w:t>
            </w:r>
          </w:p>
        </w:tc>
        <w:tc>
          <w:tcPr>
            <w:vAlign w:val="center"/>
          </w:tcPr>
          <w:p w:rsidR="00000000" w:rsidDel="00000000" w:rsidP="00000000" w:rsidRDefault="00000000" w:rsidRPr="00000000" w14:paraId="000001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vAlign w:val="center"/>
          </w:tcPr>
          <w:p w:rsidR="00000000" w:rsidDel="00000000" w:rsidP="00000000" w:rsidRDefault="00000000" w:rsidRPr="00000000" w14:paraId="000001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1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vAlign w:val="cente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1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Merge w:val="restart"/>
            <w:vAlign w:val="center"/>
          </w:tcPr>
          <w:p w:rsidR="00000000" w:rsidDel="00000000" w:rsidP="00000000" w:rsidRDefault="00000000" w:rsidRPr="00000000" w14:paraId="000001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183" w:hRule="atLeast"/>
          <w:tblHeader w:val="0"/>
        </w:trPr>
        <w:tc>
          <w:tcPr>
            <w:vMerge w:val="continue"/>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school</w:t>
            </w:r>
          </w:p>
        </w:tc>
        <w:tc>
          <w:tcPr>
            <w:vAlign w:val="center"/>
          </w:tcPr>
          <w:p w:rsidR="00000000" w:rsidDel="00000000" w:rsidP="00000000" w:rsidRDefault="00000000" w:rsidRPr="00000000" w14:paraId="000001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vAlign w:val="center"/>
          </w:tcPr>
          <w:p w:rsidR="00000000" w:rsidDel="00000000" w:rsidP="00000000" w:rsidRDefault="00000000" w:rsidRPr="00000000" w14:paraId="000001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w:t>
            </w:r>
          </w:p>
        </w:tc>
        <w:tc>
          <w:tcPr>
            <w:vAlign w:val="center"/>
          </w:tcPr>
          <w:p w:rsidR="00000000" w:rsidDel="00000000" w:rsidP="00000000" w:rsidRDefault="00000000" w:rsidRPr="00000000" w14:paraId="000001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vAlign w:val="center"/>
          </w:tcPr>
          <w:p w:rsidR="00000000" w:rsidDel="00000000" w:rsidP="00000000" w:rsidRDefault="00000000" w:rsidRPr="00000000" w14:paraId="000001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w:t>
            </w:r>
          </w:p>
        </w:tc>
        <w:tc>
          <w:tcPr>
            <w:vAlign w:val="center"/>
          </w:tcPr>
          <w:p w:rsidR="00000000" w:rsidDel="00000000" w:rsidP="00000000" w:rsidRDefault="00000000" w:rsidRPr="00000000" w14:paraId="000001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vAlign w:val="center"/>
          </w:tcPr>
          <w:p w:rsidR="00000000" w:rsidDel="00000000" w:rsidP="00000000" w:rsidRDefault="00000000" w:rsidRPr="00000000" w14:paraId="000001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c>
          <w:tcPr>
            <w:vMerge w:val="continue"/>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3" w:hRule="atLeast"/>
          <w:tblHeader w:val="0"/>
        </w:trPr>
        <w:tc>
          <w:tcPr>
            <w:vMerge w:val="continue"/>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 school</w:t>
            </w:r>
          </w:p>
        </w:tc>
        <w:tc>
          <w:tcPr>
            <w:vAlign w:val="center"/>
          </w:tcPr>
          <w:p w:rsidR="00000000" w:rsidDel="00000000" w:rsidP="00000000" w:rsidRDefault="00000000" w:rsidRPr="00000000" w14:paraId="000001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vAlign w:val="center"/>
          </w:tcPr>
          <w:p w:rsidR="00000000" w:rsidDel="00000000" w:rsidP="00000000" w:rsidRDefault="00000000" w:rsidRPr="00000000" w14:paraId="000001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w:t>
            </w:r>
          </w:p>
        </w:tc>
        <w:tc>
          <w:tcPr>
            <w:vAlign w:val="center"/>
          </w:tcPr>
          <w:p w:rsidR="00000000" w:rsidDel="00000000" w:rsidP="00000000" w:rsidRDefault="00000000" w:rsidRPr="00000000" w14:paraId="000001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1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c>
          <w:tcPr>
            <w:vAlign w:val="center"/>
          </w:tcPr>
          <w:p w:rsidR="00000000" w:rsidDel="00000000" w:rsidP="00000000" w:rsidRDefault="00000000" w:rsidRPr="00000000" w14:paraId="000001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vAlign w:val="center"/>
          </w:tcPr>
          <w:p w:rsidR="00000000" w:rsidDel="00000000" w:rsidP="00000000" w:rsidRDefault="00000000" w:rsidRPr="00000000" w14:paraId="000001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w:t>
            </w:r>
          </w:p>
        </w:tc>
        <w:tc>
          <w:tcPr>
            <w:vMerge w:val="continue"/>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3" w:hRule="atLeast"/>
          <w:tblHeader w:val="0"/>
        </w:trPr>
        <w:tc>
          <w:tcPr>
            <w:vMerge w:val="continue"/>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w:t>
            </w:r>
          </w:p>
        </w:tc>
        <w:tc>
          <w:tcPr>
            <w:vAlign w:val="center"/>
          </w:tcPr>
          <w:p w:rsidR="00000000" w:rsidDel="00000000" w:rsidP="00000000" w:rsidRDefault="00000000" w:rsidRPr="00000000" w14:paraId="000001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c>
          <w:tcPr>
            <w:vAlign w:val="center"/>
          </w:tcPr>
          <w:p w:rsidR="00000000" w:rsidDel="00000000" w:rsidP="00000000" w:rsidRDefault="00000000" w:rsidRPr="00000000" w14:paraId="000001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vAlign w:val="center"/>
          </w:tcPr>
          <w:p w:rsidR="00000000" w:rsidDel="00000000" w:rsidP="00000000" w:rsidRDefault="00000000" w:rsidRPr="00000000" w14:paraId="000001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86.7%</w:t>
            </w:r>
          </w:p>
        </w:tc>
        <w:tc>
          <w:tcPr>
            <w:vAlign w:val="center"/>
          </w:tcPr>
          <w:p w:rsidR="00000000" w:rsidDel="00000000" w:rsidP="00000000" w:rsidRDefault="00000000" w:rsidRPr="00000000" w14:paraId="000001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vAlign w:val="center"/>
          </w:tcPr>
          <w:p w:rsidR="00000000" w:rsidDel="00000000" w:rsidP="00000000" w:rsidRDefault="00000000" w:rsidRPr="00000000" w14:paraId="000001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vMerge w:val="continue"/>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3" w:hRule="atLeast"/>
          <w:tblHeader w:val="0"/>
        </w:trPr>
        <w:tc>
          <w:tcPr>
            <w:vMerge w:val="continue"/>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c>
          <w:tcPr>
            <w:vAlign w:val="center"/>
          </w:tcPr>
          <w:p w:rsidR="00000000" w:rsidDel="00000000" w:rsidP="00000000" w:rsidRDefault="00000000" w:rsidRPr="00000000" w14:paraId="000001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vAlign w:val="center"/>
          </w:tcPr>
          <w:p w:rsidR="00000000" w:rsidDel="00000000" w:rsidP="00000000" w:rsidRDefault="00000000" w:rsidRPr="00000000" w14:paraId="000001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74.4%</w:t>
            </w:r>
          </w:p>
        </w:tc>
        <w:tc>
          <w:tcPr>
            <w:vAlign w:val="center"/>
          </w:tcPr>
          <w:p w:rsidR="00000000" w:rsidDel="00000000" w:rsidP="00000000" w:rsidRDefault="00000000" w:rsidRPr="00000000" w14:paraId="000001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1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tc>
        <w:tc>
          <w:tcPr>
            <w:vAlign w:val="center"/>
          </w:tcPr>
          <w:p w:rsidR="00000000" w:rsidDel="00000000" w:rsidP="00000000" w:rsidRDefault="00000000" w:rsidRPr="00000000" w14:paraId="000001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vAlign w:val="center"/>
          </w:tcPr>
          <w:p w:rsidR="00000000" w:rsidDel="00000000" w:rsidP="00000000" w:rsidRDefault="00000000" w:rsidRPr="00000000" w14:paraId="000001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w:t>
            </w:r>
          </w:p>
        </w:tc>
        <w:tc>
          <w:tcPr>
            <w:vMerge w:val="continue"/>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3" w:hRule="atLeast"/>
          <w:tblHeader w:val="0"/>
        </w:trPr>
        <w:tc>
          <w:tcPr>
            <w:vMerge w:val="continue"/>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w:t>
            </w:r>
          </w:p>
        </w:tc>
        <w:tc>
          <w:tcPr>
            <w:vAlign w:val="center"/>
          </w:tcPr>
          <w:p w:rsidR="00000000" w:rsidDel="00000000" w:rsidP="00000000" w:rsidRDefault="00000000" w:rsidRPr="00000000" w14:paraId="0000014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vAlign w:val="center"/>
          </w:tcPr>
          <w:p w:rsidR="00000000" w:rsidDel="00000000" w:rsidP="00000000" w:rsidRDefault="00000000" w:rsidRPr="00000000" w14:paraId="000001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81.3%</w:t>
            </w:r>
          </w:p>
        </w:tc>
        <w:tc>
          <w:tcPr>
            <w:vAlign w:val="center"/>
          </w:tcPr>
          <w:p w:rsidR="00000000" w:rsidDel="00000000" w:rsidP="00000000" w:rsidRDefault="00000000" w:rsidRPr="00000000" w14:paraId="000001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1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w:t>
            </w:r>
          </w:p>
        </w:tc>
        <w:tc>
          <w:tcPr>
            <w:vAlign w:val="center"/>
          </w:tcPr>
          <w:p w:rsidR="00000000" w:rsidDel="00000000" w:rsidP="00000000" w:rsidRDefault="00000000" w:rsidRPr="00000000" w14:paraId="000001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vAlign w:val="center"/>
          </w:tcPr>
          <w:p w:rsidR="00000000" w:rsidDel="00000000" w:rsidP="00000000" w:rsidRDefault="00000000" w:rsidRPr="00000000" w14:paraId="000001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vMerge w:val="continue"/>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3" w:hRule="atLeast"/>
          <w:tblHeader w:val="0"/>
        </w:trPr>
        <w:tc>
          <w:tcPr>
            <w:vMerge w:val="continue"/>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w:t>
            </w:r>
          </w:p>
        </w:tc>
        <w:tc>
          <w:tcPr>
            <w:vAlign w:val="center"/>
          </w:tcPr>
          <w:p w:rsidR="00000000" w:rsidDel="00000000" w:rsidP="00000000" w:rsidRDefault="00000000" w:rsidRPr="00000000" w14:paraId="000001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vAlign w:val="center"/>
          </w:tcPr>
          <w:p w:rsidR="00000000" w:rsidDel="00000000" w:rsidP="00000000" w:rsidRDefault="00000000" w:rsidRPr="00000000" w14:paraId="000001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92.3%</w:t>
            </w:r>
          </w:p>
        </w:tc>
        <w:tc>
          <w:tcPr>
            <w:vAlign w:val="center"/>
          </w:tcPr>
          <w:p w:rsidR="00000000" w:rsidDel="00000000" w:rsidP="00000000" w:rsidRDefault="00000000" w:rsidRPr="00000000" w14:paraId="000001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vAlign w:val="center"/>
          </w:tcPr>
          <w:p w:rsidR="00000000" w:rsidDel="00000000" w:rsidP="00000000" w:rsidRDefault="00000000" w:rsidRPr="00000000" w14:paraId="000001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vAlign w:val="center"/>
          </w:tcPr>
          <w:p w:rsidR="00000000" w:rsidDel="00000000" w:rsidP="00000000" w:rsidRDefault="00000000" w:rsidRPr="00000000" w14:paraId="000001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vMerge w:val="continue"/>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3" w:hRule="atLeast"/>
          <w:tblHeader w:val="0"/>
        </w:trPr>
        <w:tc>
          <w:tcPr>
            <w:vMerge w:val="restart"/>
            <w:vAlign w:val="center"/>
          </w:tcPr>
          <w:p w:rsidR="00000000" w:rsidDel="00000000" w:rsidP="00000000" w:rsidRDefault="00000000" w:rsidRPr="00000000" w14:paraId="000001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smoking initiation</w:t>
            </w:r>
          </w:p>
        </w:tc>
        <w:tc>
          <w:tcPr>
            <w:vAlign w:val="center"/>
          </w:tcPr>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&lt;20 years</w:t>
            </w:r>
          </w:p>
        </w:tc>
        <w:tc>
          <w:tcPr>
            <w:vAlign w:val="center"/>
          </w:tcPr>
          <w:p w:rsidR="00000000" w:rsidDel="00000000" w:rsidP="00000000" w:rsidRDefault="00000000" w:rsidRPr="00000000" w14:paraId="000001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w:t>
            </w:r>
          </w:p>
        </w:tc>
        <w:tc>
          <w:tcPr>
            <w:vAlign w:val="center"/>
          </w:tcPr>
          <w:p w:rsidR="00000000" w:rsidDel="00000000" w:rsidP="00000000" w:rsidRDefault="00000000" w:rsidRPr="00000000" w14:paraId="000001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w:t>
            </w:r>
          </w:p>
        </w:tc>
        <w:tc>
          <w:tcPr>
            <w:vAlign w:val="center"/>
          </w:tcPr>
          <w:p w:rsidR="00000000" w:rsidDel="00000000" w:rsidP="00000000" w:rsidRDefault="00000000" w:rsidRPr="00000000" w14:paraId="000001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tc>
        <w:tc>
          <w:tcPr>
            <w:vAlign w:val="center"/>
          </w:tcPr>
          <w:p w:rsidR="00000000" w:rsidDel="00000000" w:rsidP="00000000" w:rsidRDefault="00000000" w:rsidRPr="00000000" w14:paraId="000001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37.8%</w:t>
            </w:r>
          </w:p>
        </w:tc>
        <w:tc>
          <w:tcPr>
            <w:vAlign w:val="center"/>
          </w:tcPr>
          <w:p w:rsidR="00000000" w:rsidDel="00000000" w:rsidP="00000000" w:rsidRDefault="00000000" w:rsidRPr="00000000" w14:paraId="000001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w:t>
            </w:r>
          </w:p>
        </w:tc>
        <w:tc>
          <w:tcPr>
            <w:vAlign w:val="center"/>
          </w:tcPr>
          <w:p w:rsidR="00000000" w:rsidDel="00000000" w:rsidP="00000000" w:rsidRDefault="00000000" w:rsidRPr="00000000" w14:paraId="000001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w:t>
            </w:r>
          </w:p>
        </w:tc>
        <w:tc>
          <w:tcPr>
            <w:vMerge w:val="restart"/>
            <w:vAlign w:val="center"/>
          </w:tcPr>
          <w:p w:rsidR="00000000" w:rsidDel="00000000" w:rsidP="00000000" w:rsidRDefault="00000000" w:rsidRPr="00000000" w14:paraId="000001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183" w:hRule="atLeast"/>
          <w:tblHeader w:val="0"/>
        </w:trPr>
        <w:tc>
          <w:tcPr>
            <w:vMerge w:val="continue"/>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 years</w:t>
            </w:r>
          </w:p>
        </w:tc>
        <w:tc>
          <w:tcPr>
            <w:vAlign w:val="center"/>
          </w:tcPr>
          <w:p w:rsidR="00000000" w:rsidDel="00000000" w:rsidP="00000000" w:rsidRDefault="00000000" w:rsidRPr="00000000" w14:paraId="000001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vAlign w:val="center"/>
          </w:tcPr>
          <w:p w:rsidR="00000000" w:rsidDel="00000000" w:rsidP="00000000" w:rsidRDefault="00000000" w:rsidRPr="00000000" w14:paraId="000001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vAlign w:val="center"/>
          </w:tcPr>
          <w:p w:rsidR="00000000" w:rsidDel="00000000" w:rsidP="00000000" w:rsidRDefault="00000000" w:rsidRPr="00000000" w14:paraId="000001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97.1%</w:t>
            </w:r>
          </w:p>
        </w:tc>
        <w:tc>
          <w:tcPr>
            <w:vAlign w:val="center"/>
          </w:tcPr>
          <w:p w:rsidR="00000000" w:rsidDel="00000000" w:rsidP="00000000" w:rsidRDefault="00000000" w:rsidRPr="00000000" w14:paraId="000001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vAlign w:val="center"/>
          </w:tcPr>
          <w:p w:rsidR="00000000" w:rsidDel="00000000" w:rsidP="00000000" w:rsidRDefault="00000000" w:rsidRPr="00000000" w14:paraId="000001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vMerge w:val="continue"/>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3" w:hRule="atLeast"/>
          <w:tblHeader w:val="0"/>
        </w:trPr>
        <w:tc>
          <w:tcPr>
            <w:vMerge w:val="restart"/>
            <w:vAlign w:val="center"/>
          </w:tcPr>
          <w:p w:rsidR="00000000" w:rsidDel="00000000" w:rsidP="00000000" w:rsidRDefault="00000000" w:rsidRPr="00000000" w14:paraId="000001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smokable used</w:t>
            </w:r>
          </w:p>
        </w:tc>
        <w:tc>
          <w:tcPr>
            <w:vAlign w:val="center"/>
          </w:tcPr>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Beedi</w:t>
            </w:r>
          </w:p>
        </w:tc>
        <w:tc>
          <w:tcPr>
            <w:vAlign w:val="center"/>
          </w:tcPr>
          <w:p w:rsidR="00000000" w:rsidDel="00000000" w:rsidP="00000000" w:rsidRDefault="00000000" w:rsidRPr="00000000" w14:paraId="0000016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vAlign w:val="center"/>
          </w:tcPr>
          <w:p w:rsidR="00000000" w:rsidDel="00000000" w:rsidP="00000000" w:rsidRDefault="00000000" w:rsidRPr="00000000" w14:paraId="000001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vAlign w:val="center"/>
          </w:tcPr>
          <w:p w:rsidR="00000000" w:rsidDel="00000000" w:rsidP="00000000" w:rsidRDefault="00000000" w:rsidRPr="00000000" w14:paraId="000001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vAlign w:val="center"/>
          </w:tcPr>
          <w:p w:rsidR="00000000" w:rsidDel="00000000" w:rsidP="00000000" w:rsidRDefault="00000000" w:rsidRPr="00000000" w14:paraId="000001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66.9%</w:t>
            </w:r>
          </w:p>
        </w:tc>
        <w:tc>
          <w:tcPr>
            <w:vAlign w:val="center"/>
          </w:tcPr>
          <w:p w:rsidR="00000000" w:rsidDel="00000000" w:rsidP="00000000" w:rsidRDefault="00000000" w:rsidRPr="00000000" w14:paraId="000001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c>
          <w:tcPr>
            <w:vAlign w:val="center"/>
          </w:tcPr>
          <w:p w:rsidR="00000000" w:rsidDel="00000000" w:rsidP="00000000" w:rsidRDefault="00000000" w:rsidRPr="00000000" w14:paraId="000001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w:t>
            </w:r>
          </w:p>
        </w:tc>
        <w:tc>
          <w:tcPr>
            <w:vMerge w:val="restart"/>
            <w:vAlign w:val="center"/>
          </w:tcPr>
          <w:p w:rsidR="00000000" w:rsidDel="00000000" w:rsidP="00000000" w:rsidRDefault="00000000" w:rsidRPr="00000000" w14:paraId="000001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rHeight w:val="183" w:hRule="atLeast"/>
          <w:tblHeader w:val="0"/>
        </w:trPr>
        <w:tc>
          <w:tcPr>
            <w:vMerge w:val="continue"/>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Cigarette</w:t>
            </w:r>
          </w:p>
        </w:tc>
        <w:tc>
          <w:tcPr>
            <w:vAlign w:val="center"/>
          </w:tcPr>
          <w:p w:rsidR="00000000" w:rsidDel="00000000" w:rsidP="00000000" w:rsidRDefault="00000000" w:rsidRPr="00000000" w14:paraId="000001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w:t>
            </w:r>
          </w:p>
        </w:tc>
        <w:tc>
          <w:tcPr>
            <w:vAlign w:val="center"/>
          </w:tcPr>
          <w:p w:rsidR="00000000" w:rsidDel="00000000" w:rsidP="00000000" w:rsidRDefault="00000000" w:rsidRPr="00000000" w14:paraId="000001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78.1%</w:t>
            </w:r>
          </w:p>
        </w:tc>
        <w:tc>
          <w:tcPr>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vAlign w:val="center"/>
          </w:tcPr>
          <w:p w:rsidR="00000000" w:rsidDel="00000000" w:rsidP="00000000" w:rsidRDefault="00000000" w:rsidRPr="00000000" w14:paraId="000001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w:t>
            </w:r>
          </w:p>
        </w:tc>
        <w:tc>
          <w:tcPr>
            <w:vAlign w:val="center"/>
          </w:tcPr>
          <w:p w:rsidR="00000000" w:rsidDel="00000000" w:rsidP="00000000" w:rsidRDefault="00000000" w:rsidRPr="00000000" w14:paraId="000001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w:t>
            </w:r>
          </w:p>
        </w:tc>
        <w:tc>
          <w:tcPr>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w:t>
            </w:r>
          </w:p>
        </w:tc>
        <w:tc>
          <w:tcPr>
            <w:vMerge w:val="continue"/>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pStyle w:val="Heading2"/>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4: Prevalence of Obstructive Airway Disease (OAD) by Smoking Exposure Characteristics</w:t>
      </w:r>
    </w:p>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953.999999999998" w:type="dxa"/>
        <w:jc w:val="left"/>
        <w:tblLayout w:type="fixed"/>
        <w:tblLook w:val="0400"/>
      </w:tblPr>
      <w:tblGrid>
        <w:gridCol w:w="2619"/>
        <w:gridCol w:w="1458"/>
        <w:gridCol w:w="2217"/>
        <w:gridCol w:w="2117"/>
        <w:gridCol w:w="649"/>
        <w:gridCol w:w="894"/>
        <w:tblGridChange w:id="0">
          <w:tblGrid>
            <w:gridCol w:w="2619"/>
            <w:gridCol w:w="1458"/>
            <w:gridCol w:w="2217"/>
            <w:gridCol w:w="2117"/>
            <w:gridCol w:w="649"/>
            <w:gridCol w:w="894"/>
          </w:tblGrid>
        </w:tblGridChange>
      </w:tblGrid>
      <w:tr>
        <w:trPr>
          <w:cantSplit w:val="0"/>
          <w:trHeight w:val="471" w:hRule="atLeast"/>
          <w:tblHeader w:val="1"/>
        </w:trPr>
        <w:tc>
          <w:tcPr>
            <w:vAlign w:val="center"/>
          </w:tcPr>
          <w:p w:rsidR="00000000" w:rsidDel="00000000" w:rsidP="00000000" w:rsidRDefault="00000000" w:rsidRPr="00000000" w14:paraId="0000018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Smoking characteristic</w:t>
            </w:r>
          </w:p>
        </w:tc>
        <w:tc>
          <w:tcPr>
            <w:vAlign w:val="center"/>
          </w:tcPr>
          <w:p w:rsidR="00000000" w:rsidDel="00000000" w:rsidP="00000000" w:rsidRDefault="00000000" w:rsidRPr="00000000" w14:paraId="0000018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vAlign w:val="center"/>
          </w:tcPr>
          <w:p w:rsidR="00000000" w:rsidDel="00000000" w:rsidP="00000000" w:rsidRDefault="00000000" w:rsidRPr="00000000" w14:paraId="0000018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OAD present n (%)</w:t>
            </w:r>
          </w:p>
        </w:tc>
        <w:tc>
          <w:tcPr>
            <w:vAlign w:val="center"/>
          </w:tcPr>
          <w:p w:rsidR="00000000" w:rsidDel="00000000" w:rsidP="00000000" w:rsidRDefault="00000000" w:rsidRPr="00000000" w14:paraId="0000018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OAD absent n (%)</w:t>
            </w:r>
          </w:p>
        </w:tc>
        <w:tc>
          <w:tcPr>
            <w:vAlign w:val="center"/>
          </w:tcPr>
          <w:p w:rsidR="00000000" w:rsidDel="00000000" w:rsidP="00000000" w:rsidRDefault="00000000" w:rsidRPr="00000000" w14:paraId="0000018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vAlign w:val="center"/>
          </w:tcPr>
          <w:p w:rsidR="00000000" w:rsidDel="00000000" w:rsidP="00000000" w:rsidRDefault="00000000" w:rsidRPr="00000000" w14:paraId="0000018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p-value</w:t>
            </w:r>
          </w:p>
        </w:tc>
      </w:tr>
      <w:tr>
        <w:trPr>
          <w:cantSplit w:val="0"/>
          <w:trHeight w:val="461" w:hRule="atLeast"/>
          <w:tblHeader w:val="0"/>
        </w:trPr>
        <w:tc>
          <w:tcPr>
            <w:vAlign w:val="center"/>
          </w:tcPr>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smoking</w:t>
            </w:r>
            <w:r w:rsidDel="00000000" w:rsidR="00000000" w:rsidRPr="00000000">
              <w:rPr>
                <w:rtl w:val="0"/>
              </w:rPr>
            </w:r>
          </w:p>
        </w:tc>
        <w:tc>
          <w:tcPr>
            <w:vAlign w:val="center"/>
          </w:tcPr>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Bidi</w:t>
            </w:r>
          </w:p>
        </w:tc>
        <w:tc>
          <w:tcPr>
            <w:vAlign w:val="center"/>
          </w:tcPr>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 (66.9)</w:t>
            </w:r>
          </w:p>
        </w:tc>
        <w:tc>
          <w:tcPr>
            <w:vAlign w:val="center"/>
          </w:tcPr>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(33.1)</w:t>
            </w:r>
          </w:p>
        </w:tc>
        <w:tc>
          <w:tcPr>
            <w:vAlign w:val="center"/>
          </w:tcPr>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c>
          <w:tcPr>
            <w:vAlign w:val="center"/>
          </w:tcPr>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w:t>
            </w:r>
          </w:p>
        </w:tc>
      </w:tr>
      <w:tr>
        <w:trPr>
          <w:cantSplit w:val="0"/>
          <w:trHeight w:val="471" w:hRule="atLeast"/>
          <w:tblHeader w:val="0"/>
        </w:trPr>
        <w:tc>
          <w:tcPr>
            <w:vAlign w:val="center"/>
          </w:tcPr>
          <w:p w:rsidR="00000000" w:rsidDel="00000000" w:rsidP="00000000" w:rsidRDefault="00000000" w:rsidRPr="00000000" w14:paraId="0000018C">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Cigarette</w:t>
            </w:r>
          </w:p>
        </w:tc>
        <w:tc>
          <w:tcPr>
            <w:vAlign w:val="center"/>
          </w:tcPr>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(21.9)</w:t>
            </w:r>
          </w:p>
        </w:tc>
        <w:tc>
          <w:tcPr>
            <w:vAlign w:val="center"/>
          </w:tcPr>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(78.1)</w:t>
            </w:r>
          </w:p>
        </w:tc>
        <w:tc>
          <w:tcPr>
            <w:vAlign w:val="center"/>
          </w:tcPr>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w:t>
            </w:r>
          </w:p>
        </w:tc>
        <w:tc>
          <w:tcPr>
            <w:vAlign w:val="center"/>
          </w:tcPr>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1" w:hRule="atLeast"/>
          <w:tblHeader w:val="0"/>
        </w:trPr>
        <w:tc>
          <w:tcPr>
            <w:vAlign w:val="center"/>
          </w:tcPr>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Smoking intensity</w:t>
            </w:r>
            <w:r w:rsidDel="00000000" w:rsidR="00000000" w:rsidRPr="00000000">
              <w:rPr>
                <w:rtl w:val="0"/>
              </w:rPr>
            </w:r>
          </w:p>
        </w:tc>
        <w:tc>
          <w:tcPr>
            <w:vAlign w:val="center"/>
          </w:tcPr>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units/day</w:t>
            </w:r>
          </w:p>
        </w:tc>
        <w:tc>
          <w:tcPr>
            <w:vAlign w:val="center"/>
          </w:tcPr>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(12.9)</w:t>
            </w:r>
          </w:p>
        </w:tc>
        <w:tc>
          <w:tcPr>
            <w:vAlign w:val="center"/>
          </w:tcPr>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(87.1)</w:t>
            </w:r>
          </w:p>
        </w:tc>
        <w:tc>
          <w:tcPr>
            <w:vAlign w:val="center"/>
          </w:tcPr>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c>
          <w:tcPr>
            <w:vAlign w:val="center"/>
          </w:tcPr>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w:t>
            </w:r>
          </w:p>
        </w:tc>
      </w:tr>
      <w:tr>
        <w:trPr>
          <w:cantSplit w:val="0"/>
          <w:trHeight w:val="471" w:hRule="atLeast"/>
          <w:tblHeader w:val="0"/>
        </w:trPr>
        <w:tc>
          <w:tcPr>
            <w:vAlign w:val="center"/>
          </w:tcPr>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units/day</w:t>
            </w:r>
          </w:p>
        </w:tc>
        <w:tc>
          <w:tcPr>
            <w:vAlign w:val="center"/>
          </w:tcPr>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(47.7)</w:t>
            </w:r>
          </w:p>
        </w:tc>
        <w:tc>
          <w:tcPr>
            <w:vAlign w:val="center"/>
          </w:tcPr>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(52.3)</w:t>
            </w:r>
          </w:p>
        </w:tc>
        <w:tc>
          <w:tcPr>
            <w:vAlign w:val="center"/>
          </w:tcPr>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vAlign w:val="center"/>
          </w:tcPr>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1" w:hRule="atLeast"/>
          <w:tblHeader w:val="0"/>
        </w:trPr>
        <w:tc>
          <w:tcPr>
            <w:vAlign w:val="center"/>
          </w:tcPr>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units/day</w:t>
            </w:r>
          </w:p>
        </w:tc>
        <w:tc>
          <w:tcPr>
            <w:vAlign w:val="center"/>
          </w:tcPr>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 (87.4)</w:t>
            </w:r>
          </w:p>
        </w:tc>
        <w:tc>
          <w:tcPr>
            <w:vAlign w:val="center"/>
          </w:tcPr>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(12.6)</w:t>
            </w:r>
          </w:p>
        </w:tc>
        <w:tc>
          <w:tcPr>
            <w:vAlign w:val="center"/>
          </w:tcPr>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vAlign w:val="center"/>
          </w:tcPr>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 of smoking</w:t>
            </w:r>
            <w:r w:rsidDel="00000000" w:rsidR="00000000" w:rsidRPr="00000000">
              <w:rPr>
                <w:rtl w:val="0"/>
              </w:rPr>
            </w:r>
          </w:p>
        </w:tc>
        <w:tc>
          <w:tcPr>
            <w:vAlign w:val="center"/>
          </w:tcPr>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years</w:t>
            </w:r>
          </w:p>
        </w:tc>
        <w:tc>
          <w:tcPr>
            <w:vAlign w:val="center"/>
          </w:tcPr>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(24.8)</w:t>
            </w:r>
          </w:p>
        </w:tc>
        <w:tc>
          <w:tcPr>
            <w:vAlign w:val="center"/>
          </w:tcPr>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 (75.2)</w:t>
            </w:r>
          </w:p>
        </w:tc>
        <w:tc>
          <w:tcPr>
            <w:vAlign w:val="center"/>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w:t>
            </w:r>
          </w:p>
        </w:tc>
        <w:tc>
          <w:tcPr>
            <w:vAlign w:val="center"/>
          </w:tcPr>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&lt;0.001</w:t>
            </w:r>
          </w:p>
        </w:tc>
      </w:tr>
      <w:tr>
        <w:trPr>
          <w:cantSplit w:val="0"/>
          <w:trHeight w:val="471" w:hRule="atLeast"/>
          <w:tblHeader w:val="0"/>
        </w:trPr>
        <w:tc>
          <w:tcPr>
            <w:vAlign w:val="center"/>
          </w:tcPr>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years</w:t>
            </w:r>
          </w:p>
        </w:tc>
        <w:tc>
          <w:tcPr>
            <w:vAlign w:val="center"/>
          </w:tcPr>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 (60.0)</w:t>
            </w:r>
          </w:p>
        </w:tc>
        <w:tc>
          <w:tcPr>
            <w:vAlign w:val="center"/>
          </w:tcPr>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 (40.0)</w:t>
            </w:r>
          </w:p>
        </w:tc>
        <w:tc>
          <w:tcPr>
            <w:vAlign w:val="center"/>
          </w:tcPr>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w:t>
            </w:r>
          </w:p>
        </w:tc>
        <w:tc>
          <w:tcPr>
            <w:vAlign w:val="center"/>
          </w:tcPr>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1:  Scatter plot shows the relationship between age (x-axis) and the measured FEV1/FVC ratio percentage (y-axis) in different categories of smokers</w:t>
      </w:r>
    </w:p>
    <w:p w:rsidR="00000000" w:rsidDel="00000000" w:rsidP="00000000" w:rsidRDefault="00000000" w:rsidRPr="00000000" w14:paraId="000001B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577891" cy="21678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7891" cy="2167802"/>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Health Organization. WHO Report on the Global Tobacco Epidemic, 2008: the MPOWER package. Geneva: WHO: 2008. 2008.</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Ministry of Health and Family Welfare, Government of India.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Report on Tobacco Control in India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Delhi: National Tobacco Control Programme, MoHFW; 2024</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Dikalov S, Itani H, Richmond B, Arslanbaeva L, Vergeade A, Rahman SMJ, et al. Tobacco smoking induces cardiovascular mitochondrial oxidative stress, promotes endothelial dysfunction, and enhances hypertension.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 J Physiol Heart Circ Physiol.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2019;316(3):H639-H646. </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 D, Virk AK, Bhardwaj A, Lal KK, Bora J, Nadda A, et al.  Pestilent relationship between smoking and hypertension or pulse pressure among males over 15 years in India: NFHS-5 Survey. PLoS ONE. 2024; 19(5): e0294898. </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Chenicherry, M., Datta, A, Saha, A., &amp; Divakaran, B. A comparative analysis of pulmonary function variables in smokers and athletes.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Academic Medicine and Pharmacy,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111-116. </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Sharma RK, Pandey UK, Ravita RK, Puri MM. Impact of Bidi vs. Cigarette Smoking on Pulmonary and Vascular Parameters in COPD Patients. Journal of Contemporary Clinical Practice. 2025 Dec;11(12):731-739.</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Kumar N, Chawla G, Kansal AP, Deokar K, Niwas R, Abrol N, et al. Airflow limitation in smokers – A cause for concern. J Family Med Prim Care 2022; 11:6807-11.</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Agudelo CW, Kumley BK, Area-Gomez E, Xu Y, Dabo AJ, Geraghty P, et al. Decreased surfactant lipids correlate with lung function in chronic obstructive pulmonary disease (COPD). PLoS One. 2020;15(2):e0228279.</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Christopher DJ, Oommen AM, George K, Premkumar PS, Shankar D, Agrawal A, et al. Rural South Indian spirometry values show wide variation compared to existing prediction equations. Lung India 2023; 40:193-9.</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Dutt S, Gogia T, Gupta M. A comparative study on pulmonary function tests in smokers &amp; nonsmokers. Indian J Clin Anat Physiol 2021;8(1):53-56</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b"/>
          <w:sz w:val="24"/>
          <w:szCs w:val="24"/>
          <w:highlight w:val="white"/>
          <w:u w:val="none"/>
          <w:vertAlign w:val="baseline"/>
          <w:rtl w:val="0"/>
        </w:rPr>
        <w:t xml:space="preserve">Mishra S, Joseph RA, Gupta PC, Pezzack B, Ram F, Sinha DN, Dikshit R, Patra J, Jha P. Trends in bidi and cigarette smoking in India from 1998 to 2015, by age, gender and education. BMJ Glob Health. 2016 Apr 6;1(1): e000005. doi: 10.1136 /bmjgh-2015-000005.</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1b"/>
          <w:sz w:val="24"/>
          <w:szCs w:val="24"/>
          <w:highlight w:val="white"/>
          <w:u w:val="none"/>
          <w:vertAlign w:val="baseline"/>
          <w:rtl w:val="0"/>
        </w:rPr>
        <w:t xml:space="preserve">Mbulo L, Palipudi KM, Smith T, Yin S, Munish VG, Sinha DN, Gupta PC, Swasticharan L. Patterns and related factors of bidi smoking in India. Tob Prev Cessat. 2020 May 4; 6:28. doi: 10.18332/tpc/119053.</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highlight w:val="white"/>
          <w:u w:val="none"/>
          <w:vertAlign w:val="baseline"/>
          <w:rtl w:val="0"/>
        </w:rPr>
        <w:t xml:space="preserve">Kahar P, Misra R, Patel TG. Sociodemographic Correlates of Tobacco Consumption in Rural Gujarat, India. Biomed Res Int. 2016; 2016:5856740. doi: 10.1155/2016/5856740. Epub 2016 Mar 30. PMID: 27127788; PMCID: PMC4834402.</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highlight w:val="white"/>
          <w:u w:val="none"/>
          <w:vertAlign w:val="baseline"/>
          <w:rtl w:val="0"/>
        </w:rPr>
        <w:t xml:space="preserve">Gupta B. Burden of smoked and smokeless tobacco consumption in India—results from the global adult tobacco survey India (GATS-India)—2009-2010. Asian Pacific Journal of Cancer Prevention. 2013;14(5):3323–3329. doi: 10.7314 /apjcp.2013.14.5.3323</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highlight w:val="white"/>
          <w:u w:val="none"/>
          <w:vertAlign w:val="baseline"/>
          <w:rtl w:val="0"/>
        </w:rPr>
        <w:t xml:space="preserve">Goswami A, Reddaiah VP, Kapoor SK, Singh B, Dwivedi SN, Kumar G. Tobacco and alcohol use in rural elderly Indian population. Indian J Psychiatry. 2005 Oct;47(4):192-7. doi: 10.4103/0019-5545.43050. PMID: 20711304; PMCID: PMC2921132.</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highlight w:val="white"/>
          <w:u w:val="none"/>
          <w:vertAlign w:val="baseline"/>
          <w:rtl w:val="0"/>
        </w:rPr>
        <w:t xml:space="preserve">Bhan N, Karan A, Srivastava S, Selvaraj S, Subramanian SV, Millett C. Have Socioeconomic Inequalities in Tobacco Use in India Increased Over Time? Trends From the National Sample Surveys (2000-2012). Nicotine Tob Res. 2016 Aug;18(8):1711-8. doi: 10.1093/ntr/ntw092. Epub 2016 Apr 5. PMID: 27048274; PMCID: PMC4941603.</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highlight w:val="white"/>
          <w:u w:val="none"/>
          <w:vertAlign w:val="baseline"/>
          <w:rtl w:val="0"/>
        </w:rPr>
        <w:t xml:space="preserve">Jitender S, Sarika G, Sharma P, Mishra P. Bidi smoking: an underestimated issue of Indian society. J Exp Ther Oncol. 2017 May;12(1):73-81. PMID: 28472568.</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highlight w:val="white"/>
          <w:u w:val="none"/>
          <w:vertAlign w:val="baseline"/>
          <w:rtl w:val="0"/>
        </w:rPr>
        <w:t xml:space="preserve">Goodchild M, Munish VG, Sinha P, Tullu FT, Paul J. Revisiting the tax treatment of bidis in India. Tob Control. 2022 May;31(3):432-437. doi: 10.1136/tobaccocontrol-2020-056056. Epub 2020 Dec 16. PMID: 33328265; PMCID: PMC9046750.</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highlight w:val="white"/>
          <w:u w:val="none"/>
          <w:vertAlign w:val="baseline"/>
          <w:rtl w:val="0"/>
        </w:rPr>
        <w:t xml:space="preserve">Welding K, Iacobelli M, Saraf S, Smith KC, Puntambekar N, Gupta PC, Cohen JE. The Market for Bidis, Smokeless Tobacco, and Cigarettes in India: Evidence from Semi-Urban and Rural Areas in Five States. Int J Public Health. 2021 May 12; 66:1604005. doi: 10.3389/ijph.2021.1604005. PMID: 34335142; PMCID: PMC8284861.</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highlight w:val="white"/>
          <w:u w:val="none"/>
          <w:vertAlign w:val="baseline"/>
          <w:rtl w:val="0"/>
        </w:rPr>
        <w:t xml:space="preserve">Rana K, Goel S, Prinja S. An analysis of affordability of cigarettes and bidis in India. Indian J Tuberc. 2021; 68S:S55-S59. doi: 10.1016/j.ijtb.2021.08.020. Epub 2021 Aug 18. PMID: 34538392.</w:t>
      </w:r>
      <w:r w:rsidDel="00000000" w:rsidR="00000000" w:rsidRPr="00000000">
        <w:rPr>
          <w:rtl w:val="0"/>
        </w:rPr>
      </w:r>
    </w:p>
    <w:p w:rsidR="00000000" w:rsidDel="00000000" w:rsidP="00000000" w:rsidRDefault="00000000" w:rsidRPr="00000000" w14:paraId="000001C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