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Quicksand" w:cs="Quicksand" w:eastAsia="Quicksand" w:hAnsi="Quicksand"/>
          <w:b/>
          <w:bCs/>
          <w:color w:val="1A70B8"/>
          <w:sz w:val="34"/>
          <w:szCs w:val="34"/>
        </w:rPr>
        <w:t xml:space="preserve">Fragenliste für das Gespräch mit der Eigentümerin von SKP</w:t>
      </w:r>
    </w:p>
    <w:p>
      <w:pPr>
        <w:spacing w:after="200" w:before="0" w:line="260"/>
      </w:pPr>
      <w:r>
        <w:rPr>
          <w:rFonts w:ascii="Open Sans" w:cs="Open Sans" w:eastAsia="Open Sans" w:hAnsi="Open Sans"/>
          <w:b w:val="false"/>
          <w:bCs w:val="false"/>
          <w:i w:val="false"/>
          <w:iCs w:val="false"/>
          <w:color w:val="777777"/>
          <w:sz w:val="19"/>
          <w:szCs w:val="19"/>
        </w:rPr>
        <w:t xml:space="preserve">Soziale Kompetenzen Kreis Pinneberg e. K., Uetersen  ·  Stand August 2026</w:t>
      </w:r>
    </w:p>
    <w:p>
      <w:pPr>
        <w:spacing w:after="120" w:before="0" w:line="260"/>
      </w:pPr>
      <w:r>
        <w:rPr>
          <w:rFonts w:ascii="Open Sans" w:cs="Open Sans" w:eastAsia="Open Sans" w:hAnsi="Open Sans"/>
          <w:b w:val="false"/>
          <w:bCs w:val="false"/>
          <w:i w:val="false"/>
          <w:iCs w:val="false"/>
          <w:color w:val="3D3D3D"/>
          <w:sz w:val="20"/>
          <w:szCs w:val="20"/>
        </w:rPr>
        <w:t xml:space="preserve">Die Liste prüft nicht das Unternehmen im Allgemeinen, sondern genau die Punkte, an denen sich die Poolreform auf den Wert auswirkt. Jede Frage nennt darum mit, warum wir sie stellen und welche Unterlage die Antwort belegt. Die rechte Spalte bleibt frei für Notizen im Gespräch.</w:t>
      </w:r>
    </w:p>
    <w:p>
      <w:pPr>
        <w:spacing w:after="200" w:before="0" w:line="260"/>
      </w:pPr>
      <w:r>
        <w:rPr>
          <w:rFonts w:ascii="Open Sans" w:cs="Open Sans" w:eastAsia="Open Sans" w:hAnsi="Open Sans"/>
          <w:b w:val="false"/>
          <w:bCs w:val="false"/>
          <w:i w:val="false"/>
          <w:iCs w:val="false"/>
          <w:color w:val="3D3D3D"/>
          <w:sz w:val="20"/>
          <w:szCs w:val="20"/>
        </w:rPr>
        <w:t xml:space="preserve">Acht Blöcke, 38 Fragen. Realistisch sind zwei Termine: Block A bis D im ersten Gespräch, E bis H im zweiten, nachdem die Unterlagen vorliegen.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AF1F8" w:color="auto" w:val="clear"/>
            <w:tcMar>
              <w:top w:type="dxa" w:w="140"/>
              <w:left w:type="dxa" w:w="160"/>
              <w:bottom w:type="dxa" w:w="140"/>
              <w:right w:type="dxa" w:w="160"/>
            </w:tcMar>
          </w:tcPr>
          <w:p>
            <w:pPr>
              <w:spacing w:after="80" w:before="0" w:line="260"/>
            </w:pPr>
            <w:r>
              <w:rPr>
                <w:rFonts w:ascii="Quicksand" w:cs="Quicksand" w:eastAsia="Quicksand" w:hAnsi="Quicksand"/>
                <w:b/>
                <w:bCs/>
                <w:i w:val="false"/>
                <w:iCs w:val="false"/>
                <w:color w:val="1A70B8"/>
                <w:sz w:val="21"/>
                <w:szCs w:val="21"/>
              </w:rPr>
              <w:t xml:space="preserve">Die fünf Antworten, an denen die Bewertung wirklich hängt</w:t>
            </w:r>
          </w:p>
          <w:p>
            <w:pPr>
              <w:spacing w:after="60" w:before="0" w:line="260"/>
            </w:pPr>
            <w:r>
              <w:rPr>
                <w:rFonts w:ascii="Open Sans" w:cs="Open Sans" w:eastAsia="Open Sans" w:hAnsi="Open Sans"/>
                <w:b w:val="false"/>
                <w:bCs w:val="false"/>
                <w:i w:val="false"/>
                <w:iCs w:val="false"/>
                <w:color w:val="1A70B8"/>
                <w:sz w:val="20"/>
                <w:szCs w:val="20"/>
              </w:rPr>
              <w:t xml:space="preserve">▪  </w:t>
            </w:r>
            <w:r>
              <w:rPr>
                <w:rFonts w:ascii="Open Sans" w:cs="Open Sans" w:eastAsia="Open Sans" w:hAnsi="Open Sans"/>
                <w:b w:val="false"/>
                <w:bCs w:val="false"/>
                <w:i w:val="false"/>
                <w:iCs w:val="false"/>
                <w:color w:val="3D3D3D"/>
                <w:sz w:val="19"/>
                <w:szCs w:val="19"/>
              </w:rPr>
              <w:t xml:space="preserve">D2 — Gibt es Fachkräfte für die Teamleitung? Ohne sie kein Zuschlag, und die Lücke ist teuer.</w:t>
            </w:r>
          </w:p>
          <w:p>
            <w:pPr>
              <w:spacing w:after="60" w:before="0" w:line="260"/>
            </w:pPr>
            <w:r>
              <w:rPr>
                <w:rFonts w:ascii="Open Sans" w:cs="Open Sans" w:eastAsia="Open Sans" w:hAnsi="Open Sans"/>
                <w:b w:val="false"/>
                <w:bCs w:val="false"/>
                <w:i w:val="false"/>
                <w:iCs w:val="false"/>
                <w:color w:val="1A70B8"/>
                <w:sz w:val="20"/>
                <w:szCs w:val="20"/>
              </w:rPr>
              <w:t xml:space="preserve">▪  </w:t>
            </w:r>
            <w:r>
              <w:rPr>
                <w:rFonts w:ascii="Open Sans" w:cs="Open Sans" w:eastAsia="Open Sans" w:hAnsi="Open Sans"/>
                <w:b w:val="false"/>
                <w:bCs w:val="false"/>
                <w:i w:val="false"/>
                <w:iCs w:val="false"/>
                <w:color w:val="3D3D3D"/>
                <w:sz w:val="19"/>
                <w:szCs w:val="19"/>
              </w:rPr>
              <w:t xml:space="preserve">B1 — Welcher Umsatzanteil liegt an Schulen der Stufen 1 und 2? Das ist das Volumen, das ein einziges Verfahren entscheidet.</w:t>
            </w:r>
          </w:p>
          <w:p>
            <w:pPr>
              <w:spacing w:after="60" w:before="0" w:line="260"/>
            </w:pPr>
            <w:r>
              <w:rPr>
                <w:rFonts w:ascii="Open Sans" w:cs="Open Sans" w:eastAsia="Open Sans" w:hAnsi="Open Sans"/>
                <w:b w:val="false"/>
                <w:bCs w:val="false"/>
                <w:i w:val="false"/>
                <w:iCs w:val="false"/>
                <w:color w:val="1A70B8"/>
                <w:sz w:val="20"/>
                <w:szCs w:val="20"/>
              </w:rPr>
              <w:t xml:space="preserve">▪  </w:t>
            </w:r>
            <w:r>
              <w:rPr>
                <w:rFonts w:ascii="Open Sans" w:cs="Open Sans" w:eastAsia="Open Sans" w:hAnsi="Open Sans"/>
                <w:b w:val="false"/>
                <w:bCs w:val="false"/>
                <w:i w:val="false"/>
                <w:iCs w:val="false"/>
                <w:color w:val="3D3D3D"/>
                <w:sz w:val="19"/>
                <w:szCs w:val="19"/>
              </w:rPr>
              <w:t xml:space="preserve">A1 — Ist Pinneberg wirklich das einzige Gebiet? Jede weitere Region senkt das Klumpenrisiko spürbar.</w:t>
            </w:r>
          </w:p>
          <w:p>
            <w:pPr>
              <w:spacing w:after="60" w:before="0" w:line="260"/>
            </w:pPr>
            <w:r>
              <w:rPr>
                <w:rFonts w:ascii="Open Sans" w:cs="Open Sans" w:eastAsia="Open Sans" w:hAnsi="Open Sans"/>
                <w:b w:val="false"/>
                <w:bCs w:val="false"/>
                <w:i w:val="false"/>
                <w:iCs w:val="false"/>
                <w:color w:val="1A70B8"/>
                <w:sz w:val="20"/>
                <w:szCs w:val="20"/>
              </w:rPr>
              <w:t xml:space="preserve">▪  </w:t>
            </w:r>
            <w:r>
              <w:rPr>
                <w:rFonts w:ascii="Open Sans" w:cs="Open Sans" w:eastAsia="Open Sans" w:hAnsi="Open Sans"/>
                <w:b w:val="false"/>
                <w:bCs w:val="false"/>
                <w:i w:val="false"/>
                <w:iCs w:val="false"/>
                <w:color w:val="3D3D3D"/>
                <w:sz w:val="19"/>
                <w:szCs w:val="19"/>
              </w:rPr>
              <w:t xml:space="preserve">E2 und E3 — Ist-Stundenlohn und Ferienregelung. Sie entscheiden, ob unter einem Festpreis noch Marge bleibt.</w:t>
            </w:r>
          </w:p>
          <w:p>
            <w:pPr>
              <w:spacing w:after="0" w:before="0" w:line="260"/>
            </w:pPr>
            <w:r>
              <w:rPr>
                <w:rFonts w:ascii="Open Sans" w:cs="Open Sans" w:eastAsia="Open Sans" w:hAnsi="Open Sans"/>
                <w:b w:val="false"/>
                <w:bCs w:val="false"/>
                <w:i w:val="false"/>
                <w:iCs w:val="false"/>
                <w:color w:val="1A70B8"/>
                <w:sz w:val="20"/>
                <w:szCs w:val="20"/>
              </w:rPr>
              <w:t xml:space="preserve">▪  </w:t>
            </w:r>
            <w:r>
              <w:rPr>
                <w:rFonts w:ascii="Open Sans" w:cs="Open Sans" w:eastAsia="Open Sans" w:hAnsi="Open Sans"/>
                <w:b w:val="false"/>
                <w:bCs w:val="false"/>
                <w:i w:val="false"/>
                <w:iCs w:val="false"/>
                <w:color w:val="3D3D3D"/>
                <w:sz w:val="19"/>
                <w:szCs w:val="19"/>
              </w:rPr>
              <w:t xml:space="preserve">G3 — Sind die Schulbeziehungen schriftlich verankert oder hängen sie an der Eigentümerin?</w:t>
            </w:r>
          </w:p>
        </w:tc>
      </w:tr>
    </w:tbl>
    <w:p>
      <w:pPr>
        <w:pStyle w:val="Heading1"/>
        <w:spacing w:after="140" w:before="340"/>
      </w:pPr>
      <w:r>
        <w:rPr>
          <w:rFonts w:ascii="Quicksand" w:cs="Quicksand" w:eastAsia="Quicksand" w:hAnsi="Quicksand"/>
          <w:b/>
          <w:bCs/>
          <w:color w:val="1A70B8"/>
          <w:sz w:val="26"/>
          <w:szCs w:val="26"/>
        </w:rPr>
        <w:t xml:space="preserve">A · Gebiet und Volumen</w:t>
      </w:r>
    </w:p>
    <w:p>
      <w:pPr>
        <w:spacing w:after="140" w:before="0" w:line="260"/>
      </w:pPr>
      <w:r>
        <w:rPr>
          <w:rFonts w:ascii="Open Sans" w:cs="Open Sans" w:eastAsia="Open Sans" w:hAnsi="Open Sans"/>
          <w:b w:val="false"/>
          <w:bCs w:val="false"/>
          <w:i w:val="false"/>
          <w:iCs w:val="false"/>
          <w:color w:val="777777"/>
          <w:sz w:val="18"/>
          <w:szCs w:val="18"/>
        </w:rPr>
        <w:t xml:space="preserve">Was wir kaufen würden — und wie breit es aufgestellt 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00"/>
        <w:gridCol w:w="3338"/>
      </w:tblGrid>
      <w:tr>
        <w:trPr>
          <w:tblHeader/>
        </w:trPr>
        <w:tc>
          <w:tcPr>
            <w:tcW w:type="dxa" w:w="6300"/>
            <w:tcBorders>
              <w:top w:val="single" w:color="DDDDDD" w:sz="2"/>
              <w:left w:val="none" w:color="FFFFFF" w:sz="0"/>
              <w:bottom w:val="single" w:color="DDDDDD" w:sz="2"/>
              <w:right w:val="none" w:color="FFFFFF" w:sz="0"/>
            </w:tcBorders>
            <w:shd w:fill="EAF1F8" w:color="auto" w:val="clear"/>
            <w:tcMar>
              <w:top w:type="dxa" w:w="90"/>
              <w:left w:type="dxa" w:w="120"/>
              <w:bottom w:type="dxa" w:w="90"/>
              <w:right w:type="dxa" w:w="120"/>
            </w:tcMar>
          </w:tcPr>
          <w:p>
            <w:pPr>
              <w:spacing w:after="0" w:before="0" w:line="260"/>
            </w:pPr>
            <w:r>
              <w:rPr>
                <w:rFonts w:ascii="Quicksand" w:cs="Quicksand" w:eastAsia="Quicksand" w:hAnsi="Quicksand"/>
                <w:b/>
                <w:bCs/>
                <w:i w:val="false"/>
                <w:iCs w:val="false"/>
                <w:color w:val="1A70B8"/>
                <w:sz w:val="19"/>
                <w:szCs w:val="19"/>
              </w:rPr>
              <w:t xml:space="preserve">Frage</w:t>
            </w:r>
          </w:p>
        </w:tc>
        <w:tc>
          <w:tcPr>
            <w:tcW w:type="dxa" w:w="3338"/>
            <w:tcBorders>
              <w:top w:val="single" w:color="DDDDDD" w:sz="2"/>
              <w:left w:val="none" w:color="FFFFFF" w:sz="0"/>
              <w:bottom w:val="single" w:color="DDDDDD" w:sz="2"/>
              <w:right w:val="none" w:color="FFFFFF" w:sz="0"/>
            </w:tcBorders>
            <w:shd w:fill="EAF1F8" w:color="auto" w:val="clear"/>
            <w:tcMar>
              <w:top w:type="dxa" w:w="90"/>
              <w:left w:type="dxa" w:w="120"/>
              <w:bottom w:type="dxa" w:w="90"/>
              <w:right w:type="dxa" w:w="120"/>
            </w:tcMar>
          </w:tcPr>
          <w:p>
            <w:pPr>
              <w:spacing w:after="0" w:before="0" w:line="260"/>
            </w:pPr>
            <w:r>
              <w:rPr>
                <w:rFonts w:ascii="Quicksand" w:cs="Quicksand" w:eastAsia="Quicksand" w:hAnsi="Quicksand"/>
                <w:b/>
                <w:bCs/>
                <w:i w:val="false"/>
                <w:iCs w:val="false"/>
                <w:color w:val="1A70B8"/>
                <w:sz w:val="19"/>
                <w:szCs w:val="19"/>
              </w:rPr>
              <w:t xml:space="preserve">Antwort</w:t>
            </w:r>
          </w:p>
        </w:tc>
      </w:tr>
      <w:tr>
        <w:trPr>
          <w:cantSplit/>
        </w:trPr>
        <w:tc>
          <w:tcPr>
            <w:tcW w:type="dxa" w:w="6300"/>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60" w:before="0" w:line="260"/>
            </w:pPr>
            <w:r>
              <w:rPr>
                <w:rFonts w:ascii="Quicksand" w:cs="Quicksand" w:eastAsia="Quicksand" w:hAnsi="Quicksand"/>
                <w:b/>
                <w:bCs/>
                <w:i w:val="false"/>
                <w:iCs w:val="false"/>
                <w:color w:val="1A70B8"/>
                <w:sz w:val="20"/>
                <w:szCs w:val="20"/>
              </w:rPr>
              <w:t xml:space="preserve">A1  </w:t>
            </w:r>
            <w:r>
              <w:rPr>
                <w:rFonts w:ascii="Open Sans" w:cs="Open Sans" w:eastAsia="Open Sans" w:hAnsi="Open Sans"/>
                <w:b/>
                <w:bCs/>
                <w:i w:val="false"/>
                <w:iCs w:val="false"/>
                <w:color w:val="3D3D3D"/>
                <w:sz w:val="20"/>
                <w:szCs w:val="20"/>
              </w:rPr>
              <w:t xml:space="preserve">Ist der Kreis Pinneberg wirklich das einzige Einsatzgebiet?</w:t>
            </w:r>
          </w:p>
          <w:p>
            <w:pPr>
              <w:spacing w:after="40" w:before="0" w:line="260"/>
            </w:pPr>
            <w:r>
              <w:rPr>
                <w:rFonts w:ascii="Open Sans" w:cs="Open Sans" w:eastAsia="Open Sans" w:hAnsi="Open Sans"/>
                <w:b/>
                <w:bCs/>
                <w:i w:val="false"/>
                <w:iCs w:val="false"/>
                <w:color w:val="777777"/>
                <w:sz w:val="17"/>
                <w:szCs w:val="17"/>
              </w:rPr>
              <w:t xml:space="preserve">Warum: </w:t>
            </w:r>
            <w:r>
              <w:rPr>
                <w:rFonts w:ascii="Open Sans" w:cs="Open Sans" w:eastAsia="Open Sans" w:hAnsi="Open Sans"/>
                <w:b w:val="false"/>
                <w:bCs w:val="false"/>
                <w:i w:val="false"/>
                <w:iCs w:val="false"/>
                <w:color w:val="777777"/>
                <w:sz w:val="17"/>
                <w:szCs w:val="17"/>
              </w:rPr>
              <w:t xml:space="preserve">Öffentlich belegbar ist ausschließlich der Kreis Pinneberg — s-k-p.net nennt kein weiteres Gebiet. Jede zusätzliche Region verändert die Bewertung erheblich, weil sie das Klumpenrisiko senkt.</w:t>
            </w:r>
          </w:p>
          <w:p>
            <w:pPr>
              <w:spacing w:after="0" w:before="0" w:line="260"/>
            </w:pPr>
            <w:r>
              <w:rPr>
                <w:rFonts w:ascii="Open Sans" w:cs="Open Sans" w:eastAsia="Open Sans" w:hAnsi="Open Sans"/>
                <w:b/>
                <w:bCs/>
                <w:i w:val="false"/>
                <w:iCs w:val="false"/>
                <w:color w:val="6E7D00"/>
                <w:sz w:val="17"/>
                <w:szCs w:val="17"/>
              </w:rPr>
              <w:t xml:space="preserve">Unterlage: </w:t>
            </w:r>
            <w:r>
              <w:rPr>
                <w:rFonts w:ascii="Open Sans" w:cs="Open Sans" w:eastAsia="Open Sans" w:hAnsi="Open Sans"/>
                <w:b w:val="false"/>
                <w:bCs w:val="false"/>
                <w:i/>
                <w:iCs/>
                <w:color w:val="6E7D00"/>
                <w:sz w:val="17"/>
                <w:szCs w:val="17"/>
              </w:rPr>
              <w:t xml:space="preserve">Standortliste je Schule mit Kreis und Beginn der Tätigkeit</w:t>
            </w:r>
          </w:p>
        </w:tc>
        <w:tc>
          <w:tcPr>
            <w:tcW w:type="dxa" w:w="3338"/>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tc>
      </w:tr>
      <w:tr>
        <w:trPr>
          <w:cantSplit/>
        </w:trPr>
        <w:tc>
          <w:tcPr>
            <w:tcW w:type="dxa" w:w="6300"/>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60" w:before="0" w:line="260"/>
            </w:pPr>
            <w:r>
              <w:rPr>
                <w:rFonts w:ascii="Quicksand" w:cs="Quicksand" w:eastAsia="Quicksand" w:hAnsi="Quicksand"/>
                <w:b/>
                <w:bCs/>
                <w:i w:val="false"/>
                <w:iCs w:val="false"/>
                <w:color w:val="1A70B8"/>
                <w:sz w:val="20"/>
                <w:szCs w:val="20"/>
              </w:rPr>
              <w:t xml:space="preserve">A2  </w:t>
            </w:r>
            <w:r>
              <w:rPr>
                <w:rFonts w:ascii="Open Sans" w:cs="Open Sans" w:eastAsia="Open Sans" w:hAnsi="Open Sans"/>
                <w:b/>
                <w:bCs/>
                <w:i w:val="false"/>
                <w:iCs w:val="false"/>
                <w:color w:val="3D3D3D"/>
                <w:sz w:val="20"/>
                <w:szCs w:val="20"/>
              </w:rPr>
              <w:t xml:space="preserve">An wie vielen Schulen ist SKP heute tätig, und wie verteilt sich das Volumen darauf?</w:t>
            </w:r>
          </w:p>
          <w:p>
            <w:pPr>
              <w:spacing w:after="40" w:before="0" w:line="260"/>
            </w:pPr>
            <w:r>
              <w:rPr>
                <w:rFonts w:ascii="Open Sans" w:cs="Open Sans" w:eastAsia="Open Sans" w:hAnsi="Open Sans"/>
                <w:b/>
                <w:bCs/>
                <w:i w:val="false"/>
                <w:iCs w:val="false"/>
                <w:color w:val="777777"/>
                <w:sz w:val="17"/>
                <w:szCs w:val="17"/>
              </w:rPr>
              <w:t xml:space="preserve">Warum: </w:t>
            </w:r>
            <w:r>
              <w:rPr>
                <w:rFonts w:ascii="Open Sans" w:cs="Open Sans" w:eastAsia="Open Sans" w:hAnsi="Open Sans"/>
                <w:b w:val="false"/>
                <w:bCs w:val="false"/>
                <w:i w:val="false"/>
                <w:iCs w:val="false"/>
                <w:color w:val="777777"/>
                <w:sz w:val="17"/>
                <w:szCs w:val="17"/>
              </w:rPr>
              <w:t xml:space="preserve">Im Poolmodell wird je Schule ein Träger beauftragt. Die Schulliste ist damit die eigentliche Umsatzliste — nicht die Zahl der Kinder.</w:t>
            </w:r>
          </w:p>
          <w:p>
            <w:pPr>
              <w:spacing w:after="0" w:before="0" w:line="260"/>
            </w:pPr>
            <w:r>
              <w:rPr>
                <w:rFonts w:ascii="Open Sans" w:cs="Open Sans" w:eastAsia="Open Sans" w:hAnsi="Open Sans"/>
                <w:b/>
                <w:bCs/>
                <w:i w:val="false"/>
                <w:iCs w:val="false"/>
                <w:color w:val="6E7D00"/>
                <w:sz w:val="17"/>
                <w:szCs w:val="17"/>
              </w:rPr>
              <w:t xml:space="preserve">Unterlage: </w:t>
            </w:r>
            <w:r>
              <w:rPr>
                <w:rFonts w:ascii="Open Sans" w:cs="Open Sans" w:eastAsia="Open Sans" w:hAnsi="Open Sans"/>
                <w:b w:val="false"/>
                <w:bCs w:val="false"/>
                <w:i/>
                <w:iCs/>
                <w:color w:val="6E7D00"/>
                <w:sz w:val="17"/>
                <w:szCs w:val="17"/>
              </w:rPr>
              <w:t xml:space="preserve">Je Schule: Schulart, Zahl der Kinder, Wochenstunden, Jahresumsatz</w:t>
            </w:r>
          </w:p>
        </w:tc>
        <w:tc>
          <w:tcPr>
            <w:tcW w:type="dxa" w:w="3338"/>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tc>
      </w:tr>
      <w:tr>
        <w:trPr>
          <w:cantSplit/>
        </w:trPr>
        <w:tc>
          <w:tcPr>
            <w:tcW w:type="dxa" w:w="6300"/>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60" w:before="0" w:line="260"/>
            </w:pPr>
            <w:r>
              <w:rPr>
                <w:rFonts w:ascii="Quicksand" w:cs="Quicksand" w:eastAsia="Quicksand" w:hAnsi="Quicksand"/>
                <w:b/>
                <w:bCs/>
                <w:i w:val="false"/>
                <w:iCs w:val="false"/>
                <w:color w:val="1A70B8"/>
                <w:sz w:val="20"/>
                <w:szCs w:val="20"/>
              </w:rPr>
              <w:t xml:space="preserve">A3  </w:t>
            </w:r>
            <w:r>
              <w:rPr>
                <w:rFonts w:ascii="Open Sans" w:cs="Open Sans" w:eastAsia="Open Sans" w:hAnsi="Open Sans"/>
                <w:b/>
                <w:bCs/>
                <w:i w:val="false"/>
                <w:iCs w:val="false"/>
                <w:color w:val="3D3D3D"/>
                <w:sz w:val="20"/>
                <w:szCs w:val="20"/>
              </w:rPr>
              <w:t xml:space="preserve">Wie viele Kinder werden aktuell begleitet — und wie viele davon nach § 35a SGB VIII gegenüber § 112 SGB IX?</w:t>
            </w:r>
          </w:p>
          <w:p>
            <w:pPr>
              <w:spacing w:after="40" w:before="0" w:line="260"/>
            </w:pPr>
            <w:r>
              <w:rPr>
                <w:rFonts w:ascii="Open Sans" w:cs="Open Sans" w:eastAsia="Open Sans" w:hAnsi="Open Sans"/>
                <w:b/>
                <w:bCs/>
                <w:i w:val="false"/>
                <w:iCs w:val="false"/>
                <w:color w:val="777777"/>
                <w:sz w:val="17"/>
                <w:szCs w:val="17"/>
              </w:rPr>
              <w:t xml:space="preserve">Warum: </w:t>
            </w:r>
            <w:r>
              <w:rPr>
                <w:rFonts w:ascii="Open Sans" w:cs="Open Sans" w:eastAsia="Open Sans" w:hAnsi="Open Sans"/>
                <w:b w:val="false"/>
                <w:bCs w:val="false"/>
                <w:i w:val="false"/>
                <w:iCs w:val="false"/>
                <w:color w:val="777777"/>
                <w:sz w:val="17"/>
                <w:szCs w:val="17"/>
              </w:rPr>
              <w:t xml:space="preserve">Die beiden Rechtskreise werden ab 2028 zusammengeführt. Wer heute in beiden arbeitet, kennt beide Verfahren und beide Ämter.</w:t>
            </w:r>
          </w:p>
          <w:p>
            <w:pPr>
              <w:spacing w:after="0" w:before="0" w:line="260"/>
            </w:pPr>
            <w:r>
              <w:rPr>
                <w:rFonts w:ascii="Open Sans" w:cs="Open Sans" w:eastAsia="Open Sans" w:hAnsi="Open Sans"/>
                <w:b/>
                <w:bCs/>
                <w:i w:val="false"/>
                <w:iCs w:val="false"/>
                <w:color w:val="6E7D00"/>
                <w:sz w:val="17"/>
                <w:szCs w:val="17"/>
              </w:rPr>
              <w:t xml:space="preserve">Unterlage: </w:t>
            </w:r>
            <w:r>
              <w:rPr>
                <w:rFonts w:ascii="Open Sans" w:cs="Open Sans" w:eastAsia="Open Sans" w:hAnsi="Open Sans"/>
                <w:b w:val="false"/>
                <w:bCs w:val="false"/>
                <w:i/>
                <w:iCs/>
                <w:color w:val="6E7D00"/>
                <w:sz w:val="17"/>
                <w:szCs w:val="17"/>
              </w:rPr>
              <w:t xml:space="preserve">Fallliste zum Stichtag, nach Rechtsgrundlage getrennt</w:t>
            </w:r>
          </w:p>
        </w:tc>
        <w:tc>
          <w:tcPr>
            <w:tcW w:type="dxa" w:w="3338"/>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tc>
      </w:tr>
      <w:tr>
        <w:trPr>
          <w:cantSplit/>
        </w:trPr>
        <w:tc>
          <w:tcPr>
            <w:tcW w:type="dxa" w:w="6300"/>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60" w:before="0" w:line="260"/>
            </w:pPr>
            <w:r>
              <w:rPr>
                <w:rFonts w:ascii="Quicksand" w:cs="Quicksand" w:eastAsia="Quicksand" w:hAnsi="Quicksand"/>
                <w:b/>
                <w:bCs/>
                <w:i w:val="false"/>
                <w:iCs w:val="false"/>
                <w:color w:val="1A70B8"/>
                <w:sz w:val="20"/>
                <w:szCs w:val="20"/>
              </w:rPr>
              <w:t xml:space="preserve">A4  </w:t>
            </w:r>
            <w:r>
              <w:rPr>
                <w:rFonts w:ascii="Open Sans" w:cs="Open Sans" w:eastAsia="Open Sans" w:hAnsi="Open Sans"/>
                <w:b/>
                <w:bCs/>
                <w:i w:val="false"/>
                <w:iCs w:val="false"/>
                <w:color w:val="3D3D3D"/>
                <w:sz w:val="20"/>
                <w:szCs w:val="20"/>
              </w:rPr>
              <w:t xml:space="preserve">Wie verteilt sich das Volumen auf Grundschulen, weiterführende Schulen und Förderzentren?</w:t>
            </w:r>
          </w:p>
          <w:p>
            <w:pPr>
              <w:spacing w:after="40" w:before="0" w:line="260"/>
            </w:pPr>
            <w:r>
              <w:rPr>
                <w:rFonts w:ascii="Open Sans" w:cs="Open Sans" w:eastAsia="Open Sans" w:hAnsi="Open Sans"/>
                <w:b/>
                <w:bCs/>
                <w:i w:val="false"/>
                <w:iCs w:val="false"/>
                <w:color w:val="777777"/>
                <w:sz w:val="17"/>
                <w:szCs w:val="17"/>
              </w:rPr>
              <w:t xml:space="preserve">Warum: </w:t>
            </w:r>
            <w:r>
              <w:rPr>
                <w:rFonts w:ascii="Open Sans" w:cs="Open Sans" w:eastAsia="Open Sans" w:hAnsi="Open Sans"/>
                <w:b w:val="false"/>
                <w:bCs w:val="false"/>
                <w:i w:val="false"/>
                <w:iCs w:val="false"/>
                <w:color w:val="777777"/>
                <w:sz w:val="17"/>
                <w:szCs w:val="17"/>
              </w:rPr>
              <w:t xml:space="preserve">Die Reform beginnt an Grundschulen. Weiterführende Schulen und Förderzentren bleiben am längsten im Einzelfall — das ist der stabile Teil des Geschäfts.</w:t>
            </w:r>
          </w:p>
          <w:p>
            <w:pPr>
              <w:spacing w:after="0" w:before="0" w:line="260"/>
            </w:pPr>
            <w:r>
              <w:rPr>
                <w:rFonts w:ascii="Open Sans" w:cs="Open Sans" w:eastAsia="Open Sans" w:hAnsi="Open Sans"/>
                <w:b/>
                <w:bCs/>
                <w:i w:val="false"/>
                <w:iCs w:val="false"/>
                <w:color w:val="6E7D00"/>
                <w:sz w:val="17"/>
                <w:szCs w:val="17"/>
              </w:rPr>
              <w:t xml:space="preserve">Unterlage: </w:t>
            </w:r>
            <w:r>
              <w:rPr>
                <w:rFonts w:ascii="Open Sans" w:cs="Open Sans" w:eastAsia="Open Sans" w:hAnsi="Open Sans"/>
                <w:b w:val="false"/>
                <w:bCs w:val="false"/>
                <w:i/>
                <w:iCs/>
                <w:color w:val="6E7D00"/>
                <w:sz w:val="17"/>
                <w:szCs w:val="17"/>
              </w:rPr>
              <w:t xml:space="preserve">Aufteilung nach Schulart, drei Schuljahre</w:t>
            </w:r>
          </w:p>
        </w:tc>
        <w:tc>
          <w:tcPr>
            <w:tcW w:type="dxa" w:w="3338"/>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tc>
      </w:tr>
      <w:tr>
        <w:trPr>
          <w:cantSplit/>
        </w:trPr>
        <w:tc>
          <w:tcPr>
            <w:tcW w:type="dxa" w:w="6300"/>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60" w:before="0" w:line="260"/>
            </w:pPr>
            <w:r>
              <w:rPr>
                <w:rFonts w:ascii="Quicksand" w:cs="Quicksand" w:eastAsia="Quicksand" w:hAnsi="Quicksand"/>
                <w:b/>
                <w:bCs/>
                <w:i w:val="false"/>
                <w:iCs w:val="false"/>
                <w:color w:val="1A70B8"/>
                <w:sz w:val="20"/>
                <w:szCs w:val="20"/>
              </w:rPr>
              <w:t xml:space="preserve">A5  </w:t>
            </w:r>
            <w:r>
              <w:rPr>
                <w:rFonts w:ascii="Open Sans" w:cs="Open Sans" w:eastAsia="Open Sans" w:hAnsi="Open Sans"/>
                <w:b/>
                <w:bCs/>
                <w:i w:val="false"/>
                <w:iCs w:val="false"/>
                <w:color w:val="3D3D3D"/>
                <w:sz w:val="20"/>
                <w:szCs w:val="20"/>
              </w:rPr>
              <w:t xml:space="preserve">Wie hat sich die Zahl der begleiteten Kinder in den letzten drei Schuljahren entwickelt?</w:t>
            </w:r>
          </w:p>
          <w:p>
            <w:pPr>
              <w:spacing w:after="40" w:before="0" w:line="260"/>
            </w:pPr>
            <w:r>
              <w:rPr>
                <w:rFonts w:ascii="Open Sans" w:cs="Open Sans" w:eastAsia="Open Sans" w:hAnsi="Open Sans"/>
                <w:b/>
                <w:bCs/>
                <w:i w:val="false"/>
                <w:iCs w:val="false"/>
                <w:color w:val="777777"/>
                <w:sz w:val="17"/>
                <w:szCs w:val="17"/>
              </w:rPr>
              <w:t xml:space="preserve">Warum: </w:t>
            </w:r>
            <w:r>
              <w:rPr>
                <w:rFonts w:ascii="Open Sans" w:cs="Open Sans" w:eastAsia="Open Sans" w:hAnsi="Open Sans"/>
                <w:b w:val="false"/>
                <w:bCs w:val="false"/>
                <w:i w:val="false"/>
                <w:iCs w:val="false"/>
                <w:color w:val="777777"/>
                <w:sz w:val="17"/>
                <w:szCs w:val="17"/>
              </w:rPr>
              <w:t xml:space="preserve">Landesweit steigt die Nachfrage deutlich. Bleibt SKP dahinter zurück, liegt es nicht am Markt, sondern am Unternehmen.</w:t>
            </w:r>
          </w:p>
          <w:p>
            <w:pPr>
              <w:spacing w:after="0" w:before="0" w:line="260"/>
            </w:pPr>
            <w:r>
              <w:rPr>
                <w:rFonts w:ascii="Open Sans" w:cs="Open Sans" w:eastAsia="Open Sans" w:hAnsi="Open Sans"/>
                <w:b/>
                <w:bCs/>
                <w:i w:val="false"/>
                <w:iCs w:val="false"/>
                <w:color w:val="6E7D00"/>
                <w:sz w:val="17"/>
                <w:szCs w:val="17"/>
              </w:rPr>
              <w:t xml:space="preserve">Unterlage: </w:t>
            </w:r>
            <w:r>
              <w:rPr>
                <w:rFonts w:ascii="Open Sans" w:cs="Open Sans" w:eastAsia="Open Sans" w:hAnsi="Open Sans"/>
                <w:b w:val="false"/>
                <w:bCs w:val="false"/>
                <w:i/>
                <w:iCs/>
                <w:color w:val="6E7D00"/>
                <w:sz w:val="17"/>
                <w:szCs w:val="17"/>
              </w:rPr>
              <w:t xml:space="preserve">Fallzahlen je Schuljahr, Zugänge und Abgänge</w:t>
            </w:r>
          </w:p>
        </w:tc>
        <w:tc>
          <w:tcPr>
            <w:tcW w:type="dxa" w:w="3338"/>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tc>
      </w:tr>
    </w:tbl>
    <w:p>
      <w:pPr>
        <w:pStyle w:val="Heading1"/>
        <w:spacing w:after="140" w:before="340"/>
      </w:pPr>
      <w:r>
        <w:rPr>
          <w:rFonts w:ascii="Quicksand" w:cs="Quicksand" w:eastAsia="Quicksand" w:hAnsi="Quicksand"/>
          <w:b/>
          <w:bCs/>
          <w:color w:val="1A70B8"/>
          <w:sz w:val="26"/>
          <w:szCs w:val="26"/>
        </w:rPr>
        <w:t xml:space="preserve">B · Die Pinneberger Reform</w:t>
      </w:r>
    </w:p>
    <w:p>
      <w:pPr>
        <w:spacing w:after="140" w:before="0" w:line="260"/>
      </w:pPr>
      <w:r>
        <w:rPr>
          <w:rFonts w:ascii="Open Sans" w:cs="Open Sans" w:eastAsia="Open Sans" w:hAnsi="Open Sans"/>
          <w:b w:val="false"/>
          <w:bCs w:val="false"/>
          <w:i w:val="false"/>
          <w:iCs w:val="false"/>
          <w:color w:val="777777"/>
          <w:sz w:val="18"/>
          <w:szCs w:val="18"/>
        </w:rPr>
        <w:t xml:space="preserve">Wie stark trifft die Klassenassistenz genau dieses Unternehmen?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00"/>
        <w:gridCol w:w="3338"/>
      </w:tblGrid>
      <w:tr>
        <w:trPr>
          <w:tblHeader/>
        </w:trPr>
        <w:tc>
          <w:tcPr>
            <w:tcW w:type="dxa" w:w="6300"/>
            <w:tcBorders>
              <w:top w:val="single" w:color="DDDDDD" w:sz="2"/>
              <w:left w:val="none" w:color="FFFFFF" w:sz="0"/>
              <w:bottom w:val="single" w:color="DDDDDD" w:sz="2"/>
              <w:right w:val="none" w:color="FFFFFF" w:sz="0"/>
            </w:tcBorders>
            <w:shd w:fill="EAF1F8" w:color="auto" w:val="clear"/>
            <w:tcMar>
              <w:top w:type="dxa" w:w="90"/>
              <w:left w:type="dxa" w:w="120"/>
              <w:bottom w:type="dxa" w:w="90"/>
              <w:right w:type="dxa" w:w="120"/>
            </w:tcMar>
          </w:tcPr>
          <w:p>
            <w:pPr>
              <w:spacing w:after="0" w:before="0" w:line="260"/>
            </w:pPr>
            <w:r>
              <w:rPr>
                <w:rFonts w:ascii="Quicksand" w:cs="Quicksand" w:eastAsia="Quicksand" w:hAnsi="Quicksand"/>
                <w:b/>
                <w:bCs/>
                <w:i w:val="false"/>
                <w:iCs w:val="false"/>
                <w:color w:val="1A70B8"/>
                <w:sz w:val="19"/>
                <w:szCs w:val="19"/>
              </w:rPr>
              <w:t xml:space="preserve">Frage</w:t>
            </w:r>
          </w:p>
        </w:tc>
        <w:tc>
          <w:tcPr>
            <w:tcW w:type="dxa" w:w="3338"/>
            <w:tcBorders>
              <w:top w:val="single" w:color="DDDDDD" w:sz="2"/>
              <w:left w:val="none" w:color="FFFFFF" w:sz="0"/>
              <w:bottom w:val="single" w:color="DDDDDD" w:sz="2"/>
              <w:right w:val="none" w:color="FFFFFF" w:sz="0"/>
            </w:tcBorders>
            <w:shd w:fill="EAF1F8" w:color="auto" w:val="clear"/>
            <w:tcMar>
              <w:top w:type="dxa" w:w="90"/>
              <w:left w:type="dxa" w:w="120"/>
              <w:bottom w:type="dxa" w:w="90"/>
              <w:right w:type="dxa" w:w="120"/>
            </w:tcMar>
          </w:tcPr>
          <w:p>
            <w:pPr>
              <w:spacing w:after="0" w:before="0" w:line="260"/>
            </w:pPr>
            <w:r>
              <w:rPr>
                <w:rFonts w:ascii="Quicksand" w:cs="Quicksand" w:eastAsia="Quicksand" w:hAnsi="Quicksand"/>
                <w:b/>
                <w:bCs/>
                <w:i w:val="false"/>
                <w:iCs w:val="false"/>
                <w:color w:val="1A70B8"/>
                <w:sz w:val="19"/>
                <w:szCs w:val="19"/>
              </w:rPr>
              <w:t xml:space="preserve">Antwort</w:t>
            </w:r>
          </w:p>
        </w:tc>
      </w:tr>
      <w:tr>
        <w:trPr>
          <w:cantSplit/>
        </w:trPr>
        <w:tc>
          <w:tcPr>
            <w:tcW w:type="dxa" w:w="6300"/>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60" w:before="0" w:line="260"/>
            </w:pPr>
            <w:r>
              <w:rPr>
                <w:rFonts w:ascii="Quicksand" w:cs="Quicksand" w:eastAsia="Quicksand" w:hAnsi="Quicksand"/>
                <w:b/>
                <w:bCs/>
                <w:i w:val="false"/>
                <w:iCs w:val="false"/>
                <w:color w:val="1A70B8"/>
                <w:sz w:val="20"/>
                <w:szCs w:val="20"/>
              </w:rPr>
              <w:t xml:space="preserve">B1  </w:t>
            </w:r>
            <w:r>
              <w:rPr>
                <w:rFonts w:ascii="Open Sans" w:cs="Open Sans" w:eastAsia="Open Sans" w:hAnsi="Open Sans"/>
                <w:b/>
                <w:bCs/>
                <w:i w:val="false"/>
                <w:iCs w:val="false"/>
                <w:color w:val="3D3D3D"/>
                <w:sz w:val="20"/>
                <w:szCs w:val="20"/>
              </w:rPr>
              <w:t xml:space="preserve">Welche Ihrer Schulen liegen in Stufe 1 oder Stufe 2 des Pinneberger Klassenassistenz-Plans?</w:t>
            </w:r>
          </w:p>
          <w:p>
            <w:pPr>
              <w:spacing w:after="40" w:before="0" w:line="260"/>
            </w:pPr>
            <w:r>
              <w:rPr>
                <w:rFonts w:ascii="Open Sans" w:cs="Open Sans" w:eastAsia="Open Sans" w:hAnsi="Open Sans"/>
                <w:b/>
                <w:bCs/>
                <w:i w:val="false"/>
                <w:iCs w:val="false"/>
                <w:color w:val="777777"/>
                <w:sz w:val="17"/>
                <w:szCs w:val="17"/>
              </w:rPr>
              <w:t xml:space="preserve">Warum: </w:t>
            </w:r>
            <w:r>
              <w:rPr>
                <w:rFonts w:ascii="Open Sans" w:cs="Open Sans" w:eastAsia="Open Sans" w:hAnsi="Open Sans"/>
                <w:b w:val="false"/>
                <w:bCs w:val="false"/>
                <w:i w:val="false"/>
                <w:iCs w:val="false"/>
                <w:color w:val="777777"/>
                <w:sz w:val="17"/>
                <w:szCs w:val="17"/>
              </w:rPr>
              <w:t xml:space="preserve">Stufe 1 sind die Grundschulen in Elmshorn, Pinneberg und Barmstedt, Stufe 2 unter anderem Tornesch, Uetersen, Wedel, Schenefeld und Quickborn. Das ist das Volumen, das in einem Vergabeverfahren vollständig auf dem Spiel steht — nicht anteilig.</w:t>
            </w:r>
          </w:p>
          <w:p>
            <w:pPr>
              <w:spacing w:after="0" w:before="0" w:line="260"/>
            </w:pPr>
            <w:r>
              <w:rPr>
                <w:rFonts w:ascii="Open Sans" w:cs="Open Sans" w:eastAsia="Open Sans" w:hAnsi="Open Sans"/>
                <w:b/>
                <w:bCs/>
                <w:i w:val="false"/>
                <w:iCs w:val="false"/>
                <w:color w:val="6E7D00"/>
                <w:sz w:val="17"/>
                <w:szCs w:val="17"/>
              </w:rPr>
              <w:t xml:space="preserve">Unterlage: </w:t>
            </w:r>
            <w:r>
              <w:rPr>
                <w:rFonts w:ascii="Open Sans" w:cs="Open Sans" w:eastAsia="Open Sans" w:hAnsi="Open Sans"/>
                <w:b w:val="false"/>
                <w:bCs w:val="false"/>
                <w:i/>
                <w:iCs/>
                <w:color w:val="6E7D00"/>
                <w:sz w:val="17"/>
                <w:szCs w:val="17"/>
              </w:rPr>
              <w:t xml:space="preserve">Abgleich der Standortliste mit den Stufen des Kreiskonzepts</w:t>
            </w:r>
          </w:p>
        </w:tc>
        <w:tc>
          <w:tcPr>
            <w:tcW w:type="dxa" w:w="3338"/>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tc>
      </w:tr>
      <w:tr>
        <w:trPr>
          <w:cantSplit/>
        </w:trPr>
        <w:tc>
          <w:tcPr>
            <w:tcW w:type="dxa" w:w="6300"/>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60" w:before="0" w:line="260"/>
            </w:pPr>
            <w:r>
              <w:rPr>
                <w:rFonts w:ascii="Quicksand" w:cs="Quicksand" w:eastAsia="Quicksand" w:hAnsi="Quicksand"/>
                <w:b/>
                <w:bCs/>
                <w:i w:val="false"/>
                <w:iCs w:val="false"/>
                <w:color w:val="1A70B8"/>
                <w:sz w:val="20"/>
                <w:szCs w:val="20"/>
              </w:rPr>
              <w:t xml:space="preserve">B2  </w:t>
            </w:r>
            <w:r>
              <w:rPr>
                <w:rFonts w:ascii="Open Sans" w:cs="Open Sans" w:eastAsia="Open Sans" w:hAnsi="Open Sans"/>
                <w:b/>
                <w:bCs/>
                <w:i w:val="false"/>
                <w:iCs w:val="false"/>
                <w:color w:val="3D3D3D"/>
                <w:sz w:val="20"/>
                <w:szCs w:val="20"/>
              </w:rPr>
              <w:t xml:space="preserve">Haben Sie am Teilnahmewettbewerb 2024 teilgenommen — und mit welchem Ergebnis?</w:t>
            </w:r>
          </w:p>
          <w:p>
            <w:pPr>
              <w:spacing w:after="40" w:before="0" w:line="260"/>
            </w:pPr>
            <w:r>
              <w:rPr>
                <w:rFonts w:ascii="Open Sans" w:cs="Open Sans" w:eastAsia="Open Sans" w:hAnsi="Open Sans"/>
                <w:b/>
                <w:bCs/>
                <w:i w:val="false"/>
                <w:iCs w:val="false"/>
                <w:color w:val="777777"/>
                <w:sz w:val="17"/>
                <w:szCs w:val="17"/>
              </w:rPr>
              <w:t xml:space="preserve">Warum: </w:t>
            </w:r>
            <w:r>
              <w:rPr>
                <w:rFonts w:ascii="Open Sans" w:cs="Open Sans" w:eastAsia="Open Sans" w:hAnsi="Open Sans"/>
                <w:b w:val="false"/>
                <w:bCs w:val="false"/>
                <w:i w:val="false"/>
                <w:iCs w:val="false"/>
                <w:color w:val="777777"/>
                <w:sz w:val="17"/>
                <w:szCs w:val="17"/>
              </w:rPr>
              <w:t xml:space="preserve">Der Kreis hat die Klassenassistenz am 25.04.2024 EU-weit ausgeschrieben (TED 246925-2024). Wer die Eignungsprüfung damals bestanden hat, hat den schwierigsten Teil bereits hinter sich.</w:t>
            </w:r>
          </w:p>
          <w:p>
            <w:pPr>
              <w:spacing w:after="0" w:before="0" w:line="260"/>
            </w:pPr>
            <w:r>
              <w:rPr>
                <w:rFonts w:ascii="Open Sans" w:cs="Open Sans" w:eastAsia="Open Sans" w:hAnsi="Open Sans"/>
                <w:b/>
                <w:bCs/>
                <w:i w:val="false"/>
                <w:iCs w:val="false"/>
                <w:color w:val="6E7D00"/>
                <w:sz w:val="17"/>
                <w:szCs w:val="17"/>
              </w:rPr>
              <w:t xml:space="preserve">Unterlage: </w:t>
            </w:r>
            <w:r>
              <w:rPr>
                <w:rFonts w:ascii="Open Sans" w:cs="Open Sans" w:eastAsia="Open Sans" w:hAnsi="Open Sans"/>
                <w:b w:val="false"/>
                <w:bCs w:val="false"/>
                <w:i/>
                <w:iCs/>
                <w:color w:val="6E7D00"/>
                <w:sz w:val="17"/>
                <w:szCs w:val="17"/>
              </w:rPr>
              <w:t xml:space="preserve">Teilnahmeantrag, Eignungsmitteilung, Schriftverkehr mit der Vergabestelle</w:t>
            </w:r>
          </w:p>
        </w:tc>
        <w:tc>
          <w:tcPr>
            <w:tcW w:type="dxa" w:w="3338"/>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tc>
      </w:tr>
      <w:tr>
        <w:trPr>
          <w:cantSplit/>
        </w:trPr>
        <w:tc>
          <w:tcPr>
            <w:tcW w:type="dxa" w:w="6300"/>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60" w:before="0" w:line="260"/>
            </w:pPr>
            <w:r>
              <w:rPr>
                <w:rFonts w:ascii="Quicksand" w:cs="Quicksand" w:eastAsia="Quicksand" w:hAnsi="Quicksand"/>
                <w:b/>
                <w:bCs/>
                <w:i w:val="false"/>
                <w:iCs w:val="false"/>
                <w:color w:val="1A70B8"/>
                <w:sz w:val="20"/>
                <w:szCs w:val="20"/>
              </w:rPr>
              <w:t xml:space="preserve">B3  </w:t>
            </w:r>
            <w:r>
              <w:rPr>
                <w:rFonts w:ascii="Open Sans" w:cs="Open Sans" w:eastAsia="Open Sans" w:hAnsi="Open Sans"/>
                <w:b/>
                <w:bCs/>
                <w:i w:val="false"/>
                <w:iCs w:val="false"/>
                <w:color w:val="3D3D3D"/>
                <w:sz w:val="20"/>
                <w:szCs w:val="20"/>
              </w:rPr>
              <w:t xml:space="preserve">Was ist Ihr letzter Kenntnisstand zum Zeitplan des Kreises?</w:t>
            </w:r>
          </w:p>
          <w:p>
            <w:pPr>
              <w:spacing w:after="40" w:before="0" w:line="260"/>
            </w:pPr>
            <w:r>
              <w:rPr>
                <w:rFonts w:ascii="Open Sans" w:cs="Open Sans" w:eastAsia="Open Sans" w:hAnsi="Open Sans"/>
                <w:b/>
                <w:bCs/>
                <w:i w:val="false"/>
                <w:iCs w:val="false"/>
                <w:color w:val="777777"/>
                <w:sz w:val="17"/>
                <w:szCs w:val="17"/>
              </w:rPr>
              <w:t xml:space="preserve">Warum: </w:t>
            </w:r>
            <w:r>
              <w:rPr>
                <w:rFonts w:ascii="Open Sans" w:cs="Open Sans" w:eastAsia="Open Sans" w:hAnsi="Open Sans"/>
                <w:b w:val="false"/>
                <w:bCs w:val="false"/>
                <w:i w:val="false"/>
                <w:iCs w:val="false"/>
                <w:color w:val="777777"/>
                <w:sz w:val="17"/>
                <w:szCs w:val="17"/>
              </w:rPr>
              <w:t xml:space="preserve">Der Kreistag hat die Einführung am 11.12.2024 um zwei Jahre verschoben, eine Zuschlagsbekanntmachung ist bis heute nicht erschienen. Wer den Zeitplan aus erster Hand kennt, hat einen Informationsvorsprung, den wir nicht kaufen können.</w:t>
            </w:r>
          </w:p>
          <w:p>
            <w:pPr>
              <w:spacing w:after="0" w:before="0" w:line="260"/>
            </w:pPr>
            <w:r>
              <w:rPr>
                <w:rFonts w:ascii="Open Sans" w:cs="Open Sans" w:eastAsia="Open Sans" w:hAnsi="Open Sans"/>
                <w:b/>
                <w:bCs/>
                <w:i w:val="false"/>
                <w:iCs w:val="false"/>
                <w:color w:val="6E7D00"/>
                <w:sz w:val="17"/>
                <w:szCs w:val="17"/>
              </w:rPr>
              <w:t xml:space="preserve">Unterlage: </w:t>
            </w:r>
            <w:r>
              <w:rPr>
                <w:rFonts w:ascii="Open Sans" w:cs="Open Sans" w:eastAsia="Open Sans" w:hAnsi="Open Sans"/>
                <w:b w:val="false"/>
                <w:bCs w:val="false"/>
                <w:i/>
                <w:iCs/>
                <w:color w:val="6E7D00"/>
                <w:sz w:val="17"/>
                <w:szCs w:val="17"/>
              </w:rPr>
              <w:t xml:space="preserve">Schriftverkehr mit dem Kreis, Protokolle, Einladungen zu Trägerrunden</w:t>
            </w:r>
          </w:p>
        </w:tc>
        <w:tc>
          <w:tcPr>
            <w:tcW w:type="dxa" w:w="3338"/>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tc>
      </w:tr>
      <w:tr>
        <w:trPr>
          <w:cantSplit/>
        </w:trPr>
        <w:tc>
          <w:tcPr>
            <w:tcW w:type="dxa" w:w="6300"/>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60" w:before="0" w:line="260"/>
            </w:pPr>
            <w:r>
              <w:rPr>
                <w:rFonts w:ascii="Quicksand" w:cs="Quicksand" w:eastAsia="Quicksand" w:hAnsi="Quicksand"/>
                <w:b/>
                <w:bCs/>
                <w:i w:val="false"/>
                <w:iCs w:val="false"/>
                <w:color w:val="1A70B8"/>
                <w:sz w:val="20"/>
                <w:szCs w:val="20"/>
              </w:rPr>
              <w:t xml:space="preserve">B4  </w:t>
            </w:r>
            <w:r>
              <w:rPr>
                <w:rFonts w:ascii="Open Sans" w:cs="Open Sans" w:eastAsia="Open Sans" w:hAnsi="Open Sans"/>
                <w:b/>
                <w:bCs/>
                <w:i w:val="false"/>
                <w:iCs w:val="false"/>
                <w:color w:val="3D3D3D"/>
                <w:sz w:val="20"/>
                <w:szCs w:val="20"/>
              </w:rPr>
              <w:t xml:space="preserve">Wurden Ihre Bewilligungsbescheide zuletzt einheitlich auf ein Schuljahresende befristet?</w:t>
            </w:r>
          </w:p>
          <w:p>
            <w:pPr>
              <w:spacing w:after="40" w:before="0" w:line="260"/>
            </w:pPr>
            <w:r>
              <w:rPr>
                <w:rFonts w:ascii="Open Sans" w:cs="Open Sans" w:eastAsia="Open Sans" w:hAnsi="Open Sans"/>
                <w:b/>
                <w:bCs/>
                <w:i w:val="false"/>
                <w:iCs w:val="false"/>
                <w:color w:val="777777"/>
                <w:sz w:val="17"/>
                <w:szCs w:val="17"/>
              </w:rPr>
              <w:t xml:space="preserve">Warum: </w:t>
            </w:r>
            <w:r>
              <w:rPr>
                <w:rFonts w:ascii="Open Sans" w:cs="Open Sans" w:eastAsia="Open Sans" w:hAnsi="Open Sans"/>
                <w:b w:val="false"/>
                <w:bCs w:val="false"/>
                <w:i w:val="false"/>
                <w:iCs w:val="false"/>
                <w:color w:val="777777"/>
                <w:sz w:val="17"/>
                <w:szCs w:val="17"/>
              </w:rPr>
              <w:t xml:space="preserve">Das ist der verlässlichste Frühwarnindikator überhaupt. Der Kreis Pinneberg hat genau so umgesteuert — erst auf den 31.07.2024, dann auf den 31.07.2025. Wenn das passiert, ist die Umstellung beschlossen, auch wenn nichts verkündet wurde.</w:t>
            </w:r>
          </w:p>
          <w:p>
            <w:pPr>
              <w:spacing w:after="0" w:before="0" w:line="260"/>
            </w:pPr>
            <w:r>
              <w:rPr>
                <w:rFonts w:ascii="Open Sans" w:cs="Open Sans" w:eastAsia="Open Sans" w:hAnsi="Open Sans"/>
                <w:b/>
                <w:bCs/>
                <w:i w:val="false"/>
                <w:iCs w:val="false"/>
                <w:color w:val="6E7D00"/>
                <w:sz w:val="17"/>
                <w:szCs w:val="17"/>
              </w:rPr>
              <w:t xml:space="preserve">Unterlage: </w:t>
            </w:r>
            <w:r>
              <w:rPr>
                <w:rFonts w:ascii="Open Sans" w:cs="Open Sans" w:eastAsia="Open Sans" w:hAnsi="Open Sans"/>
                <w:b w:val="false"/>
                <w:bCs w:val="false"/>
                <w:i/>
                <w:iCs/>
                <w:color w:val="6E7D00"/>
                <w:sz w:val="17"/>
                <w:szCs w:val="17"/>
              </w:rPr>
              <w:t xml:space="preserve">Zehn aktuelle Bescheide mit Befristungsdatum</w:t>
            </w:r>
          </w:p>
        </w:tc>
        <w:tc>
          <w:tcPr>
            <w:tcW w:type="dxa" w:w="3338"/>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tc>
      </w:tr>
      <w:tr>
        <w:trPr>
          <w:cantSplit/>
        </w:trPr>
        <w:tc>
          <w:tcPr>
            <w:tcW w:type="dxa" w:w="6300"/>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60" w:before="0" w:line="260"/>
            </w:pPr>
            <w:r>
              <w:rPr>
                <w:rFonts w:ascii="Quicksand" w:cs="Quicksand" w:eastAsia="Quicksand" w:hAnsi="Quicksand"/>
                <w:b/>
                <w:bCs/>
                <w:i w:val="false"/>
                <w:iCs w:val="false"/>
                <w:color w:val="1A70B8"/>
                <w:sz w:val="20"/>
                <w:szCs w:val="20"/>
              </w:rPr>
              <w:t xml:space="preserve">B5  </w:t>
            </w:r>
            <w:r>
              <w:rPr>
                <w:rFonts w:ascii="Open Sans" w:cs="Open Sans" w:eastAsia="Open Sans" w:hAnsi="Open Sans"/>
                <w:b/>
                <w:bCs/>
                <w:i w:val="false"/>
                <w:iCs w:val="false"/>
                <w:color w:val="3D3D3D"/>
                <w:sz w:val="20"/>
                <w:szCs w:val="20"/>
              </w:rPr>
              <w:t xml:space="preserve">Wie hat sich das Poolmodell in Tornesch/Uetersen auf SKP ausgewirkt?</w:t>
            </w:r>
          </w:p>
          <w:p>
            <w:pPr>
              <w:spacing w:after="40" w:before="0" w:line="260"/>
            </w:pPr>
            <w:r>
              <w:rPr>
                <w:rFonts w:ascii="Open Sans" w:cs="Open Sans" w:eastAsia="Open Sans" w:hAnsi="Open Sans"/>
                <w:b/>
                <w:bCs/>
                <w:i w:val="false"/>
                <w:iCs w:val="false"/>
                <w:color w:val="777777"/>
                <w:sz w:val="17"/>
                <w:szCs w:val="17"/>
              </w:rPr>
              <w:t xml:space="preserve">Warum: </w:t>
            </w:r>
            <w:r>
              <w:rPr>
                <w:rFonts w:ascii="Open Sans" w:cs="Open Sans" w:eastAsia="Open Sans" w:hAnsi="Open Sans"/>
                <w:b w:val="false"/>
                <w:bCs w:val="false"/>
                <w:i w:val="false"/>
                <w:iCs w:val="false"/>
                <w:color w:val="777777"/>
                <w:sz w:val="17"/>
                <w:szCs w:val="17"/>
              </w:rPr>
              <w:t xml:space="preserve">Dort läuft seit 2018 ein Pool mit „Familienräume“ als Träger, an sieben Grundschulen. Wenn SKP dort Kinder verloren hat, kennen wir die Verlustquote bereits aus der Praxis.</w:t>
            </w:r>
          </w:p>
          <w:p>
            <w:pPr>
              <w:spacing w:after="0" w:before="0" w:line="260"/>
            </w:pPr>
            <w:r>
              <w:rPr>
                <w:rFonts w:ascii="Open Sans" w:cs="Open Sans" w:eastAsia="Open Sans" w:hAnsi="Open Sans"/>
                <w:b/>
                <w:bCs/>
                <w:i w:val="false"/>
                <w:iCs w:val="false"/>
                <w:color w:val="6E7D00"/>
                <w:sz w:val="17"/>
                <w:szCs w:val="17"/>
              </w:rPr>
              <w:t xml:space="preserve">Unterlage: </w:t>
            </w:r>
            <w:r>
              <w:rPr>
                <w:rFonts w:ascii="Open Sans" w:cs="Open Sans" w:eastAsia="Open Sans" w:hAnsi="Open Sans"/>
                <w:b w:val="false"/>
                <w:bCs w:val="false"/>
                <w:i/>
                <w:iCs/>
                <w:color w:val="6E7D00"/>
                <w:sz w:val="17"/>
                <w:szCs w:val="17"/>
              </w:rPr>
              <w:t xml:space="preserve">Fallzahlen in Tornesch und Uetersen vor und nach 2018</w:t>
            </w:r>
          </w:p>
        </w:tc>
        <w:tc>
          <w:tcPr>
            <w:tcW w:type="dxa" w:w="3338"/>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tc>
      </w:tr>
    </w:tbl>
    <w:p>
      <w:pPr>
        <w:pStyle w:val="Heading1"/>
        <w:spacing w:after="140" w:before="340"/>
      </w:pPr>
      <w:r>
        <w:rPr>
          <w:rFonts w:ascii="Quicksand" w:cs="Quicksand" w:eastAsia="Quicksand" w:hAnsi="Quicksand"/>
          <w:b/>
          <w:bCs/>
          <w:color w:val="1A70B8"/>
          <w:sz w:val="26"/>
          <w:szCs w:val="26"/>
        </w:rPr>
        <w:t xml:space="preserve">C · Vergabefähigkeit</w:t>
      </w:r>
    </w:p>
    <w:p>
      <w:pPr>
        <w:spacing w:after="140" w:before="0" w:line="260"/>
      </w:pPr>
      <w:r>
        <w:rPr>
          <w:rFonts w:ascii="Open Sans" w:cs="Open Sans" w:eastAsia="Open Sans" w:hAnsi="Open Sans"/>
          <w:b w:val="false"/>
          <w:bCs w:val="false"/>
          <w:i w:val="false"/>
          <w:iCs w:val="false"/>
          <w:color w:val="777777"/>
          <w:sz w:val="18"/>
          <w:szCs w:val="18"/>
        </w:rPr>
        <w:t xml:space="preserve">Hier liegen die Ausschlusskriterien. Was fehlt, lässt sich im laufenden Verfahren nicht mehr heilen.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00"/>
        <w:gridCol w:w="3338"/>
      </w:tblGrid>
      <w:tr>
        <w:trPr>
          <w:tblHeader/>
        </w:trPr>
        <w:tc>
          <w:tcPr>
            <w:tcW w:type="dxa" w:w="6300"/>
            <w:tcBorders>
              <w:top w:val="single" w:color="DDDDDD" w:sz="2"/>
              <w:left w:val="none" w:color="FFFFFF" w:sz="0"/>
              <w:bottom w:val="single" w:color="DDDDDD" w:sz="2"/>
              <w:right w:val="none" w:color="FFFFFF" w:sz="0"/>
            </w:tcBorders>
            <w:shd w:fill="EAF1F8" w:color="auto" w:val="clear"/>
            <w:tcMar>
              <w:top w:type="dxa" w:w="90"/>
              <w:left w:type="dxa" w:w="120"/>
              <w:bottom w:type="dxa" w:w="90"/>
              <w:right w:type="dxa" w:w="120"/>
            </w:tcMar>
          </w:tcPr>
          <w:p>
            <w:pPr>
              <w:spacing w:after="0" w:before="0" w:line="260"/>
            </w:pPr>
            <w:r>
              <w:rPr>
                <w:rFonts w:ascii="Quicksand" w:cs="Quicksand" w:eastAsia="Quicksand" w:hAnsi="Quicksand"/>
                <w:b/>
                <w:bCs/>
                <w:i w:val="false"/>
                <w:iCs w:val="false"/>
                <w:color w:val="1A70B8"/>
                <w:sz w:val="19"/>
                <w:szCs w:val="19"/>
              </w:rPr>
              <w:t xml:space="preserve">Frage</w:t>
            </w:r>
          </w:p>
        </w:tc>
        <w:tc>
          <w:tcPr>
            <w:tcW w:type="dxa" w:w="3338"/>
            <w:tcBorders>
              <w:top w:val="single" w:color="DDDDDD" w:sz="2"/>
              <w:left w:val="none" w:color="FFFFFF" w:sz="0"/>
              <w:bottom w:val="single" w:color="DDDDDD" w:sz="2"/>
              <w:right w:val="none" w:color="FFFFFF" w:sz="0"/>
            </w:tcBorders>
            <w:shd w:fill="EAF1F8" w:color="auto" w:val="clear"/>
            <w:tcMar>
              <w:top w:type="dxa" w:w="90"/>
              <w:left w:type="dxa" w:w="120"/>
              <w:bottom w:type="dxa" w:w="90"/>
              <w:right w:type="dxa" w:w="120"/>
            </w:tcMar>
          </w:tcPr>
          <w:p>
            <w:pPr>
              <w:spacing w:after="0" w:before="0" w:line="260"/>
            </w:pPr>
            <w:r>
              <w:rPr>
                <w:rFonts w:ascii="Quicksand" w:cs="Quicksand" w:eastAsia="Quicksand" w:hAnsi="Quicksand"/>
                <w:b/>
                <w:bCs/>
                <w:i w:val="false"/>
                <w:iCs w:val="false"/>
                <w:color w:val="1A70B8"/>
                <w:sz w:val="19"/>
                <w:szCs w:val="19"/>
              </w:rPr>
              <w:t xml:space="preserve">Antwort</w:t>
            </w:r>
          </w:p>
        </w:tc>
      </w:tr>
      <w:tr>
        <w:trPr>
          <w:cantSplit/>
        </w:trPr>
        <w:tc>
          <w:tcPr>
            <w:tcW w:type="dxa" w:w="6300"/>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60" w:before="0" w:line="260"/>
            </w:pPr>
            <w:r>
              <w:rPr>
                <w:rFonts w:ascii="Quicksand" w:cs="Quicksand" w:eastAsia="Quicksand" w:hAnsi="Quicksand"/>
                <w:b/>
                <w:bCs/>
                <w:i w:val="false"/>
                <w:iCs w:val="false"/>
                <w:color w:val="1A70B8"/>
                <w:sz w:val="20"/>
                <w:szCs w:val="20"/>
              </w:rPr>
              <w:t xml:space="preserve">C1  </w:t>
            </w:r>
            <w:r>
              <w:rPr>
                <w:rFonts w:ascii="Open Sans" w:cs="Open Sans" w:eastAsia="Open Sans" w:hAnsi="Open Sans"/>
                <w:b/>
                <w:bCs/>
                <w:i w:val="false"/>
                <w:iCs w:val="false"/>
                <w:color w:val="3D3D3D"/>
                <w:sz w:val="20"/>
                <w:szCs w:val="20"/>
              </w:rPr>
              <w:t xml:space="preserve">Welche Deckungssumme hat Ihre Betriebs- und Berufshaftpflicht?</w:t>
            </w:r>
          </w:p>
          <w:p>
            <w:pPr>
              <w:spacing w:after="40" w:before="0" w:line="260"/>
            </w:pPr>
            <w:r>
              <w:rPr>
                <w:rFonts w:ascii="Open Sans" w:cs="Open Sans" w:eastAsia="Open Sans" w:hAnsi="Open Sans"/>
                <w:b/>
                <w:bCs/>
                <w:i w:val="false"/>
                <w:iCs w:val="false"/>
                <w:color w:val="777777"/>
                <w:sz w:val="17"/>
                <w:szCs w:val="17"/>
              </w:rPr>
              <w:t xml:space="preserve">Warum: </w:t>
            </w:r>
            <w:r>
              <w:rPr>
                <w:rFonts w:ascii="Open Sans" w:cs="Open Sans" w:eastAsia="Open Sans" w:hAnsi="Open Sans"/>
                <w:b w:val="false"/>
                <w:bCs w:val="false"/>
                <w:i w:val="false"/>
                <w:iCs w:val="false"/>
                <w:color w:val="777777"/>
                <w:sz w:val="17"/>
                <w:szCs w:val="17"/>
              </w:rPr>
              <w:t xml:space="preserve">Die Pinneberger Ausschreibung verlangt 10 Mio. €. Wer sie nicht nachweist, wird ausgeschlossen — ohne Nachverhandlung. Eine Aufstockung ist möglich, aber sie kostet Zeit.</w:t>
            </w:r>
          </w:p>
          <w:p>
            <w:pPr>
              <w:spacing w:after="0" w:before="0" w:line="260"/>
            </w:pPr>
            <w:r>
              <w:rPr>
                <w:rFonts w:ascii="Open Sans" w:cs="Open Sans" w:eastAsia="Open Sans" w:hAnsi="Open Sans"/>
                <w:b/>
                <w:bCs/>
                <w:i w:val="false"/>
                <w:iCs w:val="false"/>
                <w:color w:val="6E7D00"/>
                <w:sz w:val="17"/>
                <w:szCs w:val="17"/>
              </w:rPr>
              <w:t xml:space="preserve">Unterlage: </w:t>
            </w:r>
            <w:r>
              <w:rPr>
                <w:rFonts w:ascii="Open Sans" w:cs="Open Sans" w:eastAsia="Open Sans" w:hAnsi="Open Sans"/>
                <w:b w:val="false"/>
                <w:bCs w:val="false"/>
                <w:i/>
                <w:iCs/>
                <w:color w:val="6E7D00"/>
                <w:sz w:val="17"/>
                <w:szCs w:val="17"/>
              </w:rPr>
              <w:t xml:space="preserve">Versicherungsschein und Nachtrag</w:t>
            </w:r>
          </w:p>
        </w:tc>
        <w:tc>
          <w:tcPr>
            <w:tcW w:type="dxa" w:w="3338"/>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tc>
      </w:tr>
      <w:tr>
        <w:trPr>
          <w:cantSplit/>
        </w:trPr>
        <w:tc>
          <w:tcPr>
            <w:tcW w:type="dxa" w:w="6300"/>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60" w:before="0" w:line="260"/>
            </w:pPr>
            <w:r>
              <w:rPr>
                <w:rFonts w:ascii="Quicksand" w:cs="Quicksand" w:eastAsia="Quicksand" w:hAnsi="Quicksand"/>
                <w:b/>
                <w:bCs/>
                <w:i w:val="false"/>
                <w:iCs w:val="false"/>
                <w:color w:val="1A70B8"/>
                <w:sz w:val="20"/>
                <w:szCs w:val="20"/>
              </w:rPr>
              <w:t xml:space="preserve">C2  </w:t>
            </w:r>
            <w:r>
              <w:rPr>
                <w:rFonts w:ascii="Open Sans" w:cs="Open Sans" w:eastAsia="Open Sans" w:hAnsi="Open Sans"/>
                <w:b/>
                <w:bCs/>
                <w:i w:val="false"/>
                <w:iCs w:val="false"/>
                <w:color w:val="3D3D3D"/>
                <w:sz w:val="20"/>
                <w:szCs w:val="20"/>
              </w:rPr>
              <w:t xml:space="preserve">Sind Sie im amtlichen Verzeichnis präqualifizierter Unternehmen eingetragen?</w:t>
            </w:r>
          </w:p>
          <w:p>
            <w:pPr>
              <w:spacing w:after="40" w:before="0" w:line="260"/>
            </w:pPr>
            <w:r>
              <w:rPr>
                <w:rFonts w:ascii="Open Sans" w:cs="Open Sans" w:eastAsia="Open Sans" w:hAnsi="Open Sans"/>
                <w:b/>
                <w:bCs/>
                <w:i w:val="false"/>
                <w:iCs w:val="false"/>
                <w:color w:val="777777"/>
                <w:sz w:val="17"/>
                <w:szCs w:val="17"/>
              </w:rPr>
              <w:t xml:space="preserve">Warum: </w:t>
            </w:r>
            <w:r>
              <w:rPr>
                <w:rFonts w:ascii="Open Sans" w:cs="Open Sans" w:eastAsia="Open Sans" w:hAnsi="Open Sans"/>
                <w:b w:val="false"/>
                <w:bCs w:val="false"/>
                <w:i w:val="false"/>
                <w:iCs w:val="false"/>
                <w:color w:val="777777"/>
                <w:sz w:val="17"/>
                <w:szCs w:val="17"/>
              </w:rPr>
              <w:t xml:space="preserve">Mit PQ-Nummer (DIHK, pq-vol.de) genügt im Verfahren ein Verweis. Ohne sie muss jeder Nachweis einzeln beigebracht werden — Nachreichfrist sechs Kalendertage.</w:t>
            </w:r>
          </w:p>
          <w:p>
            <w:pPr>
              <w:spacing w:after="0" w:before="0" w:line="260"/>
            </w:pPr>
            <w:r>
              <w:rPr>
                <w:rFonts w:ascii="Open Sans" w:cs="Open Sans" w:eastAsia="Open Sans" w:hAnsi="Open Sans"/>
                <w:b/>
                <w:bCs/>
                <w:i w:val="false"/>
                <w:iCs w:val="false"/>
                <w:color w:val="6E7D00"/>
                <w:sz w:val="17"/>
                <w:szCs w:val="17"/>
              </w:rPr>
              <w:t xml:space="preserve">Unterlage: </w:t>
            </w:r>
            <w:r>
              <w:rPr>
                <w:rFonts w:ascii="Open Sans" w:cs="Open Sans" w:eastAsia="Open Sans" w:hAnsi="Open Sans"/>
                <w:b w:val="false"/>
                <w:bCs w:val="false"/>
                <w:i/>
                <w:iCs/>
                <w:color w:val="6E7D00"/>
                <w:sz w:val="17"/>
                <w:szCs w:val="17"/>
              </w:rPr>
              <w:t xml:space="preserve">PQ-Nummer oder Nachweis der Beantragung</w:t>
            </w:r>
          </w:p>
        </w:tc>
        <w:tc>
          <w:tcPr>
            <w:tcW w:type="dxa" w:w="3338"/>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tc>
      </w:tr>
      <w:tr>
        <w:trPr>
          <w:cantSplit/>
        </w:trPr>
        <w:tc>
          <w:tcPr>
            <w:tcW w:type="dxa" w:w="6300"/>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60" w:before="0" w:line="260"/>
            </w:pPr>
            <w:r>
              <w:rPr>
                <w:rFonts w:ascii="Quicksand" w:cs="Quicksand" w:eastAsia="Quicksand" w:hAnsi="Quicksand"/>
                <w:b/>
                <w:bCs/>
                <w:i w:val="false"/>
                <w:iCs w:val="false"/>
                <w:color w:val="1A70B8"/>
                <w:sz w:val="20"/>
                <w:szCs w:val="20"/>
              </w:rPr>
              <w:t xml:space="preserve">C3  </w:t>
            </w:r>
            <w:r>
              <w:rPr>
                <w:rFonts w:ascii="Open Sans" w:cs="Open Sans" w:eastAsia="Open Sans" w:hAnsi="Open Sans"/>
                <w:b/>
                <w:bCs/>
                <w:i w:val="false"/>
                <w:iCs w:val="false"/>
                <w:color w:val="3D3D3D"/>
                <w:sz w:val="20"/>
                <w:szCs w:val="20"/>
              </w:rPr>
              <w:t xml:space="preserve">Können Sie eine Referenzliste über die letzten vier Jahre vorlegen?</w:t>
            </w:r>
          </w:p>
          <w:p>
            <w:pPr>
              <w:spacing w:after="40" w:before="0" w:line="260"/>
            </w:pPr>
            <w:r>
              <w:rPr>
                <w:rFonts w:ascii="Open Sans" w:cs="Open Sans" w:eastAsia="Open Sans" w:hAnsi="Open Sans"/>
                <w:b/>
                <w:bCs/>
                <w:i w:val="false"/>
                <w:iCs w:val="false"/>
                <w:color w:val="777777"/>
                <w:sz w:val="17"/>
                <w:szCs w:val="17"/>
              </w:rPr>
              <w:t xml:space="preserve">Warum: </w:t>
            </w:r>
            <w:r>
              <w:rPr>
                <w:rFonts w:ascii="Open Sans" w:cs="Open Sans" w:eastAsia="Open Sans" w:hAnsi="Open Sans"/>
                <w:b w:val="false"/>
                <w:bCs w:val="false"/>
                <w:i w:val="false"/>
                <w:iCs w:val="false"/>
                <w:color w:val="777777"/>
                <w:sz w:val="17"/>
                <w:szCs w:val="17"/>
              </w:rPr>
              <w:t xml:space="preserve">Gefordert ist je Schulbegleitungsverhältnis Leistungsumfang, öffentlicher Auftraggeber und Ansprechpartner. Rückwirkend lässt sich das kaum aufbauen.</w:t>
            </w:r>
          </w:p>
          <w:p>
            <w:pPr>
              <w:spacing w:after="0" w:before="0" w:line="260"/>
            </w:pPr>
            <w:r>
              <w:rPr>
                <w:rFonts w:ascii="Open Sans" w:cs="Open Sans" w:eastAsia="Open Sans" w:hAnsi="Open Sans"/>
                <w:b/>
                <w:bCs/>
                <w:i w:val="false"/>
                <w:iCs w:val="false"/>
                <w:color w:val="6E7D00"/>
                <w:sz w:val="17"/>
                <w:szCs w:val="17"/>
              </w:rPr>
              <w:t xml:space="preserve">Unterlage: </w:t>
            </w:r>
            <w:r>
              <w:rPr>
                <w:rFonts w:ascii="Open Sans" w:cs="Open Sans" w:eastAsia="Open Sans" w:hAnsi="Open Sans"/>
                <w:b w:val="false"/>
                <w:bCs w:val="false"/>
                <w:i/>
                <w:iCs/>
                <w:color w:val="6E7D00"/>
                <w:sz w:val="17"/>
                <w:szCs w:val="17"/>
              </w:rPr>
              <w:t xml:space="preserve">Referenzliste in der geforderten Form</w:t>
            </w:r>
          </w:p>
        </w:tc>
        <w:tc>
          <w:tcPr>
            <w:tcW w:type="dxa" w:w="3338"/>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tc>
      </w:tr>
      <w:tr>
        <w:trPr>
          <w:cantSplit/>
        </w:trPr>
        <w:tc>
          <w:tcPr>
            <w:tcW w:type="dxa" w:w="6300"/>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60" w:before="0" w:line="260"/>
            </w:pPr>
            <w:r>
              <w:rPr>
                <w:rFonts w:ascii="Quicksand" w:cs="Quicksand" w:eastAsia="Quicksand" w:hAnsi="Quicksand"/>
                <w:b/>
                <w:bCs/>
                <w:i w:val="false"/>
                <w:iCs w:val="false"/>
                <w:color w:val="1A70B8"/>
                <w:sz w:val="20"/>
                <w:szCs w:val="20"/>
              </w:rPr>
              <w:t xml:space="preserve">C4  </w:t>
            </w:r>
            <w:r>
              <w:rPr>
                <w:rFonts w:ascii="Open Sans" w:cs="Open Sans" w:eastAsia="Open Sans" w:hAnsi="Open Sans"/>
                <w:b/>
                <w:bCs/>
                <w:i w:val="false"/>
                <w:iCs w:val="false"/>
                <w:color w:val="3D3D3D"/>
                <w:sz w:val="20"/>
                <w:szCs w:val="20"/>
              </w:rPr>
              <w:t xml:space="preserve">Kann Ihre Buchhaltung den Umsatz der Leistungsart Schulbegleitung getrennt ausweisen — für drei Geschäftsjahre?</w:t>
            </w:r>
          </w:p>
          <w:p>
            <w:pPr>
              <w:spacing w:after="40" w:before="0" w:line="260"/>
            </w:pPr>
            <w:r>
              <w:rPr>
                <w:rFonts w:ascii="Open Sans" w:cs="Open Sans" w:eastAsia="Open Sans" w:hAnsi="Open Sans"/>
                <w:b/>
                <w:bCs/>
                <w:i w:val="false"/>
                <w:iCs w:val="false"/>
                <w:color w:val="777777"/>
                <w:sz w:val="17"/>
                <w:szCs w:val="17"/>
              </w:rPr>
              <w:t xml:space="preserve">Warum: </w:t>
            </w:r>
            <w:r>
              <w:rPr>
                <w:rFonts w:ascii="Open Sans" w:cs="Open Sans" w:eastAsia="Open Sans" w:hAnsi="Open Sans"/>
                <w:b w:val="false"/>
                <w:bCs w:val="false"/>
                <w:i w:val="false"/>
                <w:iCs w:val="false"/>
                <w:color w:val="777777"/>
                <w:sz w:val="17"/>
                <w:szCs w:val="17"/>
              </w:rPr>
              <w:t xml:space="preserve">Gefordert sind Gesamtumsatz UND separat der Umsatz der Leistungsart. Wenn die Buchhaltung das nie getrennt hat, ist es nachträglich kaum rekonstruierbar.</w:t>
            </w:r>
          </w:p>
          <w:p>
            <w:pPr>
              <w:spacing w:after="0" w:before="0" w:line="260"/>
            </w:pPr>
            <w:r>
              <w:rPr>
                <w:rFonts w:ascii="Open Sans" w:cs="Open Sans" w:eastAsia="Open Sans" w:hAnsi="Open Sans"/>
                <w:b/>
                <w:bCs/>
                <w:i w:val="false"/>
                <w:iCs w:val="false"/>
                <w:color w:val="6E7D00"/>
                <w:sz w:val="17"/>
                <w:szCs w:val="17"/>
              </w:rPr>
              <w:t xml:space="preserve">Unterlage: </w:t>
            </w:r>
            <w:r>
              <w:rPr>
                <w:rFonts w:ascii="Open Sans" w:cs="Open Sans" w:eastAsia="Open Sans" w:hAnsi="Open Sans"/>
                <w:b w:val="false"/>
                <w:bCs w:val="false"/>
                <w:i/>
                <w:iCs/>
                <w:color w:val="6E7D00"/>
                <w:sz w:val="17"/>
                <w:szCs w:val="17"/>
              </w:rPr>
              <w:t xml:space="preserve">BWA oder Auswertung mit getrennter Umsatzausweisung</w:t>
            </w:r>
          </w:p>
        </w:tc>
        <w:tc>
          <w:tcPr>
            <w:tcW w:type="dxa" w:w="3338"/>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tc>
      </w:tr>
      <w:tr>
        <w:trPr>
          <w:cantSplit/>
        </w:trPr>
        <w:tc>
          <w:tcPr>
            <w:tcW w:type="dxa" w:w="6300"/>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60" w:before="0" w:line="260"/>
            </w:pPr>
            <w:r>
              <w:rPr>
                <w:rFonts w:ascii="Quicksand" w:cs="Quicksand" w:eastAsia="Quicksand" w:hAnsi="Quicksand"/>
                <w:b/>
                <w:bCs/>
                <w:i w:val="false"/>
                <w:iCs w:val="false"/>
                <w:color w:val="1A70B8"/>
                <w:sz w:val="20"/>
                <w:szCs w:val="20"/>
              </w:rPr>
              <w:t xml:space="preserve">C5  </w:t>
            </w:r>
            <w:r>
              <w:rPr>
                <w:rFonts w:ascii="Open Sans" w:cs="Open Sans" w:eastAsia="Open Sans" w:hAnsi="Open Sans"/>
                <w:b/>
                <w:bCs/>
                <w:i w:val="false"/>
                <w:iCs w:val="false"/>
                <w:color w:val="3D3D3D"/>
                <w:sz w:val="20"/>
                <w:szCs w:val="20"/>
              </w:rPr>
              <w:t xml:space="preserve">Sind Sie als Träger der freien Jugendhilfe nach § 75 SGB VIII anerkannt?</w:t>
            </w:r>
          </w:p>
          <w:p>
            <w:pPr>
              <w:spacing w:after="40" w:before="0" w:line="260"/>
            </w:pPr>
            <w:r>
              <w:rPr>
                <w:rFonts w:ascii="Open Sans" w:cs="Open Sans" w:eastAsia="Open Sans" w:hAnsi="Open Sans"/>
                <w:b/>
                <w:bCs/>
                <w:i w:val="false"/>
                <w:iCs w:val="false"/>
                <w:color w:val="777777"/>
                <w:sz w:val="17"/>
                <w:szCs w:val="17"/>
              </w:rPr>
              <w:t xml:space="preserve">Warum: </w:t>
            </w:r>
            <w:r>
              <w:rPr>
                <w:rFonts w:ascii="Open Sans" w:cs="Open Sans" w:eastAsia="Open Sans" w:hAnsi="Open Sans"/>
                <w:b w:val="false"/>
                <w:bCs w:val="false"/>
                <w:i w:val="false"/>
                <w:iCs w:val="false"/>
                <w:color w:val="777777"/>
                <w:sz w:val="17"/>
                <w:szCs w:val="17"/>
              </w:rPr>
              <w:t xml:space="preserve">Ohne Anerkennung ist der Zugang zu Vereinbarungsverfahren und zu Gremien beschränkt.</w:t>
            </w:r>
          </w:p>
          <w:p>
            <w:pPr>
              <w:spacing w:after="0" w:before="0" w:line="260"/>
            </w:pPr>
            <w:r>
              <w:rPr>
                <w:rFonts w:ascii="Open Sans" w:cs="Open Sans" w:eastAsia="Open Sans" w:hAnsi="Open Sans"/>
                <w:b/>
                <w:bCs/>
                <w:i w:val="false"/>
                <w:iCs w:val="false"/>
                <w:color w:val="6E7D00"/>
                <w:sz w:val="17"/>
                <w:szCs w:val="17"/>
              </w:rPr>
              <w:t xml:space="preserve">Unterlage: </w:t>
            </w:r>
            <w:r>
              <w:rPr>
                <w:rFonts w:ascii="Open Sans" w:cs="Open Sans" w:eastAsia="Open Sans" w:hAnsi="Open Sans"/>
                <w:b w:val="false"/>
                <w:bCs w:val="false"/>
                <w:i/>
                <w:iCs/>
                <w:color w:val="6E7D00"/>
                <w:sz w:val="17"/>
                <w:szCs w:val="17"/>
              </w:rPr>
              <w:t xml:space="preserve">Anerkennungsbescheid</w:t>
            </w:r>
          </w:p>
        </w:tc>
        <w:tc>
          <w:tcPr>
            <w:tcW w:type="dxa" w:w="3338"/>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tc>
      </w:tr>
      <w:tr>
        <w:trPr>
          <w:cantSplit/>
        </w:trPr>
        <w:tc>
          <w:tcPr>
            <w:tcW w:type="dxa" w:w="6300"/>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60" w:before="0" w:line="260"/>
            </w:pPr>
            <w:r>
              <w:rPr>
                <w:rFonts w:ascii="Quicksand" w:cs="Quicksand" w:eastAsia="Quicksand" w:hAnsi="Quicksand"/>
                <w:b/>
                <w:bCs/>
                <w:i w:val="false"/>
                <w:iCs w:val="false"/>
                <w:color w:val="1A70B8"/>
                <w:sz w:val="20"/>
                <w:szCs w:val="20"/>
              </w:rPr>
              <w:t xml:space="preserve">C6  </w:t>
            </w:r>
            <w:r>
              <w:rPr>
                <w:rFonts w:ascii="Open Sans" w:cs="Open Sans" w:eastAsia="Open Sans" w:hAnsi="Open Sans"/>
                <w:b/>
                <w:bCs/>
                <w:i w:val="false"/>
                <w:iCs w:val="false"/>
                <w:color w:val="3D3D3D"/>
                <w:sz w:val="20"/>
                <w:szCs w:val="20"/>
              </w:rPr>
              <w:t xml:space="preserve">Liegen Schutzkonzept nach § 8a, die Regelung nach § 72a und der Zugang zu einer insoweit erfahrenen Fachkraft nach § 8b vor?</w:t>
            </w:r>
          </w:p>
          <w:p>
            <w:pPr>
              <w:spacing w:after="40" w:before="0" w:line="260"/>
            </w:pPr>
            <w:r>
              <w:rPr>
                <w:rFonts w:ascii="Open Sans" w:cs="Open Sans" w:eastAsia="Open Sans" w:hAnsi="Open Sans"/>
                <w:b/>
                <w:bCs/>
                <w:i w:val="false"/>
                <w:iCs w:val="false"/>
                <w:color w:val="777777"/>
                <w:sz w:val="17"/>
                <w:szCs w:val="17"/>
              </w:rPr>
              <w:t xml:space="preserve">Warum: </w:t>
            </w:r>
            <w:r>
              <w:rPr>
                <w:rFonts w:ascii="Open Sans" w:cs="Open Sans" w:eastAsia="Open Sans" w:hAnsi="Open Sans"/>
                <w:b w:val="false"/>
                <w:bCs w:val="false"/>
                <w:i w:val="false"/>
                <w:iCs w:val="false"/>
                <w:color w:val="777777"/>
                <w:sz w:val="17"/>
                <w:szCs w:val="17"/>
              </w:rPr>
              <w:t xml:space="preserve">Mindeststandards des Kreiskonzepts. Erweiterte Führungszeugnisse sind bei Neueinstellung und danach alle fünf Jahre vorzulegen — die Praxis ist prüfbar.</w:t>
            </w:r>
          </w:p>
          <w:p>
            <w:pPr>
              <w:spacing w:after="0" w:before="0" w:line="260"/>
            </w:pPr>
            <w:r>
              <w:rPr>
                <w:rFonts w:ascii="Open Sans" w:cs="Open Sans" w:eastAsia="Open Sans" w:hAnsi="Open Sans"/>
                <w:b/>
                <w:bCs/>
                <w:i w:val="false"/>
                <w:iCs w:val="false"/>
                <w:color w:val="6E7D00"/>
                <w:sz w:val="17"/>
                <w:szCs w:val="17"/>
              </w:rPr>
              <w:t xml:space="preserve">Unterlage: </w:t>
            </w:r>
            <w:r>
              <w:rPr>
                <w:rFonts w:ascii="Open Sans" w:cs="Open Sans" w:eastAsia="Open Sans" w:hAnsi="Open Sans"/>
                <w:b w:val="false"/>
                <w:bCs w:val="false"/>
                <w:i/>
                <w:iCs/>
                <w:color w:val="6E7D00"/>
                <w:sz w:val="17"/>
                <w:szCs w:val="17"/>
              </w:rPr>
              <w:t xml:space="preserve">Schutzkonzept, Verfahrensanweisung, Nachweis der Führungszeugnispraxis</w:t>
            </w:r>
          </w:p>
        </w:tc>
        <w:tc>
          <w:tcPr>
            <w:tcW w:type="dxa" w:w="3338"/>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tc>
      </w:tr>
      <w:tr>
        <w:trPr>
          <w:cantSplit/>
        </w:trPr>
        <w:tc>
          <w:tcPr>
            <w:tcW w:type="dxa" w:w="6300"/>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60" w:before="0" w:line="260"/>
            </w:pPr>
            <w:r>
              <w:rPr>
                <w:rFonts w:ascii="Quicksand" w:cs="Quicksand" w:eastAsia="Quicksand" w:hAnsi="Quicksand"/>
                <w:b/>
                <w:bCs/>
                <w:i w:val="false"/>
                <w:iCs w:val="false"/>
                <w:color w:val="1A70B8"/>
                <w:sz w:val="20"/>
                <w:szCs w:val="20"/>
              </w:rPr>
              <w:t xml:space="preserve">C7  </w:t>
            </w:r>
            <w:r>
              <w:rPr>
                <w:rFonts w:ascii="Open Sans" w:cs="Open Sans" w:eastAsia="Open Sans" w:hAnsi="Open Sans"/>
                <w:b/>
                <w:bCs/>
                <w:i w:val="false"/>
                <w:iCs w:val="false"/>
                <w:color w:val="3D3D3D"/>
                <w:sz w:val="20"/>
                <w:szCs w:val="20"/>
              </w:rPr>
              <w:t xml:space="preserve">SKP ist ein eingetragener Kaufmann. Ist eine Umwandlung geplant oder vorbereitet?</w:t>
            </w:r>
          </w:p>
          <w:p>
            <w:pPr>
              <w:spacing w:after="40" w:before="0" w:line="260"/>
            </w:pPr>
            <w:r>
              <w:rPr>
                <w:rFonts w:ascii="Open Sans" w:cs="Open Sans" w:eastAsia="Open Sans" w:hAnsi="Open Sans"/>
                <w:b/>
                <w:bCs/>
                <w:i w:val="false"/>
                <w:iCs w:val="false"/>
                <w:color w:val="777777"/>
                <w:sz w:val="17"/>
                <w:szCs w:val="17"/>
              </w:rPr>
              <w:t xml:space="preserve">Warum: </w:t>
            </w:r>
            <w:r>
              <w:rPr>
                <w:rFonts w:ascii="Open Sans" w:cs="Open Sans" w:eastAsia="Open Sans" w:hAnsi="Open Sans"/>
                <w:b w:val="false"/>
                <w:bCs w:val="false"/>
                <w:i w:val="false"/>
                <w:iCs w:val="false"/>
                <w:color w:val="777777"/>
                <w:sz w:val="17"/>
                <w:szCs w:val="17"/>
              </w:rPr>
              <w:t xml:space="preserve">Die Rechtsform berührt Haftung, Vertragsübergang und die Frage, ob bestehende Vereinbarungen bei einem Verkauf fortgelten.</w:t>
            </w:r>
          </w:p>
          <w:p>
            <w:pPr>
              <w:spacing w:after="0" w:before="0" w:line="260"/>
            </w:pPr>
            <w:r>
              <w:rPr>
                <w:rFonts w:ascii="Open Sans" w:cs="Open Sans" w:eastAsia="Open Sans" w:hAnsi="Open Sans"/>
                <w:b/>
                <w:bCs/>
                <w:i w:val="false"/>
                <w:iCs w:val="false"/>
                <w:color w:val="6E7D00"/>
                <w:sz w:val="17"/>
                <w:szCs w:val="17"/>
              </w:rPr>
              <w:t xml:space="preserve">Unterlage: </w:t>
            </w:r>
            <w:r>
              <w:rPr>
                <w:rFonts w:ascii="Open Sans" w:cs="Open Sans" w:eastAsia="Open Sans" w:hAnsi="Open Sans"/>
                <w:b w:val="false"/>
                <w:bCs w:val="false"/>
                <w:i/>
                <w:iCs/>
                <w:color w:val="6E7D00"/>
                <w:sz w:val="17"/>
                <w:szCs w:val="17"/>
              </w:rPr>
              <w:t xml:space="preserve">Handelsregisterauszug, Gesellschaftsvertrag falls vorhanden</w:t>
            </w:r>
          </w:p>
        </w:tc>
        <w:tc>
          <w:tcPr>
            <w:tcW w:type="dxa" w:w="3338"/>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tc>
      </w:tr>
    </w:tbl>
    <w:p>
      <w:pPr>
        <w:pStyle w:val="Heading1"/>
        <w:spacing w:after="140" w:before="340"/>
      </w:pPr>
      <w:r>
        <w:rPr>
          <w:rFonts w:ascii="Quicksand" w:cs="Quicksand" w:eastAsia="Quicksand" w:hAnsi="Quicksand"/>
          <w:b/>
          <w:bCs/>
          <w:color w:val="1A70B8"/>
          <w:sz w:val="26"/>
          <w:szCs w:val="26"/>
        </w:rPr>
        <w:t xml:space="preserve">D · Personal und Qualifikation</w:t>
      </w:r>
    </w:p>
    <w:p>
      <w:pPr>
        <w:spacing w:after="140" w:before="0" w:line="260"/>
      </w:pPr>
      <w:r>
        <w:rPr>
          <w:rFonts w:ascii="Open Sans" w:cs="Open Sans" w:eastAsia="Open Sans" w:hAnsi="Open Sans"/>
          <w:b w:val="false"/>
          <w:bCs w:val="false"/>
          <w:i w:val="false"/>
          <w:iCs w:val="false"/>
          <w:color w:val="777777"/>
          <w:sz w:val="18"/>
          <w:szCs w:val="18"/>
        </w:rPr>
        <w:t xml:space="preserve">Die Bedingungen des Pool- und MPT-Modells — der wichtigste Block.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00"/>
        <w:gridCol w:w="3338"/>
      </w:tblGrid>
      <w:tr>
        <w:trPr>
          <w:tblHeader/>
        </w:trPr>
        <w:tc>
          <w:tcPr>
            <w:tcW w:type="dxa" w:w="6300"/>
            <w:tcBorders>
              <w:top w:val="single" w:color="DDDDDD" w:sz="2"/>
              <w:left w:val="none" w:color="FFFFFF" w:sz="0"/>
              <w:bottom w:val="single" w:color="DDDDDD" w:sz="2"/>
              <w:right w:val="none" w:color="FFFFFF" w:sz="0"/>
            </w:tcBorders>
            <w:shd w:fill="EAF1F8" w:color="auto" w:val="clear"/>
            <w:tcMar>
              <w:top w:type="dxa" w:w="90"/>
              <w:left w:type="dxa" w:w="120"/>
              <w:bottom w:type="dxa" w:w="90"/>
              <w:right w:type="dxa" w:w="120"/>
            </w:tcMar>
          </w:tcPr>
          <w:p>
            <w:pPr>
              <w:spacing w:after="0" w:before="0" w:line="260"/>
            </w:pPr>
            <w:r>
              <w:rPr>
                <w:rFonts w:ascii="Quicksand" w:cs="Quicksand" w:eastAsia="Quicksand" w:hAnsi="Quicksand"/>
                <w:b/>
                <w:bCs/>
                <w:i w:val="false"/>
                <w:iCs w:val="false"/>
                <w:color w:val="1A70B8"/>
                <w:sz w:val="19"/>
                <w:szCs w:val="19"/>
              </w:rPr>
              <w:t xml:space="preserve">Frage</w:t>
            </w:r>
          </w:p>
        </w:tc>
        <w:tc>
          <w:tcPr>
            <w:tcW w:type="dxa" w:w="3338"/>
            <w:tcBorders>
              <w:top w:val="single" w:color="DDDDDD" w:sz="2"/>
              <w:left w:val="none" w:color="FFFFFF" w:sz="0"/>
              <w:bottom w:val="single" w:color="DDDDDD" w:sz="2"/>
              <w:right w:val="none" w:color="FFFFFF" w:sz="0"/>
            </w:tcBorders>
            <w:shd w:fill="EAF1F8" w:color="auto" w:val="clear"/>
            <w:tcMar>
              <w:top w:type="dxa" w:w="90"/>
              <w:left w:type="dxa" w:w="120"/>
              <w:bottom w:type="dxa" w:w="90"/>
              <w:right w:type="dxa" w:w="120"/>
            </w:tcMar>
          </w:tcPr>
          <w:p>
            <w:pPr>
              <w:spacing w:after="0" w:before="0" w:line="260"/>
            </w:pPr>
            <w:r>
              <w:rPr>
                <w:rFonts w:ascii="Quicksand" w:cs="Quicksand" w:eastAsia="Quicksand" w:hAnsi="Quicksand"/>
                <w:b/>
                <w:bCs/>
                <w:i w:val="false"/>
                <w:iCs w:val="false"/>
                <w:color w:val="1A70B8"/>
                <w:sz w:val="19"/>
                <w:szCs w:val="19"/>
              </w:rPr>
              <w:t xml:space="preserve">Antwort</w:t>
            </w:r>
          </w:p>
        </w:tc>
      </w:tr>
      <w:tr>
        <w:trPr>
          <w:cantSplit/>
        </w:trPr>
        <w:tc>
          <w:tcPr>
            <w:tcW w:type="dxa" w:w="6300"/>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60" w:before="0" w:line="260"/>
            </w:pPr>
            <w:r>
              <w:rPr>
                <w:rFonts w:ascii="Quicksand" w:cs="Quicksand" w:eastAsia="Quicksand" w:hAnsi="Quicksand"/>
                <w:b/>
                <w:bCs/>
                <w:i w:val="false"/>
                <w:iCs w:val="false"/>
                <w:color w:val="1A70B8"/>
                <w:sz w:val="20"/>
                <w:szCs w:val="20"/>
              </w:rPr>
              <w:t xml:space="preserve">D1  </w:t>
            </w:r>
            <w:r>
              <w:rPr>
                <w:rFonts w:ascii="Open Sans" w:cs="Open Sans" w:eastAsia="Open Sans" w:hAnsi="Open Sans"/>
                <w:b/>
                <w:bCs/>
                <w:i w:val="false"/>
                <w:iCs w:val="false"/>
                <w:color w:val="3D3D3D"/>
                <w:sz w:val="20"/>
                <w:szCs w:val="20"/>
              </w:rPr>
              <w:t xml:space="preserve">Wie viele Beschäftigte haben Sie, in Köpfen und in Vollzeitäquivalenten — und wie viele davon einen pädagogischen, therapeutischen oder pflegerischen Abschluss?</w:t>
            </w:r>
          </w:p>
          <w:p>
            <w:pPr>
              <w:spacing w:after="40" w:before="0" w:line="260"/>
            </w:pPr>
            <w:r>
              <w:rPr>
                <w:rFonts w:ascii="Open Sans" w:cs="Open Sans" w:eastAsia="Open Sans" w:hAnsi="Open Sans"/>
                <w:b/>
                <w:bCs/>
                <w:i w:val="false"/>
                <w:iCs w:val="false"/>
                <w:color w:val="777777"/>
                <w:sz w:val="17"/>
                <w:szCs w:val="17"/>
              </w:rPr>
              <w:t xml:space="preserve">Warum: </w:t>
            </w:r>
            <w:r>
              <w:rPr>
                <w:rFonts w:ascii="Open Sans" w:cs="Open Sans" w:eastAsia="Open Sans" w:hAnsi="Open Sans"/>
                <w:b w:val="false"/>
                <w:bCs w:val="false"/>
                <w:i w:val="false"/>
                <w:iCs w:val="false"/>
                <w:color w:val="777777"/>
                <w:sz w:val="17"/>
                <w:szCs w:val="17"/>
              </w:rPr>
              <w:t xml:space="preserve">Bundesweit ist rund die Hälfte der Schulbegleitungen fachlich qualifiziert. Der Wert allein entscheidet nichts, aber er ist die Grundlage für D2.</w:t>
            </w:r>
          </w:p>
          <w:p>
            <w:pPr>
              <w:spacing w:after="0" w:before="0" w:line="260"/>
            </w:pPr>
            <w:r>
              <w:rPr>
                <w:rFonts w:ascii="Open Sans" w:cs="Open Sans" w:eastAsia="Open Sans" w:hAnsi="Open Sans"/>
                <w:b/>
                <w:bCs/>
                <w:i w:val="false"/>
                <w:iCs w:val="false"/>
                <w:color w:val="6E7D00"/>
                <w:sz w:val="17"/>
                <w:szCs w:val="17"/>
              </w:rPr>
              <w:t xml:space="preserve">Unterlage: </w:t>
            </w:r>
            <w:r>
              <w:rPr>
                <w:rFonts w:ascii="Open Sans" w:cs="Open Sans" w:eastAsia="Open Sans" w:hAnsi="Open Sans"/>
                <w:b w:val="false"/>
                <w:bCs w:val="false"/>
                <w:i/>
                <w:iCs/>
                <w:color w:val="6E7D00"/>
                <w:sz w:val="17"/>
                <w:szCs w:val="17"/>
              </w:rPr>
              <w:t xml:space="preserve">Personalliste zum Stichtag: Qualifikation, Stundenumfang, Vertragsart</w:t>
            </w:r>
          </w:p>
        </w:tc>
        <w:tc>
          <w:tcPr>
            <w:tcW w:type="dxa" w:w="3338"/>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tc>
      </w:tr>
      <w:tr>
        <w:trPr>
          <w:cantSplit/>
        </w:trPr>
        <w:tc>
          <w:tcPr>
            <w:tcW w:type="dxa" w:w="6300"/>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60" w:before="0" w:line="260"/>
            </w:pPr>
            <w:r>
              <w:rPr>
                <w:rFonts w:ascii="Quicksand" w:cs="Quicksand" w:eastAsia="Quicksand" w:hAnsi="Quicksand"/>
                <w:b/>
                <w:bCs/>
                <w:i w:val="false"/>
                <w:iCs w:val="false"/>
                <w:color w:val="1A70B8"/>
                <w:sz w:val="20"/>
                <w:szCs w:val="20"/>
              </w:rPr>
              <w:t xml:space="preserve">D2  </w:t>
            </w:r>
            <w:r>
              <w:rPr>
                <w:rFonts w:ascii="Open Sans" w:cs="Open Sans" w:eastAsia="Open Sans" w:hAnsi="Open Sans"/>
                <w:b/>
                <w:bCs/>
                <w:i w:val="false"/>
                <w:iCs w:val="false"/>
                <w:color w:val="3D3D3D"/>
                <w:sz w:val="20"/>
                <w:szCs w:val="20"/>
              </w:rPr>
              <w:t xml:space="preserve">Wie viele Ihrer Beschäftigten erfüllen die Anforderung an eine Teamleitung — Sozialpädagogik, Pädagogik, Erzieher:in oder gleichwertig?</w:t>
            </w:r>
          </w:p>
          <w:p>
            <w:pPr>
              <w:spacing w:after="40" w:before="0" w:line="260"/>
            </w:pPr>
            <w:r>
              <w:rPr>
                <w:rFonts w:ascii="Open Sans" w:cs="Open Sans" w:eastAsia="Open Sans" w:hAnsi="Open Sans"/>
                <w:b/>
                <w:bCs/>
                <w:i w:val="false"/>
                <w:iCs w:val="false"/>
                <w:color w:val="777777"/>
                <w:sz w:val="17"/>
                <w:szCs w:val="17"/>
              </w:rPr>
              <w:t xml:space="preserve">Warum: </w:t>
            </w:r>
            <w:r>
              <w:rPr>
                <w:rFonts w:ascii="Open Sans" w:cs="Open Sans" w:eastAsia="Open Sans" w:hAnsi="Open Sans"/>
                <w:b w:val="false"/>
                <w:bCs w:val="false"/>
                <w:i w:val="false"/>
                <w:iCs w:val="false"/>
                <w:color w:val="777777"/>
                <w:sz w:val="17"/>
                <w:szCs w:val="17"/>
              </w:rPr>
              <w:t xml:space="preserve">Das ist die entscheidende Frage der ganzen Liste. Das Kreiskonzept verlangt für die Teamleitung ausschließlich Fachkräfte, Schlüssel 1:15 bei 39 Wochenstunden. Ohne diese Rolle gibt es keinen Zuschlag — und sie ist die teuerste Lücke, wenn sie besteht.</w:t>
            </w:r>
          </w:p>
          <w:p>
            <w:pPr>
              <w:spacing w:after="0" w:before="0" w:line="260"/>
            </w:pPr>
            <w:r>
              <w:rPr>
                <w:rFonts w:ascii="Open Sans" w:cs="Open Sans" w:eastAsia="Open Sans" w:hAnsi="Open Sans"/>
                <w:b/>
                <w:bCs/>
                <w:i w:val="false"/>
                <w:iCs w:val="false"/>
                <w:color w:val="6E7D00"/>
                <w:sz w:val="17"/>
                <w:szCs w:val="17"/>
              </w:rPr>
              <w:t xml:space="preserve">Unterlage: </w:t>
            </w:r>
            <w:r>
              <w:rPr>
                <w:rFonts w:ascii="Open Sans" w:cs="Open Sans" w:eastAsia="Open Sans" w:hAnsi="Open Sans"/>
                <w:b w:val="false"/>
                <w:bCs w:val="false"/>
                <w:i/>
                <w:iCs/>
                <w:color w:val="6E7D00"/>
                <w:sz w:val="17"/>
                <w:szCs w:val="17"/>
              </w:rPr>
              <w:t xml:space="preserve">Namentliche Aufstellung mit Abschluss und Berufserfahrung</w:t>
            </w:r>
          </w:p>
        </w:tc>
        <w:tc>
          <w:tcPr>
            <w:tcW w:type="dxa" w:w="3338"/>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tc>
      </w:tr>
      <w:tr>
        <w:trPr>
          <w:cantSplit/>
        </w:trPr>
        <w:tc>
          <w:tcPr>
            <w:tcW w:type="dxa" w:w="6300"/>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60" w:before="0" w:line="260"/>
            </w:pPr>
            <w:r>
              <w:rPr>
                <w:rFonts w:ascii="Quicksand" w:cs="Quicksand" w:eastAsia="Quicksand" w:hAnsi="Quicksand"/>
                <w:b/>
                <w:bCs/>
                <w:i w:val="false"/>
                <w:iCs w:val="false"/>
                <w:color w:val="1A70B8"/>
                <w:sz w:val="20"/>
                <w:szCs w:val="20"/>
              </w:rPr>
              <w:t xml:space="preserve">D3  </w:t>
            </w:r>
            <w:r>
              <w:rPr>
                <w:rFonts w:ascii="Open Sans" w:cs="Open Sans" w:eastAsia="Open Sans" w:hAnsi="Open Sans"/>
                <w:b/>
                <w:bCs/>
                <w:i w:val="false"/>
                <w:iCs w:val="false"/>
                <w:color w:val="3D3D3D"/>
                <w:sz w:val="20"/>
                <w:szCs w:val="20"/>
              </w:rPr>
              <w:t xml:space="preserve">Setzen Sie Honorarkräfte ein, und in welchem Umfang?</w:t>
            </w:r>
          </w:p>
          <w:p>
            <w:pPr>
              <w:spacing w:after="40" w:before="0" w:line="260"/>
            </w:pPr>
            <w:r>
              <w:rPr>
                <w:rFonts w:ascii="Open Sans" w:cs="Open Sans" w:eastAsia="Open Sans" w:hAnsi="Open Sans"/>
                <w:b/>
                <w:bCs/>
                <w:i w:val="false"/>
                <w:iCs w:val="false"/>
                <w:color w:val="777777"/>
                <w:sz w:val="17"/>
                <w:szCs w:val="17"/>
              </w:rPr>
              <w:t xml:space="preserve">Warum: </w:t>
            </w:r>
            <w:r>
              <w:rPr>
                <w:rFonts w:ascii="Open Sans" w:cs="Open Sans" w:eastAsia="Open Sans" w:hAnsi="Open Sans"/>
                <w:b w:val="false"/>
                <w:bCs w:val="false"/>
                <w:i w:val="false"/>
                <w:iCs w:val="false"/>
                <w:color w:val="777777"/>
                <w:sz w:val="17"/>
                <w:szCs w:val="17"/>
              </w:rPr>
              <w:t xml:space="preserve">Das Kreiskonzept sagt wörtlich: „Es werden keine Honorarkräfte eingesetzt.“ Festanstellung ist Qualitätsmerkmal und Vertragsbedingung, nicht Verhandlungssache.</w:t>
            </w:r>
          </w:p>
          <w:p>
            <w:pPr>
              <w:spacing w:after="0" w:before="0" w:line="260"/>
            </w:pPr>
            <w:r>
              <w:rPr>
                <w:rFonts w:ascii="Open Sans" w:cs="Open Sans" w:eastAsia="Open Sans" w:hAnsi="Open Sans"/>
                <w:b/>
                <w:bCs/>
                <w:i w:val="false"/>
                <w:iCs w:val="false"/>
                <w:color w:val="6E7D00"/>
                <w:sz w:val="17"/>
                <w:szCs w:val="17"/>
              </w:rPr>
              <w:t xml:space="preserve">Unterlage: </w:t>
            </w:r>
            <w:r>
              <w:rPr>
                <w:rFonts w:ascii="Open Sans" w:cs="Open Sans" w:eastAsia="Open Sans" w:hAnsi="Open Sans"/>
                <w:b w:val="false"/>
                <w:bCs w:val="false"/>
                <w:i/>
                <w:iCs/>
                <w:color w:val="6E7D00"/>
                <w:sz w:val="17"/>
                <w:szCs w:val="17"/>
              </w:rPr>
              <w:t xml:space="preserve">Aufteilung Festanstellung gegenüber Honorar, Musterverträge beider Formen</w:t>
            </w:r>
          </w:p>
        </w:tc>
        <w:tc>
          <w:tcPr>
            <w:tcW w:type="dxa" w:w="3338"/>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tc>
      </w:tr>
      <w:tr>
        <w:trPr>
          <w:cantSplit/>
        </w:trPr>
        <w:tc>
          <w:tcPr>
            <w:tcW w:type="dxa" w:w="6300"/>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60" w:before="0" w:line="260"/>
            </w:pPr>
            <w:r>
              <w:rPr>
                <w:rFonts w:ascii="Quicksand" w:cs="Quicksand" w:eastAsia="Quicksand" w:hAnsi="Quicksand"/>
                <w:b/>
                <w:bCs/>
                <w:i w:val="false"/>
                <w:iCs w:val="false"/>
                <w:color w:val="1A70B8"/>
                <w:sz w:val="20"/>
                <w:szCs w:val="20"/>
              </w:rPr>
              <w:t xml:space="preserve">D4  </w:t>
            </w:r>
            <w:r>
              <w:rPr>
                <w:rFonts w:ascii="Open Sans" w:cs="Open Sans" w:eastAsia="Open Sans" w:hAnsi="Open Sans"/>
                <w:b/>
                <w:bCs/>
                <w:i w:val="false"/>
                <w:iCs w:val="false"/>
                <w:color w:val="3D3D3D"/>
                <w:sz w:val="20"/>
                <w:szCs w:val="20"/>
              </w:rPr>
              <w:t xml:space="preserve">Gibt es ein schriftliches Fortbildungs- und Qualifizierungskonzept, Supervision und regelmäßige Teamsitzungen?</w:t>
            </w:r>
          </w:p>
          <w:p>
            <w:pPr>
              <w:spacing w:after="40" w:before="0" w:line="260"/>
            </w:pPr>
            <w:r>
              <w:rPr>
                <w:rFonts w:ascii="Open Sans" w:cs="Open Sans" w:eastAsia="Open Sans" w:hAnsi="Open Sans"/>
                <w:b/>
                <w:bCs/>
                <w:i w:val="false"/>
                <w:iCs w:val="false"/>
                <w:color w:val="777777"/>
                <w:sz w:val="17"/>
                <w:szCs w:val="17"/>
              </w:rPr>
              <w:t xml:space="preserve">Warum: </w:t>
            </w:r>
            <w:r>
              <w:rPr>
                <w:rFonts w:ascii="Open Sans" w:cs="Open Sans" w:eastAsia="Open Sans" w:hAnsi="Open Sans"/>
                <w:b w:val="false"/>
                <w:bCs w:val="false"/>
                <w:i w:val="false"/>
                <w:iCs w:val="false"/>
                <w:color w:val="777777"/>
                <w:sz w:val="17"/>
                <w:szCs w:val="17"/>
              </w:rPr>
              <w:t xml:space="preserve">Alle drei sind gefordert und müssen zum Leistungsbeginn umsetzbar sein. Ein Qualifizierungskonzept ist zugleich eines der sieben Zuschlagskriterien — und der billigste Differenzierer im Wettbewerb.</w:t>
            </w:r>
          </w:p>
          <w:p>
            <w:pPr>
              <w:spacing w:after="0" w:before="0" w:line="260"/>
            </w:pPr>
            <w:r>
              <w:rPr>
                <w:rFonts w:ascii="Open Sans" w:cs="Open Sans" w:eastAsia="Open Sans" w:hAnsi="Open Sans"/>
                <w:b/>
                <w:bCs/>
                <w:i w:val="false"/>
                <w:iCs w:val="false"/>
                <w:color w:val="6E7D00"/>
                <w:sz w:val="17"/>
                <w:szCs w:val="17"/>
              </w:rPr>
              <w:t xml:space="preserve">Unterlage: </w:t>
            </w:r>
            <w:r>
              <w:rPr>
                <w:rFonts w:ascii="Open Sans" w:cs="Open Sans" w:eastAsia="Open Sans" w:hAnsi="Open Sans"/>
                <w:b w:val="false"/>
                <w:bCs w:val="false"/>
                <w:i/>
                <w:iCs/>
                <w:color w:val="6E7D00"/>
                <w:sz w:val="17"/>
                <w:szCs w:val="17"/>
              </w:rPr>
              <w:t xml:space="preserve">Konzept, Fortbildungsplan, Nachweis der Supervision</w:t>
            </w:r>
          </w:p>
        </w:tc>
        <w:tc>
          <w:tcPr>
            <w:tcW w:type="dxa" w:w="3338"/>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tc>
      </w:tr>
      <w:tr>
        <w:trPr>
          <w:cantSplit/>
        </w:trPr>
        <w:tc>
          <w:tcPr>
            <w:tcW w:type="dxa" w:w="6300"/>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60" w:before="0" w:line="260"/>
            </w:pPr>
            <w:r>
              <w:rPr>
                <w:rFonts w:ascii="Quicksand" w:cs="Quicksand" w:eastAsia="Quicksand" w:hAnsi="Quicksand"/>
                <w:b/>
                <w:bCs/>
                <w:i w:val="false"/>
                <w:iCs w:val="false"/>
                <w:color w:val="1A70B8"/>
                <w:sz w:val="20"/>
                <w:szCs w:val="20"/>
              </w:rPr>
              <w:t xml:space="preserve">D5  </w:t>
            </w:r>
            <w:r>
              <w:rPr>
                <w:rFonts w:ascii="Open Sans" w:cs="Open Sans" w:eastAsia="Open Sans" w:hAnsi="Open Sans"/>
                <w:b/>
                <w:bCs/>
                <w:i w:val="false"/>
                <w:iCs w:val="false"/>
                <w:color w:val="3D3D3D"/>
                <w:sz w:val="20"/>
                <w:szCs w:val="20"/>
              </w:rPr>
              <w:t xml:space="preserve">Haben Sie Erfahrung damit, dass eine Kraft mehrere Kinder gleichzeitig begleitet?</w:t>
            </w:r>
          </w:p>
          <w:p>
            <w:pPr>
              <w:spacing w:after="40" w:before="0" w:line="260"/>
            </w:pPr>
            <w:r>
              <w:rPr>
                <w:rFonts w:ascii="Open Sans" w:cs="Open Sans" w:eastAsia="Open Sans" w:hAnsi="Open Sans"/>
                <w:b/>
                <w:bCs/>
                <w:i w:val="false"/>
                <w:iCs w:val="false"/>
                <w:color w:val="777777"/>
                <w:sz w:val="17"/>
                <w:szCs w:val="17"/>
              </w:rPr>
              <w:t xml:space="preserve">Warum: </w:t>
            </w:r>
            <w:r>
              <w:rPr>
                <w:rFonts w:ascii="Open Sans" w:cs="Open Sans" w:eastAsia="Open Sans" w:hAnsi="Open Sans"/>
                <w:b w:val="false"/>
                <w:bCs w:val="false"/>
                <w:i w:val="false"/>
                <w:iCs w:val="false"/>
                <w:color w:val="777777"/>
                <w:sz w:val="17"/>
                <w:szCs w:val="17"/>
              </w:rPr>
              <w:t xml:space="preserve">Das ist die operative Kernkompetenz im Pool und in den Hamburger Kombinationsmaßnahmen. Erfahrung damit ist im Verfahren belegbar und im Betrieb sofort wirksam.</w:t>
            </w:r>
          </w:p>
          <w:p>
            <w:pPr>
              <w:spacing w:after="0" w:before="0" w:line="260"/>
            </w:pPr>
            <w:r>
              <w:rPr>
                <w:rFonts w:ascii="Open Sans" w:cs="Open Sans" w:eastAsia="Open Sans" w:hAnsi="Open Sans"/>
                <w:b/>
                <w:bCs/>
                <w:i w:val="false"/>
                <w:iCs w:val="false"/>
                <w:color w:val="6E7D00"/>
                <w:sz w:val="17"/>
                <w:szCs w:val="17"/>
              </w:rPr>
              <w:t xml:space="preserve">Unterlage: </w:t>
            </w:r>
            <w:r>
              <w:rPr>
                <w:rFonts w:ascii="Open Sans" w:cs="Open Sans" w:eastAsia="Open Sans" w:hAnsi="Open Sans"/>
                <w:b w:val="false"/>
                <w:bCs w:val="false"/>
                <w:i/>
                <w:iCs/>
                <w:color w:val="6E7D00"/>
                <w:sz w:val="17"/>
                <w:szCs w:val="17"/>
              </w:rPr>
              <w:t xml:space="preserve">Beispiele, Einsatzpläne, Rückmeldungen von Schulen</w:t>
            </w:r>
          </w:p>
        </w:tc>
        <w:tc>
          <w:tcPr>
            <w:tcW w:type="dxa" w:w="3338"/>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tc>
      </w:tr>
      <w:tr>
        <w:trPr>
          <w:cantSplit/>
        </w:trPr>
        <w:tc>
          <w:tcPr>
            <w:tcW w:type="dxa" w:w="6300"/>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60" w:before="0" w:line="260"/>
            </w:pPr>
            <w:r>
              <w:rPr>
                <w:rFonts w:ascii="Quicksand" w:cs="Quicksand" w:eastAsia="Quicksand" w:hAnsi="Quicksand"/>
                <w:b/>
                <w:bCs/>
                <w:i w:val="false"/>
                <w:iCs w:val="false"/>
                <w:color w:val="1A70B8"/>
                <w:sz w:val="20"/>
                <w:szCs w:val="20"/>
              </w:rPr>
              <w:t xml:space="preserve">D6  </w:t>
            </w:r>
            <w:r>
              <w:rPr>
                <w:rFonts w:ascii="Open Sans" w:cs="Open Sans" w:eastAsia="Open Sans" w:hAnsi="Open Sans"/>
                <w:b/>
                <w:bCs/>
                <w:i w:val="false"/>
                <w:iCs w:val="false"/>
                <w:color w:val="3D3D3D"/>
                <w:sz w:val="20"/>
                <w:szCs w:val="20"/>
              </w:rPr>
              <w:t xml:space="preserve">Wie hoch sind Fluktuation, Vakanzquote und Krankenstand der letzten zwei Jahre?</w:t>
            </w:r>
          </w:p>
          <w:p>
            <w:pPr>
              <w:spacing w:after="40" w:before="0" w:line="260"/>
            </w:pPr>
            <w:r>
              <w:rPr>
                <w:rFonts w:ascii="Open Sans" w:cs="Open Sans" w:eastAsia="Open Sans" w:hAnsi="Open Sans"/>
                <w:b/>
                <w:bCs/>
                <w:i w:val="false"/>
                <w:iCs w:val="false"/>
                <w:color w:val="777777"/>
                <w:sz w:val="17"/>
                <w:szCs w:val="17"/>
              </w:rPr>
              <w:t xml:space="preserve">Warum: </w:t>
            </w:r>
            <w:r>
              <w:rPr>
                <w:rFonts w:ascii="Open Sans" w:cs="Open Sans" w:eastAsia="Open Sans" w:hAnsi="Open Sans"/>
                <w:b w:val="false"/>
                <w:bCs w:val="false"/>
                <w:i w:val="false"/>
                <w:iCs w:val="false"/>
                <w:color w:val="777777"/>
                <w:sz w:val="17"/>
                <w:szCs w:val="17"/>
              </w:rPr>
              <w:t xml:space="preserve">Im Pool trägt der Träger Vertretung und Krankheit aus dem Budget. Ein hoher Krankenstand schlägt dann unmittelbar auf das Ergebnis durch.</w:t>
            </w:r>
          </w:p>
          <w:p>
            <w:pPr>
              <w:spacing w:after="0" w:before="0" w:line="260"/>
            </w:pPr>
            <w:r>
              <w:rPr>
                <w:rFonts w:ascii="Open Sans" w:cs="Open Sans" w:eastAsia="Open Sans" w:hAnsi="Open Sans"/>
                <w:b/>
                <w:bCs/>
                <w:i w:val="false"/>
                <w:iCs w:val="false"/>
                <w:color w:val="6E7D00"/>
                <w:sz w:val="17"/>
                <w:szCs w:val="17"/>
              </w:rPr>
              <w:t xml:space="preserve">Unterlage: </w:t>
            </w:r>
            <w:r>
              <w:rPr>
                <w:rFonts w:ascii="Open Sans" w:cs="Open Sans" w:eastAsia="Open Sans" w:hAnsi="Open Sans"/>
                <w:b w:val="false"/>
                <w:bCs w:val="false"/>
                <w:i/>
                <w:iCs/>
                <w:color w:val="6E7D00"/>
                <w:sz w:val="17"/>
                <w:szCs w:val="17"/>
              </w:rPr>
              <w:t xml:space="preserve">Personalkennzahlen 24 Monate</w:t>
            </w:r>
          </w:p>
        </w:tc>
        <w:tc>
          <w:tcPr>
            <w:tcW w:type="dxa" w:w="3338"/>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tc>
      </w:tr>
    </w:tbl>
    <w:p>
      <w:pPr>
        <w:pStyle w:val="Heading1"/>
        <w:spacing w:after="140" w:before="340"/>
      </w:pPr>
      <w:r>
        <w:rPr>
          <w:rFonts w:ascii="Quicksand" w:cs="Quicksand" w:eastAsia="Quicksand" w:hAnsi="Quicksand"/>
          <w:b/>
          <w:bCs/>
          <w:color w:val="1A70B8"/>
          <w:sz w:val="26"/>
          <w:szCs w:val="26"/>
        </w:rPr>
        <w:t xml:space="preserve">E · Löhne und Vergütung</w:t>
      </w:r>
    </w:p>
    <w:p>
      <w:pPr>
        <w:spacing w:after="140" w:before="0" w:line="260"/>
      </w:pPr>
      <w:r>
        <w:rPr>
          <w:rFonts w:ascii="Open Sans" w:cs="Open Sans" w:eastAsia="Open Sans" w:hAnsi="Open Sans"/>
          <w:b w:val="false"/>
          <w:bCs w:val="false"/>
          <w:i w:val="false"/>
          <w:iCs w:val="false"/>
          <w:color w:val="777777"/>
          <w:sz w:val="18"/>
          <w:szCs w:val="18"/>
        </w:rPr>
        <w:t xml:space="preserve">Ob unter einem Festpreis über bis zu neun Jahre noch Marge bleibt.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00"/>
        <w:gridCol w:w="3338"/>
      </w:tblGrid>
      <w:tr>
        <w:trPr>
          <w:tblHeader/>
        </w:trPr>
        <w:tc>
          <w:tcPr>
            <w:tcW w:type="dxa" w:w="6300"/>
            <w:tcBorders>
              <w:top w:val="single" w:color="DDDDDD" w:sz="2"/>
              <w:left w:val="none" w:color="FFFFFF" w:sz="0"/>
              <w:bottom w:val="single" w:color="DDDDDD" w:sz="2"/>
              <w:right w:val="none" w:color="FFFFFF" w:sz="0"/>
            </w:tcBorders>
            <w:shd w:fill="EAF1F8" w:color="auto" w:val="clear"/>
            <w:tcMar>
              <w:top w:type="dxa" w:w="90"/>
              <w:left w:type="dxa" w:w="120"/>
              <w:bottom w:type="dxa" w:w="90"/>
              <w:right w:type="dxa" w:w="120"/>
            </w:tcMar>
          </w:tcPr>
          <w:p>
            <w:pPr>
              <w:spacing w:after="0" w:before="0" w:line="260"/>
            </w:pPr>
            <w:r>
              <w:rPr>
                <w:rFonts w:ascii="Quicksand" w:cs="Quicksand" w:eastAsia="Quicksand" w:hAnsi="Quicksand"/>
                <w:b/>
                <w:bCs/>
                <w:i w:val="false"/>
                <w:iCs w:val="false"/>
                <w:color w:val="1A70B8"/>
                <w:sz w:val="19"/>
                <w:szCs w:val="19"/>
              </w:rPr>
              <w:t xml:space="preserve">Frage</w:t>
            </w:r>
          </w:p>
        </w:tc>
        <w:tc>
          <w:tcPr>
            <w:tcW w:type="dxa" w:w="3338"/>
            <w:tcBorders>
              <w:top w:val="single" w:color="DDDDDD" w:sz="2"/>
              <w:left w:val="none" w:color="FFFFFF" w:sz="0"/>
              <w:bottom w:val="single" w:color="DDDDDD" w:sz="2"/>
              <w:right w:val="none" w:color="FFFFFF" w:sz="0"/>
            </w:tcBorders>
            <w:shd w:fill="EAF1F8" w:color="auto" w:val="clear"/>
            <w:tcMar>
              <w:top w:type="dxa" w:w="90"/>
              <w:left w:type="dxa" w:w="120"/>
              <w:bottom w:type="dxa" w:w="90"/>
              <w:right w:type="dxa" w:w="120"/>
            </w:tcMar>
          </w:tcPr>
          <w:p>
            <w:pPr>
              <w:spacing w:after="0" w:before="0" w:line="260"/>
            </w:pPr>
            <w:r>
              <w:rPr>
                <w:rFonts w:ascii="Quicksand" w:cs="Quicksand" w:eastAsia="Quicksand" w:hAnsi="Quicksand"/>
                <w:b/>
                <w:bCs/>
                <w:i w:val="false"/>
                <w:iCs w:val="false"/>
                <w:color w:val="1A70B8"/>
                <w:sz w:val="19"/>
                <w:szCs w:val="19"/>
              </w:rPr>
              <w:t xml:space="preserve">Antwort</w:t>
            </w:r>
          </w:p>
        </w:tc>
      </w:tr>
      <w:tr>
        <w:trPr>
          <w:cantSplit/>
        </w:trPr>
        <w:tc>
          <w:tcPr>
            <w:tcW w:type="dxa" w:w="6300"/>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60" w:before="0" w:line="260"/>
            </w:pPr>
            <w:r>
              <w:rPr>
                <w:rFonts w:ascii="Quicksand" w:cs="Quicksand" w:eastAsia="Quicksand" w:hAnsi="Quicksand"/>
                <w:b/>
                <w:bCs/>
                <w:i w:val="false"/>
                <w:iCs w:val="false"/>
                <w:color w:val="1A70B8"/>
                <w:sz w:val="20"/>
                <w:szCs w:val="20"/>
              </w:rPr>
              <w:t xml:space="preserve">E1  </w:t>
            </w:r>
            <w:r>
              <w:rPr>
                <w:rFonts w:ascii="Open Sans" w:cs="Open Sans" w:eastAsia="Open Sans" w:hAnsi="Open Sans"/>
                <w:b/>
                <w:bCs/>
                <w:i w:val="false"/>
                <w:iCs w:val="false"/>
                <w:color w:val="3D3D3D"/>
                <w:sz w:val="20"/>
                <w:szCs w:val="20"/>
              </w:rPr>
              <w:t xml:space="preserve">Sind Sie tarifgebunden — und wenn ja, an welchen Tarif?</w:t>
            </w:r>
          </w:p>
          <w:p>
            <w:pPr>
              <w:spacing w:after="40" w:before="0" w:line="260"/>
            </w:pPr>
            <w:r>
              <w:rPr>
                <w:rFonts w:ascii="Open Sans" w:cs="Open Sans" w:eastAsia="Open Sans" w:hAnsi="Open Sans"/>
                <w:b/>
                <w:bCs/>
                <w:i w:val="false"/>
                <w:iCs w:val="false"/>
                <w:color w:val="777777"/>
                <w:sz w:val="17"/>
                <w:szCs w:val="17"/>
              </w:rPr>
              <w:t xml:space="preserve">Warum: </w:t>
            </w:r>
            <w:r>
              <w:rPr>
                <w:rFonts w:ascii="Open Sans" w:cs="Open Sans" w:eastAsia="Open Sans" w:hAnsi="Open Sans"/>
                <w:b w:val="false"/>
                <w:bCs w:val="false"/>
                <w:i w:val="false"/>
                <w:iCs w:val="false"/>
                <w:color w:val="777777"/>
                <w:sz w:val="17"/>
                <w:szCs w:val="17"/>
              </w:rPr>
              <w:t xml:space="preserve">§ 124 Abs. 1 SGB IX bestimmt, dass die Zahlung tariflicher Vergütung nicht als unwirtschaftlich abgelehnt werden darf. Dieser Schutz gilt nur für tarifgebundene Träger.</w:t>
            </w:r>
          </w:p>
          <w:p>
            <w:pPr>
              <w:spacing w:after="0" w:before="0" w:line="260"/>
            </w:pPr>
            <w:r>
              <w:rPr>
                <w:rFonts w:ascii="Open Sans" w:cs="Open Sans" w:eastAsia="Open Sans" w:hAnsi="Open Sans"/>
                <w:b/>
                <w:bCs/>
                <w:i w:val="false"/>
                <w:iCs w:val="false"/>
                <w:color w:val="6E7D00"/>
                <w:sz w:val="17"/>
                <w:szCs w:val="17"/>
              </w:rPr>
              <w:t xml:space="preserve">Unterlage: </w:t>
            </w:r>
            <w:r>
              <w:rPr>
                <w:rFonts w:ascii="Open Sans" w:cs="Open Sans" w:eastAsia="Open Sans" w:hAnsi="Open Sans"/>
                <w:b w:val="false"/>
                <w:bCs w:val="false"/>
                <w:i/>
                <w:iCs/>
                <w:color w:val="6E7D00"/>
                <w:sz w:val="17"/>
                <w:szCs w:val="17"/>
              </w:rPr>
              <w:t xml:space="preserve">Angabe zur Tarifbindung, gegebenenfalls Tarifwerk</w:t>
            </w:r>
          </w:p>
        </w:tc>
        <w:tc>
          <w:tcPr>
            <w:tcW w:type="dxa" w:w="3338"/>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tc>
      </w:tr>
      <w:tr>
        <w:trPr>
          <w:cantSplit/>
        </w:trPr>
        <w:tc>
          <w:tcPr>
            <w:tcW w:type="dxa" w:w="6300"/>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60" w:before="0" w:line="260"/>
            </w:pPr>
            <w:r>
              <w:rPr>
                <w:rFonts w:ascii="Quicksand" w:cs="Quicksand" w:eastAsia="Quicksand" w:hAnsi="Quicksand"/>
                <w:b/>
                <w:bCs/>
                <w:i w:val="false"/>
                <w:iCs w:val="false"/>
                <w:color w:val="1A70B8"/>
                <w:sz w:val="20"/>
                <w:szCs w:val="20"/>
              </w:rPr>
              <w:t xml:space="preserve">E2  </w:t>
            </w:r>
            <w:r>
              <w:rPr>
                <w:rFonts w:ascii="Open Sans" w:cs="Open Sans" w:eastAsia="Open Sans" w:hAnsi="Open Sans"/>
                <w:b/>
                <w:bCs/>
                <w:i w:val="false"/>
                <w:iCs w:val="false"/>
                <w:color w:val="3D3D3D"/>
                <w:sz w:val="20"/>
                <w:szCs w:val="20"/>
              </w:rPr>
              <w:t xml:space="preserve">Wie hoch ist der tatsächliche Stundenlohn brutto, und wie weit reicht die Spanne?</w:t>
            </w:r>
          </w:p>
          <w:p>
            <w:pPr>
              <w:spacing w:after="40" w:before="0" w:line="260"/>
            </w:pPr>
            <w:r>
              <w:rPr>
                <w:rFonts w:ascii="Open Sans" w:cs="Open Sans" w:eastAsia="Open Sans" w:hAnsi="Open Sans"/>
                <w:b/>
                <w:bCs/>
                <w:i w:val="false"/>
                <w:iCs w:val="false"/>
                <w:color w:val="777777"/>
                <w:sz w:val="17"/>
                <w:szCs w:val="17"/>
              </w:rPr>
              <w:t xml:space="preserve">Warum: </w:t>
            </w:r>
            <w:r>
              <w:rPr>
                <w:rFonts w:ascii="Open Sans" w:cs="Open Sans" w:eastAsia="Open Sans" w:hAnsi="Open Sans"/>
                <w:b w:val="false"/>
                <w:bCs w:val="false"/>
                <w:i w:val="false"/>
                <w:iCs w:val="false"/>
                <w:color w:val="777777"/>
                <w:sz w:val="17"/>
                <w:szCs w:val="17"/>
              </w:rPr>
              <w:t xml:space="preserve">Zum Vergleich: Mindestlohn 13,90 € (2026) und 14,60 € (2027). Der Kreis Pinneberg kalkuliert die Klassenassistenz nach TVöD SuE S2 Stufe 5, also rund 19,60 € je Stunde. Wer heute deutlich darunter zahlt, hat Spielraum — wer darüber liegt, hat ein Problem.</w:t>
            </w:r>
          </w:p>
          <w:p>
            <w:pPr>
              <w:spacing w:after="0" w:before="0" w:line="260"/>
            </w:pPr>
            <w:r>
              <w:rPr>
                <w:rFonts w:ascii="Open Sans" w:cs="Open Sans" w:eastAsia="Open Sans" w:hAnsi="Open Sans"/>
                <w:b/>
                <w:bCs/>
                <w:i w:val="false"/>
                <w:iCs w:val="false"/>
                <w:color w:val="6E7D00"/>
                <w:sz w:val="17"/>
                <w:szCs w:val="17"/>
              </w:rPr>
              <w:t xml:space="preserve">Unterlage: </w:t>
            </w:r>
            <w:r>
              <w:rPr>
                <w:rFonts w:ascii="Open Sans" w:cs="Open Sans" w:eastAsia="Open Sans" w:hAnsi="Open Sans"/>
                <w:b w:val="false"/>
                <w:bCs w:val="false"/>
                <w:i/>
                <w:iCs/>
                <w:color w:val="6E7D00"/>
                <w:sz w:val="17"/>
                <w:szCs w:val="17"/>
              </w:rPr>
              <w:t xml:space="preserve">Lohnjournal zwölf Monate, Musterarbeitsvertrag</w:t>
            </w:r>
          </w:p>
        </w:tc>
        <w:tc>
          <w:tcPr>
            <w:tcW w:type="dxa" w:w="3338"/>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tc>
      </w:tr>
      <w:tr>
        <w:trPr>
          <w:cantSplit/>
        </w:trPr>
        <w:tc>
          <w:tcPr>
            <w:tcW w:type="dxa" w:w="6300"/>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60" w:before="0" w:line="260"/>
            </w:pPr>
            <w:r>
              <w:rPr>
                <w:rFonts w:ascii="Quicksand" w:cs="Quicksand" w:eastAsia="Quicksand" w:hAnsi="Quicksand"/>
                <w:b/>
                <w:bCs/>
                <w:i w:val="false"/>
                <w:iCs w:val="false"/>
                <w:color w:val="1A70B8"/>
                <w:sz w:val="20"/>
                <w:szCs w:val="20"/>
              </w:rPr>
              <w:t xml:space="preserve">E3  </w:t>
            </w:r>
            <w:r>
              <w:rPr>
                <w:rFonts w:ascii="Open Sans" w:cs="Open Sans" w:eastAsia="Open Sans" w:hAnsi="Open Sans"/>
                <w:b/>
                <w:bCs/>
                <w:i w:val="false"/>
                <w:iCs w:val="false"/>
                <w:color w:val="3D3D3D"/>
                <w:sz w:val="20"/>
                <w:szCs w:val="20"/>
              </w:rPr>
              <w:t xml:space="preserve">Wie sind die Schulferien vertraglich geregelt — durchbezahlt, Jahresarbeitszeitkonto oder unbezahlt?</w:t>
            </w:r>
          </w:p>
          <w:p>
            <w:pPr>
              <w:spacing w:after="40" w:before="0" w:line="260"/>
            </w:pPr>
            <w:r>
              <w:rPr>
                <w:rFonts w:ascii="Open Sans" w:cs="Open Sans" w:eastAsia="Open Sans" w:hAnsi="Open Sans"/>
                <w:b/>
                <w:bCs/>
                <w:i w:val="false"/>
                <w:iCs w:val="false"/>
                <w:color w:val="777777"/>
                <w:sz w:val="17"/>
                <w:szCs w:val="17"/>
              </w:rPr>
              <w:t xml:space="preserve">Warum: </w:t>
            </w:r>
            <w:r>
              <w:rPr>
                <w:rFonts w:ascii="Open Sans" w:cs="Open Sans" w:eastAsia="Open Sans" w:hAnsi="Open Sans"/>
                <w:b w:val="false"/>
                <w:bCs w:val="false"/>
                <w:i w:val="false"/>
                <w:iCs w:val="false"/>
                <w:color w:val="777777"/>
                <w:sz w:val="17"/>
                <w:szCs w:val="17"/>
              </w:rPr>
              <w:t xml:space="preserve">Das ist der größte einzelne Hebel in der Personalkostenquote. Im Pool lässt er sich nicht mehr über Zusatzstunden ausgleichen.</w:t>
            </w:r>
          </w:p>
          <w:p>
            <w:pPr>
              <w:spacing w:after="0" w:before="0" w:line="260"/>
            </w:pPr>
            <w:r>
              <w:rPr>
                <w:rFonts w:ascii="Open Sans" w:cs="Open Sans" w:eastAsia="Open Sans" w:hAnsi="Open Sans"/>
                <w:b/>
                <w:bCs/>
                <w:i w:val="false"/>
                <w:iCs w:val="false"/>
                <w:color w:val="6E7D00"/>
                <w:sz w:val="17"/>
                <w:szCs w:val="17"/>
              </w:rPr>
              <w:t xml:space="preserve">Unterlage: </w:t>
            </w:r>
            <w:r>
              <w:rPr>
                <w:rFonts w:ascii="Open Sans" w:cs="Open Sans" w:eastAsia="Open Sans" w:hAnsi="Open Sans"/>
                <w:b w:val="false"/>
                <w:bCs w:val="false"/>
                <w:i/>
                <w:iCs/>
                <w:color w:val="6E7D00"/>
                <w:sz w:val="17"/>
                <w:szCs w:val="17"/>
              </w:rPr>
              <w:t xml:space="preserve">Musterarbeitsvertrag, Betriebsvereinbarung falls vorhanden</w:t>
            </w:r>
          </w:p>
        </w:tc>
        <w:tc>
          <w:tcPr>
            <w:tcW w:type="dxa" w:w="3338"/>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tc>
      </w:tr>
      <w:tr>
        <w:trPr>
          <w:cantSplit/>
        </w:trPr>
        <w:tc>
          <w:tcPr>
            <w:tcW w:type="dxa" w:w="6300"/>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60" w:before="0" w:line="260"/>
            </w:pPr>
            <w:r>
              <w:rPr>
                <w:rFonts w:ascii="Quicksand" w:cs="Quicksand" w:eastAsia="Quicksand" w:hAnsi="Quicksand"/>
                <w:b/>
                <w:bCs/>
                <w:i w:val="false"/>
                <w:iCs w:val="false"/>
                <w:color w:val="1A70B8"/>
                <w:sz w:val="20"/>
                <w:szCs w:val="20"/>
              </w:rPr>
              <w:t xml:space="preserve">E4  </w:t>
            </w:r>
            <w:r>
              <w:rPr>
                <w:rFonts w:ascii="Open Sans" w:cs="Open Sans" w:eastAsia="Open Sans" w:hAnsi="Open Sans"/>
                <w:b/>
                <w:bCs/>
                <w:i w:val="false"/>
                <w:iCs w:val="false"/>
                <w:color w:val="3D3D3D"/>
                <w:sz w:val="20"/>
                <w:szCs w:val="20"/>
              </w:rPr>
              <w:t xml:space="preserve">Wie werden Vertretung, Krankheit, Klassenfahrten und Ausflüge heute vergütet?</w:t>
            </w:r>
          </w:p>
          <w:p>
            <w:pPr>
              <w:spacing w:after="40" w:before="0" w:line="260"/>
            </w:pPr>
            <w:r>
              <w:rPr>
                <w:rFonts w:ascii="Open Sans" w:cs="Open Sans" w:eastAsia="Open Sans" w:hAnsi="Open Sans"/>
                <w:b/>
                <w:bCs/>
                <w:i w:val="false"/>
                <w:iCs w:val="false"/>
                <w:color w:val="777777"/>
                <w:sz w:val="17"/>
                <w:szCs w:val="17"/>
              </w:rPr>
              <w:t xml:space="preserve">Warum: </w:t>
            </w:r>
            <w:r>
              <w:rPr>
                <w:rFonts w:ascii="Open Sans" w:cs="Open Sans" w:eastAsia="Open Sans" w:hAnsi="Open Sans"/>
                <w:b w:val="false"/>
                <w:bCs w:val="false"/>
                <w:i w:val="false"/>
                <w:iCs w:val="false"/>
                <w:color w:val="777777"/>
                <w:sz w:val="17"/>
                <w:szCs w:val="17"/>
              </w:rPr>
              <w:t xml:space="preserve">Heute sind Fahrten als Zusatzstunden abrechenbar — in Pinneberg 8 Stunden je Tag ohne vorherigen Antrag. Im Pool zahlt der Träger das aus dem Budget. Der Unterschied ist bezifferbar.</w:t>
            </w:r>
          </w:p>
          <w:p>
            <w:pPr>
              <w:spacing w:after="0" w:before="0" w:line="260"/>
            </w:pPr>
            <w:r>
              <w:rPr>
                <w:rFonts w:ascii="Open Sans" w:cs="Open Sans" w:eastAsia="Open Sans" w:hAnsi="Open Sans"/>
                <w:b/>
                <w:bCs/>
                <w:i w:val="false"/>
                <w:iCs w:val="false"/>
                <w:color w:val="6E7D00"/>
                <w:sz w:val="17"/>
                <w:szCs w:val="17"/>
              </w:rPr>
              <w:t xml:space="preserve">Unterlage: </w:t>
            </w:r>
            <w:r>
              <w:rPr>
                <w:rFonts w:ascii="Open Sans" w:cs="Open Sans" w:eastAsia="Open Sans" w:hAnsi="Open Sans"/>
                <w:b w:val="false"/>
                <w:bCs w:val="false"/>
                <w:i/>
                <w:iCs/>
                <w:color w:val="6E7D00"/>
                <w:sz w:val="17"/>
                <w:szCs w:val="17"/>
              </w:rPr>
              <w:t xml:space="preserve">Abrechnungen von zwölf Monaten mit Zusatzstunden</w:t>
            </w:r>
          </w:p>
        </w:tc>
        <w:tc>
          <w:tcPr>
            <w:tcW w:type="dxa" w:w="3338"/>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tc>
      </w:tr>
      <w:tr>
        <w:trPr>
          <w:cantSplit/>
        </w:trPr>
        <w:tc>
          <w:tcPr>
            <w:tcW w:type="dxa" w:w="6300"/>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60" w:before="0" w:line="260"/>
            </w:pPr>
            <w:r>
              <w:rPr>
                <w:rFonts w:ascii="Quicksand" w:cs="Quicksand" w:eastAsia="Quicksand" w:hAnsi="Quicksand"/>
                <w:b/>
                <w:bCs/>
                <w:i w:val="false"/>
                <w:iCs w:val="false"/>
                <w:color w:val="1A70B8"/>
                <w:sz w:val="20"/>
                <w:szCs w:val="20"/>
              </w:rPr>
              <w:t xml:space="preserve">E5  </w:t>
            </w:r>
            <w:r>
              <w:rPr>
                <w:rFonts w:ascii="Open Sans" w:cs="Open Sans" w:eastAsia="Open Sans" w:hAnsi="Open Sans"/>
                <w:b/>
                <w:bCs/>
                <w:i w:val="false"/>
                <w:iCs w:val="false"/>
                <w:color w:val="3D3D3D"/>
                <w:sz w:val="20"/>
                <w:szCs w:val="20"/>
              </w:rPr>
              <w:t xml:space="preserve">Welche Leistungs- und Vergütungsvereinbarung gilt, mit wem, seit wann — und wann wurde zuletzt verhandelt?</w:t>
            </w:r>
          </w:p>
          <w:p>
            <w:pPr>
              <w:spacing w:after="40" w:before="0" w:line="260"/>
            </w:pPr>
            <w:r>
              <w:rPr>
                <w:rFonts w:ascii="Open Sans" w:cs="Open Sans" w:eastAsia="Open Sans" w:hAnsi="Open Sans"/>
                <w:b/>
                <w:bCs/>
                <w:i w:val="false"/>
                <w:iCs w:val="false"/>
                <w:color w:val="777777"/>
                <w:sz w:val="17"/>
                <w:szCs w:val="17"/>
              </w:rPr>
              <w:t xml:space="preserve">Warum: </w:t>
            </w:r>
            <w:r>
              <w:rPr>
                <w:rFonts w:ascii="Open Sans" w:cs="Open Sans" w:eastAsia="Open Sans" w:hAnsi="Open Sans"/>
                <w:b w:val="false"/>
                <w:bCs w:val="false"/>
                <w:i w:val="false"/>
                <w:iCs w:val="false"/>
                <w:color w:val="777777"/>
                <w:sz w:val="17"/>
                <w:szCs w:val="17"/>
              </w:rPr>
              <w:t xml:space="preserve">Laufzeit und Kündigungsfrist bestimmen, wie lange die heutige Preisbasis trägt. Das Ergebnis der letzten Verhandlung zeigt, wie durchsetzungsfähig SKP gegenüber dem Kreis ist.</w:t>
            </w:r>
          </w:p>
          <w:p>
            <w:pPr>
              <w:spacing w:after="0" w:before="0" w:line="260"/>
            </w:pPr>
            <w:r>
              <w:rPr>
                <w:rFonts w:ascii="Open Sans" w:cs="Open Sans" w:eastAsia="Open Sans" w:hAnsi="Open Sans"/>
                <w:b/>
                <w:bCs/>
                <w:i w:val="false"/>
                <w:iCs w:val="false"/>
                <w:color w:val="6E7D00"/>
                <w:sz w:val="17"/>
                <w:szCs w:val="17"/>
              </w:rPr>
              <w:t xml:space="preserve">Unterlage: </w:t>
            </w:r>
            <w:r>
              <w:rPr>
                <w:rFonts w:ascii="Open Sans" w:cs="Open Sans" w:eastAsia="Open Sans" w:hAnsi="Open Sans"/>
                <w:b w:val="false"/>
                <w:bCs w:val="false"/>
                <w:i/>
                <w:iCs/>
                <w:color w:val="6E7D00"/>
                <w:sz w:val="17"/>
                <w:szCs w:val="17"/>
              </w:rPr>
              <w:t xml:space="preserve">Vereinbarung mit Anlagen, Protokoll der letzten Verhandlung</w:t>
            </w:r>
          </w:p>
        </w:tc>
        <w:tc>
          <w:tcPr>
            <w:tcW w:type="dxa" w:w="3338"/>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tc>
      </w:tr>
    </w:tbl>
    <w:p>
      <w:pPr>
        <w:pStyle w:val="Heading1"/>
        <w:spacing w:after="140" w:before="340"/>
      </w:pPr>
      <w:r>
        <w:rPr>
          <w:rFonts w:ascii="Quicksand" w:cs="Quicksand" w:eastAsia="Quicksand" w:hAnsi="Quicksand"/>
          <w:b/>
          <w:bCs/>
          <w:color w:val="1A70B8"/>
          <w:sz w:val="26"/>
          <w:szCs w:val="26"/>
        </w:rPr>
        <w:t xml:space="preserve">F · Wirtschaftliche Basis</w:t>
      </w:r>
    </w:p>
    <w:p>
      <w:pPr>
        <w:spacing w:after="140" w:before="0" w:line="260"/>
      </w:pPr>
      <w:r>
        <w:rPr>
          <w:rFonts w:ascii="Open Sans" w:cs="Open Sans" w:eastAsia="Open Sans" w:hAnsi="Open Sans"/>
          <w:b w:val="false"/>
          <w:bCs w:val="false"/>
          <w:i w:val="false"/>
          <w:iCs w:val="false"/>
          <w:color w:val="777777"/>
          <w:sz w:val="18"/>
          <w:szCs w:val="18"/>
        </w:rPr>
        <w:t xml:space="preserve">Die Zahlen, die wir ohnehin brauchen — mit Blick auf die Reform gelesen.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00"/>
        <w:gridCol w:w="3338"/>
      </w:tblGrid>
      <w:tr>
        <w:trPr>
          <w:tblHeader/>
        </w:trPr>
        <w:tc>
          <w:tcPr>
            <w:tcW w:type="dxa" w:w="6300"/>
            <w:tcBorders>
              <w:top w:val="single" w:color="DDDDDD" w:sz="2"/>
              <w:left w:val="none" w:color="FFFFFF" w:sz="0"/>
              <w:bottom w:val="single" w:color="DDDDDD" w:sz="2"/>
              <w:right w:val="none" w:color="FFFFFF" w:sz="0"/>
            </w:tcBorders>
            <w:shd w:fill="EAF1F8" w:color="auto" w:val="clear"/>
            <w:tcMar>
              <w:top w:type="dxa" w:w="90"/>
              <w:left w:type="dxa" w:w="120"/>
              <w:bottom w:type="dxa" w:w="90"/>
              <w:right w:type="dxa" w:w="120"/>
            </w:tcMar>
          </w:tcPr>
          <w:p>
            <w:pPr>
              <w:spacing w:after="0" w:before="0" w:line="260"/>
            </w:pPr>
            <w:r>
              <w:rPr>
                <w:rFonts w:ascii="Quicksand" w:cs="Quicksand" w:eastAsia="Quicksand" w:hAnsi="Quicksand"/>
                <w:b/>
                <w:bCs/>
                <w:i w:val="false"/>
                <w:iCs w:val="false"/>
                <w:color w:val="1A70B8"/>
                <w:sz w:val="19"/>
                <w:szCs w:val="19"/>
              </w:rPr>
              <w:t xml:space="preserve">Frage</w:t>
            </w:r>
          </w:p>
        </w:tc>
        <w:tc>
          <w:tcPr>
            <w:tcW w:type="dxa" w:w="3338"/>
            <w:tcBorders>
              <w:top w:val="single" w:color="DDDDDD" w:sz="2"/>
              <w:left w:val="none" w:color="FFFFFF" w:sz="0"/>
              <w:bottom w:val="single" w:color="DDDDDD" w:sz="2"/>
              <w:right w:val="none" w:color="FFFFFF" w:sz="0"/>
            </w:tcBorders>
            <w:shd w:fill="EAF1F8" w:color="auto" w:val="clear"/>
            <w:tcMar>
              <w:top w:type="dxa" w:w="90"/>
              <w:left w:type="dxa" w:w="120"/>
              <w:bottom w:type="dxa" w:w="90"/>
              <w:right w:type="dxa" w:w="120"/>
            </w:tcMar>
          </w:tcPr>
          <w:p>
            <w:pPr>
              <w:spacing w:after="0" w:before="0" w:line="260"/>
            </w:pPr>
            <w:r>
              <w:rPr>
                <w:rFonts w:ascii="Quicksand" w:cs="Quicksand" w:eastAsia="Quicksand" w:hAnsi="Quicksand"/>
                <w:b/>
                <w:bCs/>
                <w:i w:val="false"/>
                <w:iCs w:val="false"/>
                <w:color w:val="1A70B8"/>
                <w:sz w:val="19"/>
                <w:szCs w:val="19"/>
              </w:rPr>
              <w:t xml:space="preserve">Antwort</w:t>
            </w:r>
          </w:p>
        </w:tc>
      </w:tr>
      <w:tr>
        <w:trPr>
          <w:cantSplit/>
        </w:trPr>
        <w:tc>
          <w:tcPr>
            <w:tcW w:type="dxa" w:w="6300"/>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60" w:before="0" w:line="260"/>
            </w:pPr>
            <w:r>
              <w:rPr>
                <w:rFonts w:ascii="Quicksand" w:cs="Quicksand" w:eastAsia="Quicksand" w:hAnsi="Quicksand"/>
                <w:b/>
                <w:bCs/>
                <w:i w:val="false"/>
                <w:iCs w:val="false"/>
                <w:color w:val="1A70B8"/>
                <w:sz w:val="20"/>
                <w:szCs w:val="20"/>
              </w:rPr>
              <w:t xml:space="preserve">F1  </w:t>
            </w:r>
            <w:r>
              <w:rPr>
                <w:rFonts w:ascii="Open Sans" w:cs="Open Sans" w:eastAsia="Open Sans" w:hAnsi="Open Sans"/>
                <w:b/>
                <w:bCs/>
                <w:i w:val="false"/>
                <w:iCs w:val="false"/>
                <w:color w:val="3D3D3D"/>
                <w:sz w:val="20"/>
                <w:szCs w:val="20"/>
              </w:rPr>
              <w:t xml:space="preserve">Umsatz und Ergebnis der letzten drei Geschäftsjahre, getrennt nach Leistungsart?</w:t>
            </w:r>
          </w:p>
          <w:p>
            <w:pPr>
              <w:spacing w:after="40" w:before="0" w:line="260"/>
            </w:pPr>
            <w:r>
              <w:rPr>
                <w:rFonts w:ascii="Open Sans" w:cs="Open Sans" w:eastAsia="Open Sans" w:hAnsi="Open Sans"/>
                <w:b/>
                <w:bCs/>
                <w:i w:val="false"/>
                <w:iCs w:val="false"/>
                <w:color w:val="777777"/>
                <w:sz w:val="17"/>
                <w:szCs w:val="17"/>
              </w:rPr>
              <w:t xml:space="preserve">Warum: </w:t>
            </w:r>
            <w:r>
              <w:rPr>
                <w:rFonts w:ascii="Open Sans" w:cs="Open Sans" w:eastAsia="Open Sans" w:hAnsi="Open Sans"/>
                <w:b w:val="false"/>
                <w:bCs w:val="false"/>
                <w:i w:val="false"/>
                <w:iCs w:val="false"/>
                <w:color w:val="777777"/>
                <w:sz w:val="17"/>
                <w:szCs w:val="17"/>
              </w:rPr>
              <w:t xml:space="preserve">Grundlage der Bewertung — und zugleich eine Eignungsanforderung im Vergabeverfahren (siehe C4).</w:t>
            </w:r>
          </w:p>
          <w:p>
            <w:pPr>
              <w:spacing w:after="0" w:before="0" w:line="260"/>
            </w:pPr>
            <w:r>
              <w:rPr>
                <w:rFonts w:ascii="Open Sans" w:cs="Open Sans" w:eastAsia="Open Sans" w:hAnsi="Open Sans"/>
                <w:b/>
                <w:bCs/>
                <w:i w:val="false"/>
                <w:iCs w:val="false"/>
                <w:color w:val="6E7D00"/>
                <w:sz w:val="17"/>
                <w:szCs w:val="17"/>
              </w:rPr>
              <w:t xml:space="preserve">Unterlage: </w:t>
            </w:r>
            <w:r>
              <w:rPr>
                <w:rFonts w:ascii="Open Sans" w:cs="Open Sans" w:eastAsia="Open Sans" w:hAnsi="Open Sans"/>
                <w:b w:val="false"/>
                <w:bCs w:val="false"/>
                <w:i/>
                <w:iCs/>
                <w:color w:val="6E7D00"/>
                <w:sz w:val="17"/>
                <w:szCs w:val="17"/>
              </w:rPr>
              <w:t xml:space="preserve">Jahresabschlüsse, BWA, Umsatzaufteilung</w:t>
            </w:r>
          </w:p>
        </w:tc>
        <w:tc>
          <w:tcPr>
            <w:tcW w:type="dxa" w:w="3338"/>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tc>
      </w:tr>
      <w:tr>
        <w:trPr>
          <w:cantSplit/>
        </w:trPr>
        <w:tc>
          <w:tcPr>
            <w:tcW w:type="dxa" w:w="6300"/>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60" w:before="0" w:line="260"/>
            </w:pPr>
            <w:r>
              <w:rPr>
                <w:rFonts w:ascii="Quicksand" w:cs="Quicksand" w:eastAsia="Quicksand" w:hAnsi="Quicksand"/>
                <w:b/>
                <w:bCs/>
                <w:i w:val="false"/>
                <w:iCs w:val="false"/>
                <w:color w:val="1A70B8"/>
                <w:sz w:val="20"/>
                <w:szCs w:val="20"/>
              </w:rPr>
              <w:t xml:space="preserve">F2  </w:t>
            </w:r>
            <w:r>
              <w:rPr>
                <w:rFonts w:ascii="Open Sans" w:cs="Open Sans" w:eastAsia="Open Sans" w:hAnsi="Open Sans"/>
                <w:b/>
                <w:bCs/>
                <w:i w:val="false"/>
                <w:iCs w:val="false"/>
                <w:color w:val="3D3D3D"/>
                <w:sz w:val="20"/>
                <w:szCs w:val="20"/>
              </w:rPr>
              <w:t xml:space="preserve">Wie hoch ist die Personalkostenquote?</w:t>
            </w:r>
          </w:p>
          <w:p>
            <w:pPr>
              <w:spacing w:after="40" w:before="0" w:line="260"/>
            </w:pPr>
            <w:r>
              <w:rPr>
                <w:rFonts w:ascii="Open Sans" w:cs="Open Sans" w:eastAsia="Open Sans" w:hAnsi="Open Sans"/>
                <w:b/>
                <w:bCs/>
                <w:i w:val="false"/>
                <w:iCs w:val="false"/>
                <w:color w:val="777777"/>
                <w:sz w:val="17"/>
                <w:szCs w:val="17"/>
              </w:rPr>
              <w:t xml:space="preserve">Warum: </w:t>
            </w:r>
            <w:r>
              <w:rPr>
                <w:rFonts w:ascii="Open Sans" w:cs="Open Sans" w:eastAsia="Open Sans" w:hAnsi="Open Sans"/>
                <w:b w:val="false"/>
                <w:bCs w:val="false"/>
                <w:i w:val="false"/>
                <w:iCs w:val="false"/>
                <w:color w:val="777777"/>
                <w:sz w:val="17"/>
                <w:szCs w:val="17"/>
              </w:rPr>
              <w:t xml:space="preserve">Sie bestimmt, wie stark ein Festpreis über bis zu neun Jahre auf das Ergebnis durchschlägt.</w:t>
            </w:r>
          </w:p>
          <w:p>
            <w:pPr>
              <w:spacing w:after="0" w:before="0" w:line="260"/>
            </w:pPr>
            <w:r>
              <w:rPr>
                <w:rFonts w:ascii="Open Sans" w:cs="Open Sans" w:eastAsia="Open Sans" w:hAnsi="Open Sans"/>
                <w:b/>
                <w:bCs/>
                <w:i w:val="false"/>
                <w:iCs w:val="false"/>
                <w:color w:val="6E7D00"/>
                <w:sz w:val="17"/>
                <w:szCs w:val="17"/>
              </w:rPr>
              <w:t xml:space="preserve">Unterlage: </w:t>
            </w:r>
            <w:r>
              <w:rPr>
                <w:rFonts w:ascii="Open Sans" w:cs="Open Sans" w:eastAsia="Open Sans" w:hAnsi="Open Sans"/>
                <w:b w:val="false"/>
                <w:bCs w:val="false"/>
                <w:i/>
                <w:iCs/>
                <w:color w:val="6E7D00"/>
                <w:sz w:val="17"/>
                <w:szCs w:val="17"/>
              </w:rPr>
              <w:t xml:space="preserve">GuV-Auswertung drei Jahre</w:t>
            </w:r>
          </w:p>
        </w:tc>
        <w:tc>
          <w:tcPr>
            <w:tcW w:type="dxa" w:w="3338"/>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tc>
      </w:tr>
      <w:tr>
        <w:trPr>
          <w:cantSplit/>
        </w:trPr>
        <w:tc>
          <w:tcPr>
            <w:tcW w:type="dxa" w:w="6300"/>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60" w:before="0" w:line="260"/>
            </w:pPr>
            <w:r>
              <w:rPr>
                <w:rFonts w:ascii="Quicksand" w:cs="Quicksand" w:eastAsia="Quicksand" w:hAnsi="Quicksand"/>
                <w:b/>
                <w:bCs/>
                <w:i w:val="false"/>
                <w:iCs w:val="false"/>
                <w:color w:val="1A70B8"/>
                <w:sz w:val="20"/>
                <w:szCs w:val="20"/>
              </w:rPr>
              <w:t xml:space="preserve">F3  </w:t>
            </w:r>
            <w:r>
              <w:rPr>
                <w:rFonts w:ascii="Open Sans" w:cs="Open Sans" w:eastAsia="Open Sans" w:hAnsi="Open Sans"/>
                <w:b/>
                <w:bCs/>
                <w:i w:val="false"/>
                <w:iCs w:val="false"/>
                <w:color w:val="3D3D3D"/>
                <w:sz w:val="20"/>
                <w:szCs w:val="20"/>
              </w:rPr>
              <w:t xml:space="preserve">Wie sieht der Umsatzverlauf über ein Schuljahr aus?</w:t>
            </w:r>
          </w:p>
          <w:p>
            <w:pPr>
              <w:spacing w:after="40" w:before="0" w:line="260"/>
            </w:pPr>
            <w:r>
              <w:rPr>
                <w:rFonts w:ascii="Open Sans" w:cs="Open Sans" w:eastAsia="Open Sans" w:hAnsi="Open Sans"/>
                <w:b/>
                <w:bCs/>
                <w:i w:val="false"/>
                <w:iCs w:val="false"/>
                <w:color w:val="777777"/>
                <w:sz w:val="17"/>
                <w:szCs w:val="17"/>
              </w:rPr>
              <w:t xml:space="preserve">Warum: </w:t>
            </w:r>
            <w:r>
              <w:rPr>
                <w:rFonts w:ascii="Open Sans" w:cs="Open Sans" w:eastAsia="Open Sans" w:hAnsi="Open Sans"/>
                <w:b w:val="false"/>
                <w:bCs w:val="false"/>
                <w:i w:val="false"/>
                <w:iCs w:val="false"/>
                <w:color w:val="777777"/>
                <w:sz w:val="17"/>
                <w:szCs w:val="17"/>
              </w:rPr>
              <w:t xml:space="preserve">Schulbegleitung ist ausgeprägt saisonal. Für die Liquiditätsplanung nach Übernahme brauchen wir den Monatsverlauf, nicht den Jahreswert.</w:t>
            </w:r>
          </w:p>
          <w:p>
            <w:pPr>
              <w:spacing w:after="0" w:before="0" w:line="260"/>
            </w:pPr>
            <w:r>
              <w:rPr>
                <w:rFonts w:ascii="Open Sans" w:cs="Open Sans" w:eastAsia="Open Sans" w:hAnsi="Open Sans"/>
                <w:b/>
                <w:bCs/>
                <w:i w:val="false"/>
                <w:iCs w:val="false"/>
                <w:color w:val="6E7D00"/>
                <w:sz w:val="17"/>
                <w:szCs w:val="17"/>
              </w:rPr>
              <w:t xml:space="preserve">Unterlage: </w:t>
            </w:r>
            <w:r>
              <w:rPr>
                <w:rFonts w:ascii="Open Sans" w:cs="Open Sans" w:eastAsia="Open Sans" w:hAnsi="Open Sans"/>
                <w:b w:val="false"/>
                <w:bCs w:val="false"/>
                <w:i/>
                <w:iCs/>
                <w:color w:val="6E7D00"/>
                <w:sz w:val="17"/>
                <w:szCs w:val="17"/>
              </w:rPr>
              <w:t xml:space="preserve">Monatsumsätze über 24 Monate</w:t>
            </w:r>
          </w:p>
        </w:tc>
        <w:tc>
          <w:tcPr>
            <w:tcW w:type="dxa" w:w="3338"/>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tc>
      </w:tr>
      <w:tr>
        <w:trPr>
          <w:cantSplit/>
        </w:trPr>
        <w:tc>
          <w:tcPr>
            <w:tcW w:type="dxa" w:w="6300"/>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60" w:before="0" w:line="260"/>
            </w:pPr>
            <w:r>
              <w:rPr>
                <w:rFonts w:ascii="Quicksand" w:cs="Quicksand" w:eastAsia="Quicksand" w:hAnsi="Quicksand"/>
                <w:b/>
                <w:bCs/>
                <w:i w:val="false"/>
                <w:iCs w:val="false"/>
                <w:color w:val="1A70B8"/>
                <w:sz w:val="20"/>
                <w:szCs w:val="20"/>
              </w:rPr>
              <w:t xml:space="preserve">F4  </w:t>
            </w:r>
            <w:r>
              <w:rPr>
                <w:rFonts w:ascii="Open Sans" w:cs="Open Sans" w:eastAsia="Open Sans" w:hAnsi="Open Sans"/>
                <w:b/>
                <w:bCs/>
                <w:i w:val="false"/>
                <w:iCs w:val="false"/>
                <w:color w:val="3D3D3D"/>
                <w:sz w:val="20"/>
                <w:szCs w:val="20"/>
              </w:rPr>
              <w:t xml:space="preserve">Wie zahlt der Kreis — Zahlungsziel, Zahlungsverhalten, offener Forderungsbestand?</w:t>
            </w:r>
          </w:p>
          <w:p>
            <w:pPr>
              <w:spacing w:after="40" w:before="0" w:line="260"/>
            </w:pPr>
            <w:r>
              <w:rPr>
                <w:rFonts w:ascii="Open Sans" w:cs="Open Sans" w:eastAsia="Open Sans" w:hAnsi="Open Sans"/>
                <w:b/>
                <w:bCs/>
                <w:i w:val="false"/>
                <w:iCs w:val="false"/>
                <w:color w:val="777777"/>
                <w:sz w:val="17"/>
                <w:szCs w:val="17"/>
              </w:rPr>
              <w:t xml:space="preserve">Warum: </w:t>
            </w:r>
            <w:r>
              <w:rPr>
                <w:rFonts w:ascii="Open Sans" w:cs="Open Sans" w:eastAsia="Open Sans" w:hAnsi="Open Sans"/>
                <w:b w:val="false"/>
                <w:bCs w:val="false"/>
                <w:i w:val="false"/>
                <w:iCs w:val="false"/>
                <w:color w:val="777777"/>
                <w:sz w:val="17"/>
                <w:szCs w:val="17"/>
              </w:rPr>
              <w:t xml:space="preserve">Verzögerte Bescheide und späte Zahlungen sind in der Schulbegleitung verbreitet und binden Working Capital.</w:t>
            </w:r>
          </w:p>
          <w:p>
            <w:pPr>
              <w:spacing w:after="0" w:before="0" w:line="260"/>
            </w:pPr>
            <w:r>
              <w:rPr>
                <w:rFonts w:ascii="Open Sans" w:cs="Open Sans" w:eastAsia="Open Sans" w:hAnsi="Open Sans"/>
                <w:b/>
                <w:bCs/>
                <w:i w:val="false"/>
                <w:iCs w:val="false"/>
                <w:color w:val="6E7D00"/>
                <w:sz w:val="17"/>
                <w:szCs w:val="17"/>
              </w:rPr>
              <w:t xml:space="preserve">Unterlage: </w:t>
            </w:r>
            <w:r>
              <w:rPr>
                <w:rFonts w:ascii="Open Sans" w:cs="Open Sans" w:eastAsia="Open Sans" w:hAnsi="Open Sans"/>
                <w:b w:val="false"/>
                <w:bCs w:val="false"/>
                <w:i/>
                <w:iCs/>
                <w:color w:val="6E7D00"/>
                <w:sz w:val="17"/>
                <w:szCs w:val="17"/>
              </w:rPr>
              <w:t xml:space="preserve">Offene-Posten-Liste, durchschnittliche Zahlungsdauer</w:t>
            </w:r>
          </w:p>
        </w:tc>
        <w:tc>
          <w:tcPr>
            <w:tcW w:type="dxa" w:w="3338"/>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tc>
      </w:tr>
      <w:tr>
        <w:trPr>
          <w:cantSplit/>
        </w:trPr>
        <w:tc>
          <w:tcPr>
            <w:tcW w:type="dxa" w:w="6300"/>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60" w:before="0" w:line="260"/>
            </w:pPr>
            <w:r>
              <w:rPr>
                <w:rFonts w:ascii="Quicksand" w:cs="Quicksand" w:eastAsia="Quicksand" w:hAnsi="Quicksand"/>
                <w:b/>
                <w:bCs/>
                <w:i w:val="false"/>
                <w:iCs w:val="false"/>
                <w:color w:val="1A70B8"/>
                <w:sz w:val="20"/>
                <w:szCs w:val="20"/>
              </w:rPr>
              <w:t xml:space="preserve">F5  </w:t>
            </w:r>
            <w:r>
              <w:rPr>
                <w:rFonts w:ascii="Open Sans" w:cs="Open Sans" w:eastAsia="Open Sans" w:hAnsi="Open Sans"/>
                <w:b/>
                <w:bCs/>
                <w:i w:val="false"/>
                <w:iCs w:val="false"/>
                <w:color w:val="3D3D3D"/>
                <w:sz w:val="20"/>
                <w:szCs w:val="20"/>
              </w:rPr>
              <w:t xml:space="preserve">Gibt es ein zweites Standbein neben der Schulbegleitung?</w:t>
            </w:r>
          </w:p>
          <w:p>
            <w:pPr>
              <w:spacing w:after="40" w:before="0" w:line="260"/>
            </w:pPr>
            <w:r>
              <w:rPr>
                <w:rFonts w:ascii="Open Sans" w:cs="Open Sans" w:eastAsia="Open Sans" w:hAnsi="Open Sans"/>
                <w:b/>
                <w:bCs/>
                <w:i w:val="false"/>
                <w:iCs w:val="false"/>
                <w:color w:val="777777"/>
                <w:sz w:val="17"/>
                <w:szCs w:val="17"/>
              </w:rPr>
              <w:t xml:space="preserve">Warum: </w:t>
            </w:r>
            <w:r>
              <w:rPr>
                <w:rFonts w:ascii="Open Sans" w:cs="Open Sans" w:eastAsia="Open Sans" w:hAnsi="Open Sans"/>
                <w:b w:val="false"/>
                <w:bCs w:val="false"/>
                <w:i w:val="false"/>
                <w:iCs w:val="false"/>
                <w:color w:val="777777"/>
                <w:sz w:val="17"/>
                <w:szCs w:val="17"/>
              </w:rPr>
              <w:t xml:space="preserve">Die Website nennt zusätzlich Beratung. Ein zweites Standbein senkt die Abhängigkeit von einer einzigen Vergabeentscheidung erheblich.</w:t>
            </w:r>
          </w:p>
          <w:p>
            <w:pPr>
              <w:spacing w:after="0" w:before="0" w:line="260"/>
            </w:pPr>
            <w:r>
              <w:rPr>
                <w:rFonts w:ascii="Open Sans" w:cs="Open Sans" w:eastAsia="Open Sans" w:hAnsi="Open Sans"/>
                <w:b/>
                <w:bCs/>
                <w:i w:val="false"/>
                <w:iCs w:val="false"/>
                <w:color w:val="6E7D00"/>
                <w:sz w:val="17"/>
                <w:szCs w:val="17"/>
              </w:rPr>
              <w:t xml:space="preserve">Unterlage: </w:t>
            </w:r>
            <w:r>
              <w:rPr>
                <w:rFonts w:ascii="Open Sans" w:cs="Open Sans" w:eastAsia="Open Sans" w:hAnsi="Open Sans"/>
                <w:b w:val="false"/>
                <w:bCs w:val="false"/>
                <w:i/>
                <w:iCs/>
                <w:color w:val="6E7D00"/>
                <w:sz w:val="17"/>
                <w:szCs w:val="17"/>
              </w:rPr>
              <w:t xml:space="preserve">Umsatz je Leistungsart, drei Jahre</w:t>
            </w:r>
          </w:p>
        </w:tc>
        <w:tc>
          <w:tcPr>
            <w:tcW w:type="dxa" w:w="3338"/>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tc>
      </w:tr>
    </w:tbl>
    <w:p>
      <w:pPr>
        <w:pStyle w:val="Heading1"/>
        <w:spacing w:after="140" w:before="340"/>
      </w:pPr>
      <w:r>
        <w:rPr>
          <w:rFonts w:ascii="Quicksand" w:cs="Quicksand" w:eastAsia="Quicksand" w:hAnsi="Quicksand"/>
          <w:b/>
          <w:bCs/>
          <w:color w:val="1A70B8"/>
          <w:sz w:val="26"/>
          <w:szCs w:val="26"/>
        </w:rPr>
        <w:t xml:space="preserve">G · Eigentümerin und Übergang</w:t>
      </w:r>
    </w:p>
    <w:p>
      <w:pPr>
        <w:spacing w:after="140" w:before="0" w:line="260"/>
      </w:pPr>
      <w:r>
        <w:rPr>
          <w:rFonts w:ascii="Open Sans" w:cs="Open Sans" w:eastAsia="Open Sans" w:hAnsi="Open Sans"/>
          <w:b w:val="false"/>
          <w:bCs w:val="false"/>
          <w:i w:val="false"/>
          <w:iCs w:val="false"/>
          <w:color w:val="777777"/>
          <w:sz w:val="18"/>
          <w:szCs w:val="18"/>
        </w:rPr>
        <w:t xml:space="preserve">Was am Menschen hängt und was am Unternehmen.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00"/>
        <w:gridCol w:w="3338"/>
      </w:tblGrid>
      <w:tr>
        <w:trPr>
          <w:tblHeader/>
        </w:trPr>
        <w:tc>
          <w:tcPr>
            <w:tcW w:type="dxa" w:w="6300"/>
            <w:tcBorders>
              <w:top w:val="single" w:color="DDDDDD" w:sz="2"/>
              <w:left w:val="none" w:color="FFFFFF" w:sz="0"/>
              <w:bottom w:val="single" w:color="DDDDDD" w:sz="2"/>
              <w:right w:val="none" w:color="FFFFFF" w:sz="0"/>
            </w:tcBorders>
            <w:shd w:fill="EAF1F8" w:color="auto" w:val="clear"/>
            <w:tcMar>
              <w:top w:type="dxa" w:w="90"/>
              <w:left w:type="dxa" w:w="120"/>
              <w:bottom w:type="dxa" w:w="90"/>
              <w:right w:type="dxa" w:w="120"/>
            </w:tcMar>
          </w:tcPr>
          <w:p>
            <w:pPr>
              <w:spacing w:after="0" w:before="0" w:line="260"/>
            </w:pPr>
            <w:r>
              <w:rPr>
                <w:rFonts w:ascii="Quicksand" w:cs="Quicksand" w:eastAsia="Quicksand" w:hAnsi="Quicksand"/>
                <w:b/>
                <w:bCs/>
                <w:i w:val="false"/>
                <w:iCs w:val="false"/>
                <w:color w:val="1A70B8"/>
                <w:sz w:val="19"/>
                <w:szCs w:val="19"/>
              </w:rPr>
              <w:t xml:space="preserve">Frage</w:t>
            </w:r>
          </w:p>
        </w:tc>
        <w:tc>
          <w:tcPr>
            <w:tcW w:type="dxa" w:w="3338"/>
            <w:tcBorders>
              <w:top w:val="single" w:color="DDDDDD" w:sz="2"/>
              <w:left w:val="none" w:color="FFFFFF" w:sz="0"/>
              <w:bottom w:val="single" w:color="DDDDDD" w:sz="2"/>
              <w:right w:val="none" w:color="FFFFFF" w:sz="0"/>
            </w:tcBorders>
            <w:shd w:fill="EAF1F8" w:color="auto" w:val="clear"/>
            <w:tcMar>
              <w:top w:type="dxa" w:w="90"/>
              <w:left w:type="dxa" w:w="120"/>
              <w:bottom w:type="dxa" w:w="90"/>
              <w:right w:type="dxa" w:w="120"/>
            </w:tcMar>
          </w:tcPr>
          <w:p>
            <w:pPr>
              <w:spacing w:after="0" w:before="0" w:line="260"/>
            </w:pPr>
            <w:r>
              <w:rPr>
                <w:rFonts w:ascii="Quicksand" w:cs="Quicksand" w:eastAsia="Quicksand" w:hAnsi="Quicksand"/>
                <w:b/>
                <w:bCs/>
                <w:i w:val="false"/>
                <w:iCs w:val="false"/>
                <w:color w:val="1A70B8"/>
                <w:sz w:val="19"/>
                <w:szCs w:val="19"/>
              </w:rPr>
              <w:t xml:space="preserve">Antwort</w:t>
            </w:r>
          </w:p>
        </w:tc>
      </w:tr>
      <w:tr>
        <w:trPr>
          <w:cantSplit/>
        </w:trPr>
        <w:tc>
          <w:tcPr>
            <w:tcW w:type="dxa" w:w="6300"/>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60" w:before="0" w:line="260"/>
            </w:pPr>
            <w:r>
              <w:rPr>
                <w:rFonts w:ascii="Quicksand" w:cs="Quicksand" w:eastAsia="Quicksand" w:hAnsi="Quicksand"/>
                <w:b/>
                <w:bCs/>
                <w:i w:val="false"/>
                <w:iCs w:val="false"/>
                <w:color w:val="1A70B8"/>
                <w:sz w:val="20"/>
                <w:szCs w:val="20"/>
              </w:rPr>
              <w:t xml:space="preserve">G1  </w:t>
            </w:r>
            <w:r>
              <w:rPr>
                <w:rFonts w:ascii="Open Sans" w:cs="Open Sans" w:eastAsia="Open Sans" w:hAnsi="Open Sans"/>
                <w:b/>
                <w:bCs/>
                <w:i w:val="false"/>
                <w:iCs w:val="false"/>
                <w:color w:val="3D3D3D"/>
                <w:sz w:val="20"/>
                <w:szCs w:val="20"/>
              </w:rPr>
              <w:t xml:space="preserve">Welche Aufgaben hängen persönlich an Ihnen?</w:t>
            </w:r>
          </w:p>
          <w:p>
            <w:pPr>
              <w:spacing w:after="40" w:before="0" w:line="260"/>
            </w:pPr>
            <w:r>
              <w:rPr>
                <w:rFonts w:ascii="Open Sans" w:cs="Open Sans" w:eastAsia="Open Sans" w:hAnsi="Open Sans"/>
                <w:b/>
                <w:bCs/>
                <w:i w:val="false"/>
                <w:iCs w:val="false"/>
                <w:color w:val="777777"/>
                <w:sz w:val="17"/>
                <w:szCs w:val="17"/>
              </w:rPr>
              <w:t xml:space="preserve">Warum: </w:t>
            </w:r>
            <w:r>
              <w:rPr>
                <w:rFonts w:ascii="Open Sans" w:cs="Open Sans" w:eastAsia="Open Sans" w:hAnsi="Open Sans"/>
                <w:b w:val="false"/>
                <w:bCs w:val="false"/>
                <w:i w:val="false"/>
                <w:iCs w:val="false"/>
                <w:color w:val="777777"/>
                <w:sz w:val="17"/>
                <w:szCs w:val="17"/>
              </w:rPr>
              <w:t xml:space="preserve">Akquise, Schulkontakte, Personalauswahl, Abrechnung, Gremienarbeit — je mehr davon an einer Person hängt, desto größer das Übergangsrisiko.</w:t>
            </w:r>
          </w:p>
          <w:p>
            <w:pPr>
              <w:spacing w:after="0" w:before="0" w:line="260"/>
            </w:pPr>
            <w:r>
              <w:rPr>
                <w:rFonts w:ascii="Open Sans" w:cs="Open Sans" w:eastAsia="Open Sans" w:hAnsi="Open Sans"/>
                <w:b/>
                <w:bCs/>
                <w:i w:val="false"/>
                <w:iCs w:val="false"/>
                <w:color w:val="6E7D00"/>
                <w:sz w:val="17"/>
                <w:szCs w:val="17"/>
              </w:rPr>
              <w:t xml:space="preserve">Unterlage: </w:t>
            </w:r>
            <w:r>
              <w:rPr>
                <w:rFonts w:ascii="Open Sans" w:cs="Open Sans" w:eastAsia="Open Sans" w:hAnsi="Open Sans"/>
                <w:b w:val="false"/>
                <w:bCs w:val="false"/>
                <w:i/>
                <w:iCs/>
                <w:color w:val="6E7D00"/>
                <w:sz w:val="17"/>
                <w:szCs w:val="17"/>
              </w:rPr>
              <w:t xml:space="preserve">Aufgabenverteilung, Organigramm</w:t>
            </w:r>
          </w:p>
        </w:tc>
        <w:tc>
          <w:tcPr>
            <w:tcW w:type="dxa" w:w="3338"/>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tc>
      </w:tr>
      <w:tr>
        <w:trPr>
          <w:cantSplit/>
        </w:trPr>
        <w:tc>
          <w:tcPr>
            <w:tcW w:type="dxa" w:w="6300"/>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60" w:before="0" w:line="260"/>
            </w:pPr>
            <w:r>
              <w:rPr>
                <w:rFonts w:ascii="Quicksand" w:cs="Quicksand" w:eastAsia="Quicksand" w:hAnsi="Quicksand"/>
                <w:b/>
                <w:bCs/>
                <w:i w:val="false"/>
                <w:iCs w:val="false"/>
                <w:color w:val="1A70B8"/>
                <w:sz w:val="20"/>
                <w:szCs w:val="20"/>
              </w:rPr>
              <w:t xml:space="preserve">G2  </w:t>
            </w:r>
            <w:r>
              <w:rPr>
                <w:rFonts w:ascii="Open Sans" w:cs="Open Sans" w:eastAsia="Open Sans" w:hAnsi="Open Sans"/>
                <w:b/>
                <w:bCs/>
                <w:i w:val="false"/>
                <w:iCs w:val="false"/>
                <w:color w:val="3D3D3D"/>
                <w:sz w:val="20"/>
                <w:szCs w:val="20"/>
              </w:rPr>
              <w:t xml:space="preserve">Gibt es eine zweite Führungsebene, und wer vertritt Sie?</w:t>
            </w:r>
          </w:p>
          <w:p>
            <w:pPr>
              <w:spacing w:after="40" w:before="0" w:line="260"/>
            </w:pPr>
            <w:r>
              <w:rPr>
                <w:rFonts w:ascii="Open Sans" w:cs="Open Sans" w:eastAsia="Open Sans" w:hAnsi="Open Sans"/>
                <w:b/>
                <w:bCs/>
                <w:i w:val="false"/>
                <w:iCs w:val="false"/>
                <w:color w:val="777777"/>
                <w:sz w:val="17"/>
                <w:szCs w:val="17"/>
              </w:rPr>
              <w:t xml:space="preserve">Warum: </w:t>
            </w:r>
            <w:r>
              <w:rPr>
                <w:rFonts w:ascii="Open Sans" w:cs="Open Sans" w:eastAsia="Open Sans" w:hAnsi="Open Sans"/>
                <w:b w:val="false"/>
                <w:bCs w:val="false"/>
                <w:i w:val="false"/>
                <w:iCs w:val="false"/>
                <w:color w:val="777777"/>
                <w:sz w:val="17"/>
                <w:szCs w:val="17"/>
              </w:rPr>
              <w:t xml:space="preserve">Im Poolmodell wird ohnehin eine Teamleitungsebene gebraucht. Wer sie schon hat, muss sie nicht erst aufbauen.</w:t>
            </w:r>
          </w:p>
          <w:p>
            <w:pPr>
              <w:spacing w:after="0" w:before="0" w:line="260"/>
            </w:pPr>
            <w:r>
              <w:rPr>
                <w:rFonts w:ascii="Open Sans" w:cs="Open Sans" w:eastAsia="Open Sans" w:hAnsi="Open Sans"/>
                <w:b/>
                <w:bCs/>
                <w:i w:val="false"/>
                <w:iCs w:val="false"/>
                <w:color w:val="6E7D00"/>
                <w:sz w:val="17"/>
                <w:szCs w:val="17"/>
              </w:rPr>
              <w:t xml:space="preserve">Unterlage: </w:t>
            </w:r>
            <w:r>
              <w:rPr>
                <w:rFonts w:ascii="Open Sans" w:cs="Open Sans" w:eastAsia="Open Sans" w:hAnsi="Open Sans"/>
                <w:b w:val="false"/>
                <w:bCs w:val="false"/>
                <w:i/>
                <w:iCs/>
                <w:color w:val="6E7D00"/>
                <w:sz w:val="17"/>
                <w:szCs w:val="17"/>
              </w:rPr>
              <w:t xml:space="preserve">Organigramm, Stellenbeschreibungen</w:t>
            </w:r>
          </w:p>
        </w:tc>
        <w:tc>
          <w:tcPr>
            <w:tcW w:type="dxa" w:w="3338"/>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tc>
      </w:tr>
      <w:tr>
        <w:trPr>
          <w:cantSplit/>
        </w:trPr>
        <w:tc>
          <w:tcPr>
            <w:tcW w:type="dxa" w:w="6300"/>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60" w:before="0" w:line="260"/>
            </w:pPr>
            <w:r>
              <w:rPr>
                <w:rFonts w:ascii="Quicksand" w:cs="Quicksand" w:eastAsia="Quicksand" w:hAnsi="Quicksand"/>
                <w:b/>
                <w:bCs/>
                <w:i w:val="false"/>
                <w:iCs w:val="false"/>
                <w:color w:val="1A70B8"/>
                <w:sz w:val="20"/>
                <w:szCs w:val="20"/>
              </w:rPr>
              <w:t xml:space="preserve">G3  </w:t>
            </w:r>
            <w:r>
              <w:rPr>
                <w:rFonts w:ascii="Open Sans" w:cs="Open Sans" w:eastAsia="Open Sans" w:hAnsi="Open Sans"/>
                <w:b/>
                <w:bCs/>
                <w:i w:val="false"/>
                <w:iCs w:val="false"/>
                <w:color w:val="3D3D3D"/>
                <w:sz w:val="20"/>
                <w:szCs w:val="20"/>
              </w:rPr>
              <w:t xml:space="preserve">Sind Ihre Beziehungen zu Schulleitungen und zum Jugendamt persönlich oder schriftlich verankert?</w:t>
            </w:r>
          </w:p>
          <w:p>
            <w:pPr>
              <w:spacing w:after="40" w:before="0" w:line="260"/>
            </w:pPr>
            <w:r>
              <w:rPr>
                <w:rFonts w:ascii="Open Sans" w:cs="Open Sans" w:eastAsia="Open Sans" w:hAnsi="Open Sans"/>
                <w:b/>
                <w:bCs/>
                <w:i w:val="false"/>
                <w:iCs w:val="false"/>
                <w:color w:val="777777"/>
                <w:sz w:val="17"/>
                <w:szCs w:val="17"/>
              </w:rPr>
              <w:t xml:space="preserve">Warum: </w:t>
            </w:r>
            <w:r>
              <w:rPr>
                <w:rFonts w:ascii="Open Sans" w:cs="Open Sans" w:eastAsia="Open Sans" w:hAnsi="Open Sans"/>
                <w:b w:val="false"/>
                <w:bCs w:val="false"/>
                <w:i w:val="false"/>
                <w:iCs w:val="false"/>
                <w:color w:val="777777"/>
                <w:sz w:val="17"/>
                <w:szCs w:val="17"/>
              </w:rPr>
              <w:t xml:space="preserve">Ein Pool kommt nur „im Einvernehmen mit der Schulleitung“ zustande. Diese Beziehungen sind der eigentliche Vermögenswert — und genau der, der bei einem Eigentümerwechsel verloren gehen kann.</w:t>
            </w:r>
          </w:p>
          <w:p>
            <w:pPr>
              <w:spacing w:after="0" w:before="0" w:line="260"/>
            </w:pPr>
            <w:r>
              <w:rPr>
                <w:rFonts w:ascii="Open Sans" w:cs="Open Sans" w:eastAsia="Open Sans" w:hAnsi="Open Sans"/>
                <w:b/>
                <w:bCs/>
                <w:i w:val="false"/>
                <w:iCs w:val="false"/>
                <w:color w:val="6E7D00"/>
                <w:sz w:val="17"/>
                <w:szCs w:val="17"/>
              </w:rPr>
              <w:t xml:space="preserve">Unterlage: </w:t>
            </w:r>
            <w:r>
              <w:rPr>
                <w:rFonts w:ascii="Open Sans" w:cs="Open Sans" w:eastAsia="Open Sans" w:hAnsi="Open Sans"/>
                <w:b w:val="false"/>
                <w:bCs w:val="false"/>
                <w:i/>
                <w:iCs/>
                <w:color w:val="6E7D00"/>
                <w:sz w:val="17"/>
                <w:szCs w:val="17"/>
              </w:rPr>
              <w:t xml:space="preserve">Kooperationsvereinbarungen, Schulliste mit namentlichen Ansprechpartnern</w:t>
            </w:r>
          </w:p>
        </w:tc>
        <w:tc>
          <w:tcPr>
            <w:tcW w:type="dxa" w:w="3338"/>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tc>
      </w:tr>
      <w:tr>
        <w:trPr>
          <w:cantSplit/>
        </w:trPr>
        <w:tc>
          <w:tcPr>
            <w:tcW w:type="dxa" w:w="6300"/>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60" w:before="0" w:line="260"/>
            </w:pPr>
            <w:r>
              <w:rPr>
                <w:rFonts w:ascii="Quicksand" w:cs="Quicksand" w:eastAsia="Quicksand" w:hAnsi="Quicksand"/>
                <w:b/>
                <w:bCs/>
                <w:i w:val="false"/>
                <w:iCs w:val="false"/>
                <w:color w:val="1A70B8"/>
                <w:sz w:val="20"/>
                <w:szCs w:val="20"/>
              </w:rPr>
              <w:t xml:space="preserve">G4  </w:t>
            </w:r>
            <w:r>
              <w:rPr>
                <w:rFonts w:ascii="Open Sans" w:cs="Open Sans" w:eastAsia="Open Sans" w:hAnsi="Open Sans"/>
                <w:b/>
                <w:bCs/>
                <w:i w:val="false"/>
                <w:iCs w:val="false"/>
                <w:color w:val="3D3D3D"/>
                <w:sz w:val="20"/>
                <w:szCs w:val="20"/>
              </w:rPr>
              <w:t xml:space="preserve">Wären Sie bereit, nach einem Verkauf für eine Übergangszeit an Bord zu bleiben?</w:t>
            </w:r>
          </w:p>
          <w:p>
            <w:pPr>
              <w:spacing w:after="40" w:before="0" w:line="260"/>
            </w:pPr>
            <w:r>
              <w:rPr>
                <w:rFonts w:ascii="Open Sans" w:cs="Open Sans" w:eastAsia="Open Sans" w:hAnsi="Open Sans"/>
                <w:b/>
                <w:bCs/>
                <w:i w:val="false"/>
                <w:iCs w:val="false"/>
                <w:color w:val="777777"/>
                <w:sz w:val="17"/>
                <w:szCs w:val="17"/>
              </w:rPr>
              <w:t xml:space="preserve">Warum: </w:t>
            </w:r>
            <w:r>
              <w:rPr>
                <w:rFonts w:ascii="Open Sans" w:cs="Open Sans" w:eastAsia="Open Sans" w:hAnsi="Open Sans"/>
                <w:b w:val="false"/>
                <w:bCs w:val="false"/>
                <w:i w:val="false"/>
                <w:iCs w:val="false"/>
                <w:color w:val="777777"/>
                <w:sz w:val="17"/>
                <w:szCs w:val="17"/>
              </w:rPr>
              <w:t xml:space="preserve">Ergibt sich unmittelbar aus G1 und G3. Die Dauer ist verhandelbar, die Notwendigkeit meist nicht.</w:t>
            </w:r>
          </w:p>
          <w:p>
            <w:pPr>
              <w:spacing w:after="0" w:before="0" w:line="260"/>
            </w:pPr>
            <w:r>
              <w:rPr>
                <w:rFonts w:ascii="Open Sans" w:cs="Open Sans" w:eastAsia="Open Sans" w:hAnsi="Open Sans"/>
                <w:b/>
                <w:bCs/>
                <w:i w:val="false"/>
                <w:iCs w:val="false"/>
                <w:color w:val="6E7D00"/>
                <w:sz w:val="17"/>
                <w:szCs w:val="17"/>
              </w:rPr>
              <w:t xml:space="preserve">Unterlage: </w:t>
            </w:r>
            <w:r>
              <w:rPr>
                <w:rFonts w:ascii="Open Sans" w:cs="Open Sans" w:eastAsia="Open Sans" w:hAnsi="Open Sans"/>
                <w:b w:val="false"/>
                <w:bCs w:val="false"/>
                <w:i/>
                <w:iCs/>
                <w:color w:val="6E7D00"/>
                <w:sz w:val="17"/>
                <w:szCs w:val="17"/>
              </w:rPr>
              <w:t xml:space="preserve">—</w:t>
            </w:r>
          </w:p>
        </w:tc>
        <w:tc>
          <w:tcPr>
            <w:tcW w:type="dxa" w:w="3338"/>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tc>
      </w:tr>
      <w:tr>
        <w:trPr>
          <w:cantSplit/>
        </w:trPr>
        <w:tc>
          <w:tcPr>
            <w:tcW w:type="dxa" w:w="6300"/>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60" w:before="0" w:line="260"/>
            </w:pPr>
            <w:r>
              <w:rPr>
                <w:rFonts w:ascii="Quicksand" w:cs="Quicksand" w:eastAsia="Quicksand" w:hAnsi="Quicksand"/>
                <w:b/>
                <w:bCs/>
                <w:i w:val="false"/>
                <w:iCs w:val="false"/>
                <w:color w:val="1A70B8"/>
                <w:sz w:val="20"/>
                <w:szCs w:val="20"/>
              </w:rPr>
              <w:t xml:space="preserve">G5  </w:t>
            </w:r>
            <w:r>
              <w:rPr>
                <w:rFonts w:ascii="Open Sans" w:cs="Open Sans" w:eastAsia="Open Sans" w:hAnsi="Open Sans"/>
                <w:b/>
                <w:bCs/>
                <w:i w:val="false"/>
                <w:iCs w:val="false"/>
                <w:color w:val="3D3D3D"/>
                <w:sz w:val="20"/>
                <w:szCs w:val="20"/>
              </w:rPr>
              <w:t xml:space="preserve">Warum verkaufen Sie, und warum jetzt?</w:t>
            </w:r>
          </w:p>
          <w:p>
            <w:pPr>
              <w:spacing w:after="40" w:before="0" w:line="260"/>
            </w:pPr>
            <w:r>
              <w:rPr>
                <w:rFonts w:ascii="Open Sans" w:cs="Open Sans" w:eastAsia="Open Sans" w:hAnsi="Open Sans"/>
                <w:b/>
                <w:bCs/>
                <w:i w:val="false"/>
                <w:iCs w:val="false"/>
                <w:color w:val="777777"/>
                <w:sz w:val="17"/>
                <w:szCs w:val="17"/>
              </w:rPr>
              <w:t xml:space="preserve">Warum: </w:t>
            </w:r>
            <w:r>
              <w:rPr>
                <w:rFonts w:ascii="Open Sans" w:cs="Open Sans" w:eastAsia="Open Sans" w:hAnsi="Open Sans"/>
                <w:b w:val="false"/>
                <w:bCs w:val="false"/>
                <w:i w:val="false"/>
                <w:iCs w:val="false"/>
                <w:color w:val="777777"/>
                <w:sz w:val="17"/>
                <w:szCs w:val="17"/>
              </w:rPr>
              <w:t xml:space="preserve">Die ehrlichste Frage der Liste. Die Antwort sagt mehr über die Risiken aus als jede Kennzahl — besonders, wenn die Reform darin vorkommt.</w:t>
            </w:r>
          </w:p>
          <w:p>
            <w:pPr>
              <w:spacing w:after="0" w:before="0" w:line="260"/>
            </w:pPr>
            <w:r>
              <w:rPr>
                <w:rFonts w:ascii="Open Sans" w:cs="Open Sans" w:eastAsia="Open Sans" w:hAnsi="Open Sans"/>
                <w:b/>
                <w:bCs/>
                <w:i w:val="false"/>
                <w:iCs w:val="false"/>
                <w:color w:val="6E7D00"/>
                <w:sz w:val="17"/>
                <w:szCs w:val="17"/>
              </w:rPr>
              <w:t xml:space="preserve">Unterlage: </w:t>
            </w:r>
            <w:r>
              <w:rPr>
                <w:rFonts w:ascii="Open Sans" w:cs="Open Sans" w:eastAsia="Open Sans" w:hAnsi="Open Sans"/>
                <w:b w:val="false"/>
                <w:bCs w:val="false"/>
                <w:i/>
                <w:iCs/>
                <w:color w:val="6E7D00"/>
                <w:sz w:val="17"/>
                <w:szCs w:val="17"/>
              </w:rPr>
              <w:t xml:space="preserve">—</w:t>
            </w:r>
          </w:p>
        </w:tc>
        <w:tc>
          <w:tcPr>
            <w:tcW w:type="dxa" w:w="3338"/>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tc>
      </w:tr>
      <w:tr>
        <w:trPr>
          <w:cantSplit/>
        </w:trPr>
        <w:tc>
          <w:tcPr>
            <w:tcW w:type="dxa" w:w="6300"/>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60" w:before="0" w:line="260"/>
            </w:pPr>
            <w:r>
              <w:rPr>
                <w:rFonts w:ascii="Quicksand" w:cs="Quicksand" w:eastAsia="Quicksand" w:hAnsi="Quicksand"/>
                <w:b/>
                <w:bCs/>
                <w:i w:val="false"/>
                <w:iCs w:val="false"/>
                <w:color w:val="1A70B8"/>
                <w:sz w:val="20"/>
                <w:szCs w:val="20"/>
              </w:rPr>
              <w:t xml:space="preserve">G6  </w:t>
            </w:r>
            <w:r>
              <w:rPr>
                <w:rFonts w:ascii="Open Sans" w:cs="Open Sans" w:eastAsia="Open Sans" w:hAnsi="Open Sans"/>
                <w:b/>
                <w:bCs/>
                <w:i w:val="false"/>
                <w:iCs w:val="false"/>
                <w:color w:val="3D3D3D"/>
                <w:sz w:val="20"/>
                <w:szCs w:val="20"/>
              </w:rPr>
              <w:t xml:space="preserve">Sprechen Sie mit weiteren Interessenten, etwa mit FiB oder Familienräume?</w:t>
            </w:r>
          </w:p>
          <w:p>
            <w:pPr>
              <w:spacing w:after="40" w:before="0" w:line="260"/>
            </w:pPr>
            <w:r>
              <w:rPr>
                <w:rFonts w:ascii="Open Sans" w:cs="Open Sans" w:eastAsia="Open Sans" w:hAnsi="Open Sans"/>
                <w:b/>
                <w:bCs/>
                <w:i w:val="false"/>
                <w:iCs w:val="false"/>
                <w:color w:val="777777"/>
                <w:sz w:val="17"/>
                <w:szCs w:val="17"/>
              </w:rPr>
              <w:t xml:space="preserve">Warum: </w:t>
            </w:r>
            <w:r>
              <w:rPr>
                <w:rFonts w:ascii="Open Sans" w:cs="Open Sans" w:eastAsia="Open Sans" w:hAnsi="Open Sans"/>
                <w:b w:val="false"/>
                <w:bCs w:val="false"/>
                <w:i w:val="false"/>
                <w:iCs w:val="false"/>
                <w:color w:val="777777"/>
                <w:sz w:val="17"/>
                <w:szCs w:val="17"/>
              </w:rPr>
              <w:t xml:space="preserve">Beide sitzen im selben Kreis. Ein Zusammenschluss unter den drei Pinneberger Anbietern wäre im Vergabeverfahren eine ernstzunehmende Alternative zu einem Verkauf an uns.</w:t>
            </w:r>
          </w:p>
          <w:p>
            <w:pPr>
              <w:spacing w:after="0" w:before="0" w:line="260"/>
            </w:pPr>
            <w:r>
              <w:rPr>
                <w:rFonts w:ascii="Open Sans" w:cs="Open Sans" w:eastAsia="Open Sans" w:hAnsi="Open Sans"/>
                <w:b/>
                <w:bCs/>
                <w:i w:val="false"/>
                <w:iCs w:val="false"/>
                <w:color w:val="6E7D00"/>
                <w:sz w:val="17"/>
                <w:szCs w:val="17"/>
              </w:rPr>
              <w:t xml:space="preserve">Unterlage: </w:t>
            </w:r>
            <w:r>
              <w:rPr>
                <w:rFonts w:ascii="Open Sans" w:cs="Open Sans" w:eastAsia="Open Sans" w:hAnsi="Open Sans"/>
                <w:b w:val="false"/>
                <w:bCs w:val="false"/>
                <w:i/>
                <w:iCs/>
                <w:color w:val="6E7D00"/>
                <w:sz w:val="17"/>
                <w:szCs w:val="17"/>
              </w:rPr>
              <w:t xml:space="preserve">—</w:t>
            </w:r>
          </w:p>
        </w:tc>
        <w:tc>
          <w:tcPr>
            <w:tcW w:type="dxa" w:w="3338"/>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tc>
      </w:tr>
    </w:tbl>
    <w:p>
      <w:pPr>
        <w:pStyle w:val="Heading1"/>
        <w:spacing w:after="140" w:before="340"/>
      </w:pPr>
      <w:r>
        <w:rPr>
          <w:rFonts w:ascii="Quicksand" w:cs="Quicksand" w:eastAsia="Quicksand" w:hAnsi="Quicksand"/>
          <w:b/>
          <w:bCs/>
          <w:color w:val="1A70B8"/>
          <w:sz w:val="26"/>
          <w:szCs w:val="26"/>
        </w:rPr>
        <w:t xml:space="preserve">H · Markt und Wettbewerb</w:t>
      </w:r>
    </w:p>
    <w:p>
      <w:pPr>
        <w:spacing w:after="140" w:before="0" w:line="260"/>
      </w:pPr>
      <w:r>
        <w:rPr>
          <w:rFonts w:ascii="Open Sans" w:cs="Open Sans" w:eastAsia="Open Sans" w:hAnsi="Open Sans"/>
          <w:b w:val="false"/>
          <w:bCs w:val="false"/>
          <w:i w:val="false"/>
          <w:iCs w:val="false"/>
          <w:color w:val="777777"/>
          <w:sz w:val="18"/>
          <w:szCs w:val="18"/>
        </w:rPr>
        <w:t xml:space="preserve">Was die Eigentümerin weiß und wir nicht recherchieren können.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00"/>
        <w:gridCol w:w="3338"/>
      </w:tblGrid>
      <w:tr>
        <w:trPr>
          <w:tblHeader/>
        </w:trPr>
        <w:tc>
          <w:tcPr>
            <w:tcW w:type="dxa" w:w="6300"/>
            <w:tcBorders>
              <w:top w:val="single" w:color="DDDDDD" w:sz="2"/>
              <w:left w:val="none" w:color="FFFFFF" w:sz="0"/>
              <w:bottom w:val="single" w:color="DDDDDD" w:sz="2"/>
              <w:right w:val="none" w:color="FFFFFF" w:sz="0"/>
            </w:tcBorders>
            <w:shd w:fill="EAF1F8" w:color="auto" w:val="clear"/>
            <w:tcMar>
              <w:top w:type="dxa" w:w="90"/>
              <w:left w:type="dxa" w:w="120"/>
              <w:bottom w:type="dxa" w:w="90"/>
              <w:right w:type="dxa" w:w="120"/>
            </w:tcMar>
          </w:tcPr>
          <w:p>
            <w:pPr>
              <w:spacing w:after="0" w:before="0" w:line="260"/>
            </w:pPr>
            <w:r>
              <w:rPr>
                <w:rFonts w:ascii="Quicksand" w:cs="Quicksand" w:eastAsia="Quicksand" w:hAnsi="Quicksand"/>
                <w:b/>
                <w:bCs/>
                <w:i w:val="false"/>
                <w:iCs w:val="false"/>
                <w:color w:val="1A70B8"/>
                <w:sz w:val="19"/>
                <w:szCs w:val="19"/>
              </w:rPr>
              <w:t xml:space="preserve">Frage</w:t>
            </w:r>
          </w:p>
        </w:tc>
        <w:tc>
          <w:tcPr>
            <w:tcW w:type="dxa" w:w="3338"/>
            <w:tcBorders>
              <w:top w:val="single" w:color="DDDDDD" w:sz="2"/>
              <w:left w:val="none" w:color="FFFFFF" w:sz="0"/>
              <w:bottom w:val="single" w:color="DDDDDD" w:sz="2"/>
              <w:right w:val="none" w:color="FFFFFF" w:sz="0"/>
            </w:tcBorders>
            <w:shd w:fill="EAF1F8" w:color="auto" w:val="clear"/>
            <w:tcMar>
              <w:top w:type="dxa" w:w="90"/>
              <w:left w:type="dxa" w:w="120"/>
              <w:bottom w:type="dxa" w:w="90"/>
              <w:right w:type="dxa" w:w="120"/>
            </w:tcMar>
          </w:tcPr>
          <w:p>
            <w:pPr>
              <w:spacing w:after="0" w:before="0" w:line="260"/>
            </w:pPr>
            <w:r>
              <w:rPr>
                <w:rFonts w:ascii="Quicksand" w:cs="Quicksand" w:eastAsia="Quicksand" w:hAnsi="Quicksand"/>
                <w:b/>
                <w:bCs/>
                <w:i w:val="false"/>
                <w:iCs w:val="false"/>
                <w:color w:val="1A70B8"/>
                <w:sz w:val="19"/>
                <w:szCs w:val="19"/>
              </w:rPr>
              <w:t xml:space="preserve">Antwort</w:t>
            </w:r>
          </w:p>
        </w:tc>
      </w:tr>
      <w:tr>
        <w:trPr>
          <w:cantSplit/>
        </w:trPr>
        <w:tc>
          <w:tcPr>
            <w:tcW w:type="dxa" w:w="6300"/>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60" w:before="0" w:line="260"/>
            </w:pPr>
            <w:r>
              <w:rPr>
                <w:rFonts w:ascii="Quicksand" w:cs="Quicksand" w:eastAsia="Quicksand" w:hAnsi="Quicksand"/>
                <w:b/>
                <w:bCs/>
                <w:i w:val="false"/>
                <w:iCs w:val="false"/>
                <w:color w:val="1A70B8"/>
                <w:sz w:val="20"/>
                <w:szCs w:val="20"/>
              </w:rPr>
              <w:t xml:space="preserve">H1  </w:t>
            </w:r>
            <w:r>
              <w:rPr>
                <w:rFonts w:ascii="Open Sans" w:cs="Open Sans" w:eastAsia="Open Sans" w:hAnsi="Open Sans"/>
                <w:b/>
                <w:bCs/>
                <w:i w:val="false"/>
                <w:iCs w:val="false"/>
                <w:color w:val="3D3D3D"/>
                <w:sz w:val="20"/>
                <w:szCs w:val="20"/>
              </w:rPr>
              <w:t xml:space="preserve">Wie schätzen Sie FiB und Familienräume ein — wo überschneiden sich die Gebiete?</w:t>
            </w:r>
          </w:p>
          <w:p>
            <w:pPr>
              <w:spacing w:after="40" w:before="0" w:line="260"/>
            </w:pPr>
            <w:r>
              <w:rPr>
                <w:rFonts w:ascii="Open Sans" w:cs="Open Sans" w:eastAsia="Open Sans" w:hAnsi="Open Sans"/>
                <w:b/>
                <w:bCs/>
                <w:i w:val="false"/>
                <w:iCs w:val="false"/>
                <w:color w:val="777777"/>
                <w:sz w:val="17"/>
                <w:szCs w:val="17"/>
              </w:rPr>
              <w:t xml:space="preserve">Warum: </w:t>
            </w:r>
            <w:r>
              <w:rPr>
                <w:rFonts w:ascii="Open Sans" w:cs="Open Sans" w:eastAsia="Open Sans" w:hAnsi="Open Sans"/>
                <w:b w:val="false"/>
                <w:bCs w:val="false"/>
                <w:i w:val="false"/>
                <w:iCs w:val="false"/>
                <w:color w:val="777777"/>
                <w:sz w:val="17"/>
                <w:szCs w:val="17"/>
              </w:rPr>
              <w:t xml:space="preserve">Beide sind ebenfalls im Kreis Pinneberg tätig, FiB zusätzlich in Hamburg. Familienräume ist der Träger des Poolmodells in Tornesch/Uetersen. Wer im Verfahren gegen wen antritt, entscheidet über den Preis.</w:t>
            </w:r>
          </w:p>
          <w:p>
            <w:pPr>
              <w:spacing w:after="0" w:before="0" w:line="260"/>
            </w:pPr>
            <w:r>
              <w:rPr>
                <w:rFonts w:ascii="Open Sans" w:cs="Open Sans" w:eastAsia="Open Sans" w:hAnsi="Open Sans"/>
                <w:b/>
                <w:bCs/>
                <w:i w:val="false"/>
                <w:iCs w:val="false"/>
                <w:color w:val="6E7D00"/>
                <w:sz w:val="17"/>
                <w:szCs w:val="17"/>
              </w:rPr>
              <w:t xml:space="preserve">Unterlage: </w:t>
            </w:r>
            <w:r>
              <w:rPr>
                <w:rFonts w:ascii="Open Sans" w:cs="Open Sans" w:eastAsia="Open Sans" w:hAnsi="Open Sans"/>
                <w:b w:val="false"/>
                <w:bCs w:val="false"/>
                <w:i/>
                <w:iCs/>
                <w:color w:val="6E7D00"/>
                <w:sz w:val="17"/>
                <w:szCs w:val="17"/>
              </w:rPr>
              <w:t xml:space="preserve">Eigene Einschätzung, Schulen mit Überschneidung</w:t>
            </w:r>
          </w:p>
        </w:tc>
        <w:tc>
          <w:tcPr>
            <w:tcW w:type="dxa" w:w="3338"/>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tc>
      </w:tr>
      <w:tr>
        <w:trPr>
          <w:cantSplit/>
        </w:trPr>
        <w:tc>
          <w:tcPr>
            <w:tcW w:type="dxa" w:w="6300"/>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60" w:before="0" w:line="260"/>
            </w:pPr>
            <w:r>
              <w:rPr>
                <w:rFonts w:ascii="Quicksand" w:cs="Quicksand" w:eastAsia="Quicksand" w:hAnsi="Quicksand"/>
                <w:b/>
                <w:bCs/>
                <w:i w:val="false"/>
                <w:iCs w:val="false"/>
                <w:color w:val="1A70B8"/>
                <w:sz w:val="20"/>
                <w:szCs w:val="20"/>
              </w:rPr>
              <w:t xml:space="preserve">H2  </w:t>
            </w:r>
            <w:r>
              <w:rPr>
                <w:rFonts w:ascii="Open Sans" w:cs="Open Sans" w:eastAsia="Open Sans" w:hAnsi="Open Sans"/>
                <w:b/>
                <w:bCs/>
                <w:i w:val="false"/>
                <w:iCs w:val="false"/>
                <w:color w:val="3D3D3D"/>
                <w:sz w:val="20"/>
                <w:szCs w:val="20"/>
              </w:rPr>
              <w:t xml:space="preserve">Sind Sie in Gremien vertreten — Arbeitsgemeinschaft nach § 78 SGB VIII, Arbeitskreise des Kreises, Trägerrunden?</w:t>
            </w:r>
          </w:p>
          <w:p>
            <w:pPr>
              <w:spacing w:after="40" w:before="0" w:line="260"/>
            </w:pPr>
            <w:r>
              <w:rPr>
                <w:rFonts w:ascii="Open Sans" w:cs="Open Sans" w:eastAsia="Open Sans" w:hAnsi="Open Sans"/>
                <w:b/>
                <w:bCs/>
                <w:i w:val="false"/>
                <w:iCs w:val="false"/>
                <w:color w:val="777777"/>
                <w:sz w:val="17"/>
                <w:szCs w:val="17"/>
              </w:rPr>
              <w:t xml:space="preserve">Warum: </w:t>
            </w:r>
            <w:r>
              <w:rPr>
                <w:rFonts w:ascii="Open Sans" w:cs="Open Sans" w:eastAsia="Open Sans" w:hAnsi="Open Sans"/>
                <w:b w:val="false"/>
                <w:bCs w:val="false"/>
                <w:i w:val="false"/>
                <w:iCs w:val="false"/>
                <w:color w:val="777777"/>
                <w:sz w:val="17"/>
                <w:szCs w:val="17"/>
              </w:rPr>
              <w:t xml:space="preserve">Gremienpräsenz ist der Kanal, über den Kreise ihre Modelle vorbereiten. Wer dort sitzt, erfährt Zeitpläne, bevor sie veröffentlicht werden.</w:t>
            </w:r>
          </w:p>
          <w:p>
            <w:pPr>
              <w:spacing w:after="0" w:before="0" w:line="260"/>
            </w:pPr>
            <w:r>
              <w:rPr>
                <w:rFonts w:ascii="Open Sans" w:cs="Open Sans" w:eastAsia="Open Sans" w:hAnsi="Open Sans"/>
                <w:b/>
                <w:bCs/>
                <w:i w:val="false"/>
                <w:iCs w:val="false"/>
                <w:color w:val="6E7D00"/>
                <w:sz w:val="17"/>
                <w:szCs w:val="17"/>
              </w:rPr>
              <w:t xml:space="preserve">Unterlage: </w:t>
            </w:r>
            <w:r>
              <w:rPr>
                <w:rFonts w:ascii="Open Sans" w:cs="Open Sans" w:eastAsia="Open Sans" w:hAnsi="Open Sans"/>
                <w:b w:val="false"/>
                <w:bCs w:val="false"/>
                <w:i/>
                <w:iCs/>
                <w:color w:val="6E7D00"/>
                <w:sz w:val="17"/>
                <w:szCs w:val="17"/>
              </w:rPr>
              <w:t xml:space="preserve">Mitgliedschaften, Einladungen, Protokolle</w:t>
            </w:r>
          </w:p>
        </w:tc>
        <w:tc>
          <w:tcPr>
            <w:tcW w:type="dxa" w:w="3338"/>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tc>
      </w:tr>
      <w:tr>
        <w:trPr>
          <w:cantSplit/>
        </w:trPr>
        <w:tc>
          <w:tcPr>
            <w:tcW w:type="dxa" w:w="6300"/>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60" w:before="0" w:line="260"/>
            </w:pPr>
            <w:r>
              <w:rPr>
                <w:rFonts w:ascii="Quicksand" w:cs="Quicksand" w:eastAsia="Quicksand" w:hAnsi="Quicksand"/>
                <w:b/>
                <w:bCs/>
                <w:i w:val="false"/>
                <w:iCs w:val="false"/>
                <w:color w:val="1A70B8"/>
                <w:sz w:val="20"/>
                <w:szCs w:val="20"/>
              </w:rPr>
              <w:t xml:space="preserve">H3  </w:t>
            </w:r>
            <w:r>
              <w:rPr>
                <w:rFonts w:ascii="Open Sans" w:cs="Open Sans" w:eastAsia="Open Sans" w:hAnsi="Open Sans"/>
                <w:b/>
                <w:bCs/>
                <w:i w:val="false"/>
                <w:iCs w:val="false"/>
                <w:color w:val="3D3D3D"/>
                <w:sz w:val="20"/>
                <w:szCs w:val="20"/>
              </w:rPr>
              <w:t xml:space="preserve">Gab es Anfragen von Schulen oder Ämtern außerhalb des Kreises Pinneberg?</w:t>
            </w:r>
          </w:p>
          <w:p>
            <w:pPr>
              <w:spacing w:after="40" w:before="0" w:line="260"/>
            </w:pPr>
            <w:r>
              <w:rPr>
                <w:rFonts w:ascii="Open Sans" w:cs="Open Sans" w:eastAsia="Open Sans" w:hAnsi="Open Sans"/>
                <w:b/>
                <w:bCs/>
                <w:i w:val="false"/>
                <w:iCs w:val="false"/>
                <w:color w:val="777777"/>
                <w:sz w:val="17"/>
                <w:szCs w:val="17"/>
              </w:rPr>
              <w:t xml:space="preserve">Warum: </w:t>
            </w:r>
            <w:r>
              <w:rPr>
                <w:rFonts w:ascii="Open Sans" w:cs="Open Sans" w:eastAsia="Open Sans" w:hAnsi="Open Sans"/>
                <w:b w:val="false"/>
                <w:bCs w:val="false"/>
                <w:i w:val="false"/>
                <w:iCs w:val="false"/>
                <w:color w:val="777777"/>
                <w:sz w:val="17"/>
                <w:szCs w:val="17"/>
              </w:rPr>
              <w:t xml:space="preserve">Zeigt, ob eine Ausweitung realistisch ist — und ob der Name über die Kreisgrenze hinaus bekannt ist.</w:t>
            </w:r>
          </w:p>
          <w:p>
            <w:pPr>
              <w:spacing w:after="0" w:before="0" w:line="260"/>
            </w:pPr>
            <w:r>
              <w:rPr>
                <w:rFonts w:ascii="Open Sans" w:cs="Open Sans" w:eastAsia="Open Sans" w:hAnsi="Open Sans"/>
                <w:b/>
                <w:bCs/>
                <w:i w:val="false"/>
                <w:iCs w:val="false"/>
                <w:color w:val="6E7D00"/>
                <w:sz w:val="17"/>
                <w:szCs w:val="17"/>
              </w:rPr>
              <w:t xml:space="preserve">Unterlage: </w:t>
            </w:r>
            <w:r>
              <w:rPr>
                <w:rFonts w:ascii="Open Sans" w:cs="Open Sans" w:eastAsia="Open Sans" w:hAnsi="Open Sans"/>
                <w:b w:val="false"/>
                <w:bCs w:val="false"/>
                <w:i/>
                <w:iCs/>
                <w:color w:val="6E7D00"/>
                <w:sz w:val="17"/>
                <w:szCs w:val="17"/>
              </w:rPr>
              <w:t xml:space="preserve">Anfragen der letzten zwei Jahre</w:t>
            </w:r>
          </w:p>
        </w:tc>
        <w:tc>
          <w:tcPr>
            <w:tcW w:type="dxa" w:w="3338"/>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tc>
      </w:tr>
      <w:tr>
        <w:trPr>
          <w:cantSplit/>
        </w:trPr>
        <w:tc>
          <w:tcPr>
            <w:tcW w:type="dxa" w:w="6300"/>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60" w:before="0" w:line="260"/>
            </w:pPr>
            <w:r>
              <w:rPr>
                <w:rFonts w:ascii="Quicksand" w:cs="Quicksand" w:eastAsia="Quicksand" w:hAnsi="Quicksand"/>
                <w:b/>
                <w:bCs/>
                <w:i w:val="false"/>
                <w:iCs w:val="false"/>
                <w:color w:val="1A70B8"/>
                <w:sz w:val="20"/>
                <w:szCs w:val="20"/>
              </w:rPr>
              <w:t xml:space="preserve">H4  </w:t>
            </w:r>
            <w:r>
              <w:rPr>
                <w:rFonts w:ascii="Open Sans" w:cs="Open Sans" w:eastAsia="Open Sans" w:hAnsi="Open Sans"/>
                <w:b/>
                <w:bCs/>
                <w:i w:val="false"/>
                <w:iCs w:val="false"/>
                <w:color w:val="3D3D3D"/>
                <w:sz w:val="20"/>
                <w:szCs w:val="20"/>
              </w:rPr>
              <w:t xml:space="preserve">Was müsste aus Ihrer Sicht passieren, damit SKP einen Standortvertrag gewinnt?</w:t>
            </w:r>
          </w:p>
          <w:p>
            <w:pPr>
              <w:spacing w:after="40" w:before="0" w:line="260"/>
            </w:pPr>
            <w:r>
              <w:rPr>
                <w:rFonts w:ascii="Open Sans" w:cs="Open Sans" w:eastAsia="Open Sans" w:hAnsi="Open Sans"/>
                <w:b/>
                <w:bCs/>
                <w:i w:val="false"/>
                <w:iCs w:val="false"/>
                <w:color w:val="777777"/>
                <w:sz w:val="17"/>
                <w:szCs w:val="17"/>
              </w:rPr>
              <w:t xml:space="preserve">Warum: </w:t>
            </w:r>
            <w:r>
              <w:rPr>
                <w:rFonts w:ascii="Open Sans" w:cs="Open Sans" w:eastAsia="Open Sans" w:hAnsi="Open Sans"/>
                <w:b w:val="false"/>
                <w:bCs w:val="false"/>
                <w:i w:val="false"/>
                <w:iCs w:val="false"/>
                <w:color w:val="777777"/>
                <w:sz w:val="17"/>
                <w:szCs w:val="17"/>
              </w:rPr>
              <w:t xml:space="preserve">Offene Schlussfrage. Sie zeigt, wie gut die Eigentümerin die Reform verstanden hat — und ob sie einen Plan hat oder abwartet.</w:t>
            </w:r>
          </w:p>
          <w:p>
            <w:pPr>
              <w:spacing w:after="0" w:before="0" w:line="260"/>
            </w:pPr>
            <w:r>
              <w:rPr>
                <w:rFonts w:ascii="Open Sans" w:cs="Open Sans" w:eastAsia="Open Sans" w:hAnsi="Open Sans"/>
                <w:b/>
                <w:bCs/>
                <w:i w:val="false"/>
                <w:iCs w:val="false"/>
                <w:color w:val="6E7D00"/>
                <w:sz w:val="17"/>
                <w:szCs w:val="17"/>
              </w:rPr>
              <w:t xml:space="preserve">Unterlage: </w:t>
            </w:r>
            <w:r>
              <w:rPr>
                <w:rFonts w:ascii="Open Sans" w:cs="Open Sans" w:eastAsia="Open Sans" w:hAnsi="Open Sans"/>
                <w:b w:val="false"/>
                <w:bCs w:val="false"/>
                <w:i/>
                <w:iCs/>
                <w:color w:val="6E7D00"/>
                <w:sz w:val="17"/>
                <w:szCs w:val="17"/>
              </w:rPr>
              <w:t xml:space="preserve">—</w:t>
            </w:r>
          </w:p>
        </w:tc>
        <w:tc>
          <w:tcPr>
            <w:tcW w:type="dxa" w:w="3338"/>
            <w:tcBorders>
              <w:top w:val="single" w:color="DDDDDD" w:sz="2"/>
              <w:left w:val="none" w:color="FFFFFF" w:sz="0"/>
              <w:bottom w:val="single" w:color="DDDDDD" w:sz="2"/>
              <w:right w:val="none" w:color="FFFFFF" w:sz="0"/>
            </w:tcBorders>
            <w:tcMar>
              <w:top w:type="dxa" w:w="90"/>
              <w:left w:type="dxa" w:w="120"/>
              <w:bottom w:type="dxa" w:w="90"/>
              <w:right w:type="dxa" w:w="120"/>
            </w:tcMar>
          </w:tcPr>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p>
            <w:pPr>
              <w:spacing w:after="0" w:before="0" w:line="260"/>
            </w:pPr>
            <w:r>
              <w:rPr>
                <w:rFonts w:ascii="Open Sans" w:cs="Open Sans" w:eastAsia="Open Sans" w:hAnsi="Open Sans"/>
                <w:b w:val="false"/>
                <w:bCs w:val="false"/>
                <w:i w:val="false"/>
                <w:iCs w:val="false"/>
                <w:color w:val="3D3D3D"/>
                <w:sz w:val="20"/>
                <w:szCs w:val="20"/>
              </w:rPr>
              <w:t xml:space="preserve"/>
            </w:r>
          </w:p>
        </w:tc>
      </w:tr>
    </w:tbl>
    <w:p>
      <w:pPr>
        <w:pStyle w:val="Heading1"/>
        <w:spacing w:after="140" w:before="340"/>
      </w:pPr>
      <w:r>
        <w:rPr>
          <w:rFonts w:ascii="Quicksand" w:cs="Quicksand" w:eastAsia="Quicksand" w:hAnsi="Quicksand"/>
          <w:b/>
          <w:bCs/>
          <w:color w:val="1A70B8"/>
          <w:sz w:val="26"/>
          <w:szCs w:val="26"/>
        </w:rPr>
        <w:t xml:space="preserve">Antworten, die wir als Warnsignal werten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DECEA" w:color="auto" w:val="clear"/>
            <w:tcMar>
              <w:top w:type="dxa" w:w="140"/>
              <w:left w:type="dxa" w:w="160"/>
              <w:bottom w:type="dxa" w:w="140"/>
              <w:right w:type="dxa" w:w="160"/>
            </w:tcMar>
          </w:tcPr>
          <w:p>
            <w:pPr>
              <w:spacing w:after="80" w:before="0" w:line="260"/>
            </w:pPr>
            <w:r>
              <w:rPr>
                <w:rFonts w:ascii="Quicksand" w:cs="Quicksand" w:eastAsia="Quicksand" w:hAnsi="Quicksand"/>
                <w:b/>
                <w:bCs/>
                <w:i w:val="false"/>
                <w:iCs w:val="false"/>
                <w:color w:val="C0392B"/>
                <w:sz w:val="21"/>
                <w:szCs w:val="21"/>
              </w:rPr>
              <w:t xml:space="preserve">Rot</w:t>
            </w:r>
          </w:p>
          <w:p>
            <w:pPr>
              <w:spacing w:after="60" w:before="0" w:line="260"/>
            </w:pPr>
            <w:r>
              <w:rPr>
                <w:rFonts w:ascii="Open Sans" w:cs="Open Sans" w:eastAsia="Open Sans" w:hAnsi="Open Sans"/>
                <w:b w:val="false"/>
                <w:bCs w:val="false"/>
                <w:i w:val="false"/>
                <w:iCs w:val="false"/>
                <w:color w:val="C0392B"/>
                <w:sz w:val="20"/>
                <w:szCs w:val="20"/>
              </w:rPr>
              <w:t xml:space="preserve">▪  </w:t>
            </w:r>
            <w:r>
              <w:rPr>
                <w:rFonts w:ascii="Open Sans" w:cs="Open Sans" w:eastAsia="Open Sans" w:hAnsi="Open Sans"/>
                <w:b w:val="false"/>
                <w:bCs w:val="false"/>
                <w:i w:val="false"/>
                <w:iCs w:val="false"/>
                <w:color w:val="3D3D3D"/>
                <w:sz w:val="19"/>
                <w:szCs w:val="19"/>
              </w:rPr>
              <w:t xml:space="preserve">Honorarkräfte in nennenswertem Umfang — Ausschlusskriterium, und die Umstellung auf Festanstellung verteuert sofort.</w:t>
            </w:r>
          </w:p>
          <w:p>
            <w:pPr>
              <w:spacing w:after="60" w:before="0" w:line="260"/>
            </w:pPr>
            <w:r>
              <w:rPr>
                <w:rFonts w:ascii="Open Sans" w:cs="Open Sans" w:eastAsia="Open Sans" w:hAnsi="Open Sans"/>
                <w:b w:val="false"/>
                <w:bCs w:val="false"/>
                <w:i w:val="false"/>
                <w:iCs w:val="false"/>
                <w:color w:val="C0392B"/>
                <w:sz w:val="20"/>
                <w:szCs w:val="20"/>
              </w:rPr>
              <w:t xml:space="preserve">▪  </w:t>
            </w:r>
            <w:r>
              <w:rPr>
                <w:rFonts w:ascii="Open Sans" w:cs="Open Sans" w:eastAsia="Open Sans" w:hAnsi="Open Sans"/>
                <w:b w:val="false"/>
                <w:bCs w:val="false"/>
                <w:i w:val="false"/>
                <w:iCs w:val="false"/>
                <w:color w:val="3D3D3D"/>
                <w:sz w:val="19"/>
                <w:szCs w:val="19"/>
              </w:rPr>
              <w:t xml:space="preserve">Keine einzige Fachkraft, die die Teamleitung übernehmen könnte.</w:t>
            </w:r>
          </w:p>
          <w:p>
            <w:pPr>
              <w:spacing w:after="60" w:before="0" w:line="260"/>
            </w:pPr>
            <w:r>
              <w:rPr>
                <w:rFonts w:ascii="Open Sans" w:cs="Open Sans" w:eastAsia="Open Sans" w:hAnsi="Open Sans"/>
                <w:b w:val="false"/>
                <w:bCs w:val="false"/>
                <w:i w:val="false"/>
                <w:iCs w:val="false"/>
                <w:color w:val="C0392B"/>
                <w:sz w:val="20"/>
                <w:szCs w:val="20"/>
              </w:rPr>
              <w:t xml:space="preserve">▪  </w:t>
            </w:r>
            <w:r>
              <w:rPr>
                <w:rFonts w:ascii="Open Sans" w:cs="Open Sans" w:eastAsia="Open Sans" w:hAnsi="Open Sans"/>
                <w:b w:val="false"/>
                <w:bCs w:val="false"/>
                <w:i w:val="false"/>
                <w:iCs w:val="false"/>
                <w:color w:val="3D3D3D"/>
                <w:sz w:val="19"/>
                <w:szCs w:val="19"/>
              </w:rPr>
              <w:t xml:space="preserve">Betriebshaftpflicht unter 10 Mio. € und keine Bereitschaft oder Möglichkeit zur Aufstockung.</w:t>
            </w:r>
          </w:p>
          <w:p>
            <w:pPr>
              <w:spacing w:after="60" w:before="0" w:line="260"/>
            </w:pPr>
            <w:r>
              <w:rPr>
                <w:rFonts w:ascii="Open Sans" w:cs="Open Sans" w:eastAsia="Open Sans" w:hAnsi="Open Sans"/>
                <w:b w:val="false"/>
                <w:bCs w:val="false"/>
                <w:i w:val="false"/>
                <w:iCs w:val="false"/>
                <w:color w:val="C0392B"/>
                <w:sz w:val="20"/>
                <w:szCs w:val="20"/>
              </w:rPr>
              <w:t xml:space="preserve">▪  </w:t>
            </w:r>
            <w:r>
              <w:rPr>
                <w:rFonts w:ascii="Open Sans" w:cs="Open Sans" w:eastAsia="Open Sans" w:hAnsi="Open Sans"/>
                <w:b w:val="false"/>
                <w:bCs w:val="false"/>
                <w:i w:val="false"/>
                <w:iCs w:val="false"/>
                <w:color w:val="3D3D3D"/>
                <w:sz w:val="19"/>
                <w:szCs w:val="19"/>
              </w:rPr>
              <w:t xml:space="preserve">Umsatz lässt sich nicht nach Leistungsart trennen — dann fehlt ein Eignungsnachweis, der sich nicht nachbauen lässt.</w:t>
            </w:r>
          </w:p>
          <w:p>
            <w:pPr>
              <w:spacing w:after="60" w:before="0" w:line="260"/>
            </w:pPr>
            <w:r>
              <w:rPr>
                <w:rFonts w:ascii="Open Sans" w:cs="Open Sans" w:eastAsia="Open Sans" w:hAnsi="Open Sans"/>
                <w:b w:val="false"/>
                <w:bCs w:val="false"/>
                <w:i w:val="false"/>
                <w:iCs w:val="false"/>
                <w:color w:val="C0392B"/>
                <w:sz w:val="20"/>
                <w:szCs w:val="20"/>
              </w:rPr>
              <w:t xml:space="preserve">▪  </w:t>
            </w:r>
            <w:r>
              <w:rPr>
                <w:rFonts w:ascii="Open Sans" w:cs="Open Sans" w:eastAsia="Open Sans" w:hAnsi="Open Sans"/>
                <w:b w:val="false"/>
                <w:bCs w:val="false"/>
                <w:i w:val="false"/>
                <w:iCs w:val="false"/>
                <w:color w:val="3D3D3D"/>
                <w:sz w:val="19"/>
                <w:szCs w:val="19"/>
              </w:rPr>
              <w:t xml:space="preserve">Bescheide sind bereits einheitlich auf ein Schuljahresende befristet, ohne dass es Kontakt zum Kreis gibt.</w:t>
            </w:r>
          </w:p>
          <w:p>
            <w:pPr>
              <w:spacing w:after="0" w:before="0" w:line="260"/>
            </w:pPr>
            <w:r>
              <w:rPr>
                <w:rFonts w:ascii="Open Sans" w:cs="Open Sans" w:eastAsia="Open Sans" w:hAnsi="Open Sans"/>
                <w:b w:val="false"/>
                <w:bCs w:val="false"/>
                <w:i w:val="false"/>
                <w:iCs w:val="false"/>
                <w:color w:val="C0392B"/>
                <w:sz w:val="20"/>
                <w:szCs w:val="20"/>
              </w:rPr>
              <w:t xml:space="preserve">▪  </w:t>
            </w:r>
            <w:r>
              <w:rPr>
                <w:rFonts w:ascii="Open Sans" w:cs="Open Sans" w:eastAsia="Open Sans" w:hAnsi="Open Sans"/>
                <w:b w:val="false"/>
                <w:bCs w:val="false"/>
                <w:i w:val="false"/>
                <w:iCs w:val="false"/>
                <w:color w:val="3D3D3D"/>
                <w:sz w:val="19"/>
                <w:szCs w:val="19"/>
              </w:rPr>
              <w:t xml:space="preserve">Alle Schulbeziehungen laufen ausschließlich über die Eigentümerin, nichts ist schriftlich.</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1F5E0" w:color="auto" w:val="clear"/>
            <w:tcMar>
              <w:top w:type="dxa" w:w="140"/>
              <w:left w:type="dxa" w:w="160"/>
              <w:bottom w:type="dxa" w:w="140"/>
              <w:right w:type="dxa" w:w="160"/>
            </w:tcMar>
          </w:tcPr>
          <w:p>
            <w:pPr>
              <w:spacing w:after="80" w:before="0" w:line="260"/>
            </w:pPr>
            <w:r>
              <w:rPr>
                <w:rFonts w:ascii="Quicksand" w:cs="Quicksand" w:eastAsia="Quicksand" w:hAnsi="Quicksand"/>
                <w:b/>
                <w:bCs/>
                <w:i w:val="false"/>
                <w:iCs w:val="false"/>
                <w:color w:val="6E7D00"/>
                <w:sz w:val="21"/>
                <w:szCs w:val="21"/>
              </w:rPr>
              <w:t xml:space="preserve">Grün — Antworten, die den Preis rechtfertigen</w:t>
            </w:r>
          </w:p>
          <w:p>
            <w:pPr>
              <w:spacing w:after="60" w:before="0" w:line="260"/>
            </w:pPr>
            <w:r>
              <w:rPr>
                <w:rFonts w:ascii="Open Sans" w:cs="Open Sans" w:eastAsia="Open Sans" w:hAnsi="Open Sans"/>
                <w:b w:val="false"/>
                <w:bCs w:val="false"/>
                <w:i w:val="false"/>
                <w:iCs w:val="false"/>
                <w:color w:val="6E7D00"/>
                <w:sz w:val="20"/>
                <w:szCs w:val="20"/>
              </w:rPr>
              <w:t xml:space="preserve">▪  </w:t>
            </w:r>
            <w:r>
              <w:rPr>
                <w:rFonts w:ascii="Open Sans" w:cs="Open Sans" w:eastAsia="Open Sans" w:hAnsi="Open Sans"/>
                <w:b w:val="false"/>
                <w:bCs w:val="false"/>
                <w:i w:val="false"/>
                <w:iCs w:val="false"/>
                <w:color w:val="3D3D3D"/>
                <w:sz w:val="19"/>
                <w:szCs w:val="19"/>
              </w:rPr>
              <w:t xml:space="preserve">Mehrere Fachkräfte, die eine Teamleitung übernehmen könnten, idealerweise mit Führungserfahrung.</w:t>
            </w:r>
          </w:p>
          <w:p>
            <w:pPr>
              <w:spacing w:after="60" w:before="0" w:line="260"/>
            </w:pPr>
            <w:r>
              <w:rPr>
                <w:rFonts w:ascii="Open Sans" w:cs="Open Sans" w:eastAsia="Open Sans" w:hAnsi="Open Sans"/>
                <w:b w:val="false"/>
                <w:bCs w:val="false"/>
                <w:i w:val="false"/>
                <w:iCs w:val="false"/>
                <w:color w:val="6E7D00"/>
                <w:sz w:val="20"/>
                <w:szCs w:val="20"/>
              </w:rPr>
              <w:t xml:space="preserve">▪  </w:t>
            </w:r>
            <w:r>
              <w:rPr>
                <w:rFonts w:ascii="Open Sans" w:cs="Open Sans" w:eastAsia="Open Sans" w:hAnsi="Open Sans"/>
                <w:b w:val="false"/>
                <w:bCs w:val="false"/>
                <w:i w:val="false"/>
                <w:iCs w:val="false"/>
                <w:color w:val="3D3D3D"/>
                <w:sz w:val="19"/>
                <w:szCs w:val="19"/>
              </w:rPr>
              <w:t xml:space="preserve">Schriftliche Kooperationsvereinbarungen mit Schulleitungen, nicht nur gute Kontakte.</w:t>
            </w:r>
          </w:p>
          <w:p>
            <w:pPr>
              <w:spacing w:after="60" w:before="0" w:line="260"/>
            </w:pPr>
            <w:r>
              <w:rPr>
                <w:rFonts w:ascii="Open Sans" w:cs="Open Sans" w:eastAsia="Open Sans" w:hAnsi="Open Sans"/>
                <w:b w:val="false"/>
                <w:bCs w:val="false"/>
                <w:i w:val="false"/>
                <w:iCs w:val="false"/>
                <w:color w:val="6E7D00"/>
                <w:sz w:val="20"/>
                <w:szCs w:val="20"/>
              </w:rPr>
              <w:t xml:space="preserve">▪  </w:t>
            </w:r>
            <w:r>
              <w:rPr>
                <w:rFonts w:ascii="Open Sans" w:cs="Open Sans" w:eastAsia="Open Sans" w:hAnsi="Open Sans"/>
                <w:b w:val="false"/>
                <w:bCs w:val="false"/>
                <w:i w:val="false"/>
                <w:iCs w:val="false"/>
                <w:color w:val="3D3D3D"/>
                <w:sz w:val="19"/>
                <w:szCs w:val="19"/>
              </w:rPr>
              <w:t xml:space="preserve">Erfahrung mit Gruppenbetreuung, also eine Kraft für mehrere Kinder.</w:t>
            </w:r>
          </w:p>
          <w:p>
            <w:pPr>
              <w:spacing w:after="60" w:before="0" w:line="260"/>
            </w:pPr>
            <w:r>
              <w:rPr>
                <w:rFonts w:ascii="Open Sans" w:cs="Open Sans" w:eastAsia="Open Sans" w:hAnsi="Open Sans"/>
                <w:b w:val="false"/>
                <w:bCs w:val="false"/>
                <w:i w:val="false"/>
                <w:iCs w:val="false"/>
                <w:color w:val="6E7D00"/>
                <w:sz w:val="20"/>
                <w:szCs w:val="20"/>
              </w:rPr>
              <w:t xml:space="preserve">▪  </w:t>
            </w:r>
            <w:r>
              <w:rPr>
                <w:rFonts w:ascii="Open Sans" w:cs="Open Sans" w:eastAsia="Open Sans" w:hAnsi="Open Sans"/>
                <w:b w:val="false"/>
                <w:bCs w:val="false"/>
                <w:i w:val="false"/>
                <w:iCs w:val="false"/>
                <w:color w:val="3D3D3D"/>
                <w:sz w:val="19"/>
                <w:szCs w:val="19"/>
              </w:rPr>
              <w:t xml:space="preserve">Teilnahme am Teilnahmewettbewerb 2024 mit bestätigter Eignung.</w:t>
            </w:r>
          </w:p>
          <w:p>
            <w:pPr>
              <w:spacing w:after="60" w:before="0" w:line="260"/>
            </w:pPr>
            <w:r>
              <w:rPr>
                <w:rFonts w:ascii="Open Sans" w:cs="Open Sans" w:eastAsia="Open Sans" w:hAnsi="Open Sans"/>
                <w:b w:val="false"/>
                <w:bCs w:val="false"/>
                <w:i w:val="false"/>
                <w:iCs w:val="false"/>
                <w:color w:val="6E7D00"/>
                <w:sz w:val="20"/>
                <w:szCs w:val="20"/>
              </w:rPr>
              <w:t xml:space="preserve">▪  </w:t>
            </w:r>
            <w:r>
              <w:rPr>
                <w:rFonts w:ascii="Open Sans" w:cs="Open Sans" w:eastAsia="Open Sans" w:hAnsi="Open Sans"/>
                <w:b w:val="false"/>
                <w:bCs w:val="false"/>
                <w:i w:val="false"/>
                <w:iCs w:val="false"/>
                <w:color w:val="3D3D3D"/>
                <w:sz w:val="19"/>
                <w:szCs w:val="19"/>
              </w:rPr>
              <w:t xml:space="preserve">Sitz in einer Arbeitsgemeinschaft nach § 78 SGB VIII oder einer Trägerrunde des Kreises.</w:t>
            </w:r>
          </w:p>
          <w:p>
            <w:pPr>
              <w:spacing w:after="0" w:before="0" w:line="260"/>
            </w:pPr>
            <w:r>
              <w:rPr>
                <w:rFonts w:ascii="Open Sans" w:cs="Open Sans" w:eastAsia="Open Sans" w:hAnsi="Open Sans"/>
                <w:b w:val="false"/>
                <w:bCs w:val="false"/>
                <w:i w:val="false"/>
                <w:iCs w:val="false"/>
                <w:color w:val="6E7D00"/>
                <w:sz w:val="20"/>
                <w:szCs w:val="20"/>
              </w:rPr>
              <w:t xml:space="preserve">▪  </w:t>
            </w:r>
            <w:r>
              <w:rPr>
                <w:rFonts w:ascii="Open Sans" w:cs="Open Sans" w:eastAsia="Open Sans" w:hAnsi="Open Sans"/>
                <w:b w:val="false"/>
                <w:bCs w:val="false"/>
                <w:i w:val="false"/>
                <w:iCs w:val="false"/>
                <w:color w:val="3D3D3D"/>
                <w:sz w:val="19"/>
                <w:szCs w:val="19"/>
              </w:rPr>
              <w:t xml:space="preserve">Ein zweites Standbein neben der Schulbegleitung.</w:t>
            </w:r>
          </w:p>
        </w:tc>
      </w:tr>
    </w:tbl>
    <w:p>
      <w:pPr>
        <w:pStyle w:val="Heading1"/>
        <w:spacing w:after="140" w:before="340"/>
      </w:pPr>
      <w:r>
        <w:rPr>
          <w:rFonts w:ascii="Quicksand" w:cs="Quicksand" w:eastAsia="Quicksand" w:hAnsi="Quicksand"/>
          <w:b/>
          <w:bCs/>
          <w:color w:val="1A70B8"/>
          <w:sz w:val="26"/>
          <w:szCs w:val="26"/>
        </w:rPr>
        <w:t xml:space="preserve">Was wir ins Gespräch mitbringen</w:t>
      </w:r>
    </w:p>
    <w:p>
      <w:pPr>
        <w:spacing w:after="120" w:before="0" w:line="260"/>
      </w:pPr>
      <w:r>
        <w:rPr>
          <w:rFonts w:ascii="Open Sans" w:cs="Open Sans" w:eastAsia="Open Sans" w:hAnsi="Open Sans"/>
          <w:b w:val="false"/>
          <w:bCs w:val="false"/>
          <w:i w:val="false"/>
          <w:iCs w:val="false"/>
          <w:color w:val="3D3D3D"/>
          <w:sz w:val="20"/>
          <w:szCs w:val="20"/>
        </w:rPr>
        <w:t xml:space="preserve">Damit niemand am Tisch überrascht wird — das ist unser Kenntnisstand aus öffentlichen Quellen:</w:t>
      </w:r>
    </w:p>
    <w:p>
      <w:pPr>
        <w:spacing w:after="80" w:before="0" w:line="260"/>
      </w:pPr>
      <w:r>
        <w:rPr>
          <w:rFonts w:ascii="Open Sans" w:cs="Open Sans" w:eastAsia="Open Sans" w:hAnsi="Open Sans"/>
          <w:b w:val="false"/>
          <w:bCs w:val="false"/>
          <w:i w:val="false"/>
          <w:iCs w:val="false"/>
          <w:color w:val="1A70B8"/>
          <w:sz w:val="20"/>
          <w:szCs w:val="20"/>
        </w:rPr>
        <w:t xml:space="preserve">▪  </w:t>
      </w:r>
      <w:r>
        <w:rPr>
          <w:rFonts w:ascii="Open Sans" w:cs="Open Sans" w:eastAsia="Open Sans" w:hAnsi="Open Sans"/>
          <w:b w:val="false"/>
          <w:bCs w:val="false"/>
          <w:i w:val="false"/>
          <w:iCs w:val="false"/>
          <w:color w:val="3D3D3D"/>
          <w:sz w:val="19"/>
          <w:szCs w:val="19"/>
        </w:rPr>
        <w:t xml:space="preserve">Der Kreis Pinneberg hat die „Klassenassistenz“ am 25.04.2024 EU-weit ausgeschrieben. Eine Zuschlagsbekanntmachung ist bis heute nicht erschienen — das Verfahren ist offen.</w:t>
      </w:r>
    </w:p>
    <w:p>
      <w:pPr>
        <w:spacing w:after="80" w:before="0" w:line="260"/>
      </w:pPr>
      <w:r>
        <w:rPr>
          <w:rFonts w:ascii="Open Sans" w:cs="Open Sans" w:eastAsia="Open Sans" w:hAnsi="Open Sans"/>
          <w:b w:val="false"/>
          <w:bCs w:val="false"/>
          <w:i w:val="false"/>
          <w:iCs w:val="false"/>
          <w:color w:val="1A70B8"/>
          <w:sz w:val="20"/>
          <w:szCs w:val="20"/>
        </w:rPr>
        <w:t xml:space="preserve">▪  </w:t>
      </w:r>
      <w:r>
        <w:rPr>
          <w:rFonts w:ascii="Open Sans" w:cs="Open Sans" w:eastAsia="Open Sans" w:hAnsi="Open Sans"/>
          <w:b w:val="false"/>
          <w:bCs w:val="false"/>
          <w:i w:val="false"/>
          <w:iCs w:val="false"/>
          <w:color w:val="3D3D3D"/>
          <w:sz w:val="19"/>
          <w:szCs w:val="19"/>
        </w:rPr>
        <w:t xml:space="preserve">Der Kreistag hat die Einführung am 11.12.2024 um zwei Jahre verschoben. Stufe 1 rechnerisch ab 01.08.2027.</w:t>
      </w:r>
    </w:p>
    <w:p>
      <w:pPr>
        <w:spacing w:after="80" w:before="0" w:line="260"/>
      </w:pPr>
      <w:r>
        <w:rPr>
          <w:rFonts w:ascii="Open Sans" w:cs="Open Sans" w:eastAsia="Open Sans" w:hAnsi="Open Sans"/>
          <w:b w:val="false"/>
          <w:bCs w:val="false"/>
          <w:i w:val="false"/>
          <w:iCs w:val="false"/>
          <w:color w:val="1A70B8"/>
          <w:sz w:val="20"/>
          <w:szCs w:val="20"/>
        </w:rPr>
        <w:t xml:space="preserve">▪  </w:t>
      </w:r>
      <w:r>
        <w:rPr>
          <w:rFonts w:ascii="Open Sans" w:cs="Open Sans" w:eastAsia="Open Sans" w:hAnsi="Open Sans"/>
          <w:b w:val="false"/>
          <w:bCs w:val="false"/>
          <w:i w:val="false"/>
          <w:iCs w:val="false"/>
          <w:color w:val="3D3D3D"/>
          <w:sz w:val="19"/>
          <w:szCs w:val="19"/>
        </w:rPr>
        <w:t xml:space="preserve">Vier Träger haben gegen das Verfahren geklagt. Das OVG Schleswig hat sie am 03.09.2024 unanfechtbar abgewiesen (5 MB 7/24). Es gibt keinen Rechtsweg und keinen Bestandsschutz.</w:t>
      </w:r>
    </w:p>
    <w:p>
      <w:pPr>
        <w:spacing w:after="80" w:before="0" w:line="260"/>
      </w:pPr>
      <w:r>
        <w:rPr>
          <w:rFonts w:ascii="Open Sans" w:cs="Open Sans" w:eastAsia="Open Sans" w:hAnsi="Open Sans"/>
          <w:b w:val="false"/>
          <w:bCs w:val="false"/>
          <w:i w:val="false"/>
          <w:iCs w:val="false"/>
          <w:color w:val="1A70B8"/>
          <w:sz w:val="20"/>
          <w:szCs w:val="20"/>
        </w:rPr>
        <w:t xml:space="preserve">▪  </w:t>
      </w:r>
      <w:r>
        <w:rPr>
          <w:rFonts w:ascii="Open Sans" w:cs="Open Sans" w:eastAsia="Open Sans" w:hAnsi="Open Sans"/>
          <w:b w:val="false"/>
          <w:bCs w:val="false"/>
          <w:i w:val="false"/>
          <w:iCs w:val="false"/>
          <w:color w:val="3D3D3D"/>
          <w:sz w:val="19"/>
          <w:szCs w:val="19"/>
        </w:rPr>
        <w:t xml:space="preserve">Das Kreiskonzept kalkuliert die Klassenassistenz nach TVöD SuE S2 Stufe 5 zuzüglich 10 % Sachkosten und 5 % Verwaltungskostenzuschlag — bei einem Festpreis, der Tarifsteigerungen ausdrücklich nicht ausgleicht.</w:t>
      </w:r>
    </w:p>
    <w:p>
      <w:pPr>
        <w:spacing w:after="80" w:before="0" w:line="260"/>
      </w:pPr>
      <w:r>
        <w:rPr>
          <w:rFonts w:ascii="Open Sans" w:cs="Open Sans" w:eastAsia="Open Sans" w:hAnsi="Open Sans"/>
          <w:b w:val="false"/>
          <w:bCs w:val="false"/>
          <w:i w:val="false"/>
          <w:iCs w:val="false"/>
          <w:color w:val="1A70B8"/>
          <w:sz w:val="20"/>
          <w:szCs w:val="20"/>
        </w:rPr>
        <w:t xml:space="preserve">▪  </w:t>
      </w:r>
      <w:r>
        <w:rPr>
          <w:rFonts w:ascii="Open Sans" w:cs="Open Sans" w:eastAsia="Open Sans" w:hAnsi="Open Sans"/>
          <w:b w:val="false"/>
          <w:bCs w:val="false"/>
          <w:i w:val="false"/>
          <w:iCs w:val="false"/>
          <w:color w:val="3D3D3D"/>
          <w:sz w:val="19"/>
          <w:szCs w:val="19"/>
        </w:rPr>
        <w:t xml:space="preserve">Im Kreis Pinneberg sind mit FiB und Familienräume zwei weitere Anbieter tätig; Familienräume führt das Poolmodell in Tornesch/Uetersen durch.</w:t>
      </w:r>
    </w:p>
    <w:p>
      <w:pPr>
        <w:spacing w:after="60" w:before="160" w:line="260"/>
      </w:pPr>
      <w:r>
        <w:rPr>
          <w:rFonts w:ascii="Open Sans" w:cs="Open Sans" w:eastAsia="Open Sans" w:hAnsi="Open Sans"/>
          <w:b w:val="false"/>
          <w:bCs w:val="false"/>
          <w:i w:val="false"/>
          <w:iCs w:val="false"/>
          <w:color w:val="777777"/>
          <w:sz w:val="17"/>
          <w:szCs w:val="17"/>
        </w:rPr>
        <w:t xml:space="preserve">Quellenübersicht: quellen-und-offene-punkte.md im selben Ordner.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Open Sans" w:cs="Open Sans" w:eastAsia="Open Sans" w:hAnsi="Open Sans"/>
        <w:color w:val="777777"/>
        <w:sz w:val="16"/>
        <w:szCs w:val="16"/>
      </w:rPr>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60"/>
    </w:pPr>
    <w:r>
      <w:rPr>
        <w:rFonts w:ascii="Quicksand" w:cs="Quicksand" w:eastAsia="Quicksand" w:hAnsi="Quicksand"/>
        <w:b w:val="false"/>
        <w:bCs w:val="false"/>
        <w:i w:val="false"/>
        <w:iCs w:val="false"/>
        <w:color w:val="777777"/>
        <w:sz w:val="16"/>
        <w:szCs w:val="16"/>
      </w:rPr>
      <w:t xml:space="preserve">Fragenliste Eigentümerin SKP</w:t>
    </w:r>
    <w:r>
      <w:rPr>
        <w:rFonts w:ascii="Open Sans" w:cs="Open Sans" w:eastAsia="Open Sans" w:hAnsi="Open Sans"/>
        <w:b w:val="false"/>
        <w:bCs w:val="false"/>
        <w:i w:val="false"/>
        <w:iCs w:val="false"/>
        <w:color w:val="777777"/>
        <w:sz w:val="16"/>
        <w:szCs w:val="16"/>
      </w:rPr>
      <w:t xml:space="preserve">   ·   vertraulich, nur für den internen Gebrauch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3D3D3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2026-08-06T09:14:15.775Z</dcterms:created>
  <dcterms:modified xsi:type="dcterms:W3CDTF">2026-08-06T09:14:15.776Z</dcterms:modified>
</cp:coreProperties>
</file>

<file path=docProps/custom.xml><?xml version="1.0" encoding="utf-8"?>
<Properties xmlns="http://schemas.openxmlformats.org/officeDocument/2006/custom-properties" xmlns:vt="http://schemas.openxmlformats.org/officeDocument/2006/docPropsVTypes"/>
</file>