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w:t>
      </w:r>
      <w:r>
        <w:rPr>
          <w:rFonts w:ascii="Times New Roman" w:hAnsi="Times New Roman" w:cs="Times New Roman"/>
        </w:rPr>
        <w:t>在本文主方案中默认参与微调：仅使用训练划分的合约级标签微调编码器，再以微调后的编码器重编码全图特征，供</w:t>
      </w:r>
      <w:r>
        <w:rPr>
          <w:rFonts w:ascii="Times New Roman" w:hAnsi="Times New Roman" w:cs="Times New Roman"/>
        </w:rPr>
        <w:t>RGCN</w:t>
      </w:r>
      <w:r>
        <w:rPr>
          <w:rFonts w:ascii="Times New Roman" w:hAnsi="Times New Roman" w:cs="Times New Roman"/>
        </w:rPr>
        <w:t>阶段训练使用。编码器**微调至收敛**：epoch 预算 20、按验证集 macro-F1 早停（patience=4），并配置后缀权值平均（SWA，`--swa-start 16`）作为选点对照。**冻结编码器**与**短预算微调（5 轮）**共同作为消融对照保留，消融实验中形成「冻结 / 短预算（5 轮）/ 收敛（20 轮）」**三档阶梯**。实测（3 个划分种子，编码器自身验证集 macro-F1）：收敛档 0.9544 / 0.6747 / 0.7165，短预算档 0.5258 / 0.6067 / 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）微调与编码均在离线阶段完成，微调后的嵌</w:t>
      </w:r>
      <w:r>
        <w:rPr>
          <w:rFonts w:ascii="Times New Roman" w:hAnsi="Times New Roman" w:cs="Times New Roman"/>
        </w:rPr>
        <w:t>入同样可离线缓存，</w:t>
      </w:r>
      <w:r>
        <w:rPr>
          <w:rFonts w:ascii="Times New Roman" w:hAnsi="Times New Roman" w:cs="Times New Roman"/>
        </w:rPr>
        <w:t>RGCN</w:t>
      </w:r>
      <w:r>
        <w:rPr>
          <w:rFonts w:ascii="Times New Roman" w:hAnsi="Times New Roman" w:cs="Times New Roman"/>
        </w:rPr>
        <w:t>训练阶段仍只需加载缓存向量，故可复现性与冻结方案一致。需要说明的是，微调只使用训练划分的标签，属任务特定表征学习，不接触验证与测试划分的任何信息；消融实验按**三档阶梯**报告 CodeBERT 处理方式的差异：**冻结**（不执行本阶段）/ **短预算微调（epoch 预算 5、patience 2）** / **收敛微调（epoch 预算 20、patience 4，本文主方案）**，比较各自在验证集 macro-F1 上的表现及对下游 GNN 的影响。</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w:t>
      </w:r>
      <w:r>
        <w:rPr>
          <w:rFonts w:ascii="Times New Roman" w:hAnsi="Times New Roman" w:cs="Times New Roman"/>
        </w:rPr>
        <w:t>RGCN</w:t>
      </w:r>
      <w:r>
        <w:rPr>
          <w:rFonts w:ascii="Times New Roman" w:hAnsi="Times New Roman" w:cs="Times New Roman"/>
        </w:rPr>
        <w:t>训练阶段相互独立：在训练划分的合约级七维标签上微调</w:t>
      </w:r>
      <w:r>
        <w:rPr>
          <w:rFonts w:ascii="Times New Roman" w:hAnsi="Times New Roman" w:cs="Times New Roman"/>
        </w:rPr>
        <w:t>CodeBER</w:t>
      </w:r>
      <w:r>
        <w:rPr>
          <w:rFonts w:ascii="Times New Roman" w:hAnsi="Times New Roman" w:cs="Times New Roman"/>
        </w:rPr>
        <w:t>T</w:t>
      </w:r>
      <w:r>
        <w:rPr>
          <w:rFonts w:ascii="Times New Roman" w:hAnsi="Times New Roman" w:cs="Times New Roman"/>
        </w:rPr>
        <w:t>，**epoch 预算 20、按验证集 macro-F1 早停（patience=4）**，编码器学习率2e-5，分类头学习率1e-3，权重衰减0.01，序列批大小6。此外配置**后缀权值平均（SWA）**作为选点对照：对第 16 轮起的权值取等权平均，与最佳单轮 checkpoint 在验证集上比较、取优者。🔴 **实测（3 个划分种子）SWA 一次都没被选中**：ss0/ss1 的最佳轮分别是第 10/11 轮，早停在第 16 轮之前触发 ⇒ 平均窗口从未打开（`n_averaged`=0）；ss2 累到 2 轮，但其验证集 macro-F1（0.6290）低于最佳单轮的 0.7165，故仍取最佳单轮。⇒ **本次编码器换代的增益来自 epoch 预算（5 → 20），不是 SWA**；SWA 在本配置下属「已实现、已运行、无增益」，如实报告。该阶段只使用训练划分的标签，验证与测试划分不参与。**消融对照共两档，除本阶段的执行方式外其余超参数完全相同**：① 冻结编码器（不执行本阶段）；② 短预算微调（epoch 预算 5、patience 2，本文早期的编码器配置）。</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w:t>
      </w:r>
      <w:r w:rsidRPr="0080482A">
        <w:rPr>
          <w:rFonts w:ascii="Times New Roman" w:hAnsi="Times New Roman" w:cs="Times New Roman"/>
        </w:rPr>
        <w:t>micro-F1</w:t>
      </w:r>
      <w:r w:rsidRPr="0080482A">
        <w:rPr>
          <w:rFonts w:ascii="Times New Roman" w:hAnsi="Times New Roman" w:cs="Times New Roman"/>
        </w:rPr>
        <w:t>作为主要模型选择指标（标签对级；</w:t>
      </w:r>
      <w:r w:rsidRPr="0080482A">
        <w:rPr>
          <w:rFonts w:ascii="Times New Roman" w:hAnsi="Times New Roman" w:cs="Times New Roman"/>
        </w:rPr>
        <w:t>macro-F1</w:t>
      </w:r>
      <w:r w:rsidRPr="0080482A">
        <w:rPr>
          <w:rFonts w:ascii="Times New Roman" w:hAnsi="Times New Roman" w:cs="Times New Roman"/>
        </w:rPr>
        <w:t>因池内</w:t>
      </w:r>
      <w:r w:rsidRPr="0080482A">
        <w:rPr>
          <w:rFonts w:ascii="Times New Roman" w:hAnsi="Times New Roman" w:cs="Times New Roman"/>
        </w:rPr>
        <w:t>3</w:t>
      </w:r>
      <w:r w:rsidRPr="0080482A">
        <w:rPr>
          <w:rFonts w:ascii="Times New Roman" w:hAnsi="Times New Roman" w:cs="Times New Roman"/>
        </w:rPr>
        <w:t>个类别正样本</w:t>
      </w:r>
      <w:r w:rsidRPr="0080482A">
        <w:rPr>
          <w:rFonts w:ascii="Times New Roman" w:hAnsi="Times New Roman" w:cs="Times New Roman"/>
        </w:rPr>
        <w:t>≤6</w:t>
      </w:r>
      <w:r w:rsidRPr="0080482A">
        <w:rPr>
          <w:rFonts w:ascii="Times New Roman" w:hAnsi="Times New Roman" w:cs="Times New Roman"/>
        </w:rPr>
        <w:t>而受稀疏类主导，仅作参考指标，报告时须注明其支撑构成，见</w:t>
      </w:r>
      <w:r w:rsidRPr="0080482A">
        <w:rPr>
          <w:rFonts w:ascii="Times New Roman" w:hAnsi="Times New Roman" w:cs="Times New Roman"/>
        </w:rPr>
        <w:t>5.2</w:t>
      </w:r>
      <w:r w:rsidRPr="0080482A">
        <w:rPr>
          <w:rFonts w:ascii="Times New Roman" w:hAnsi="Times New Roman" w:cs="Times New Roman"/>
        </w:rPr>
        <w:t>），同时监控</w:t>
      </w:r>
      <w:r w:rsidRPr="0080482A">
        <w:rPr>
          <w:rFonts w:ascii="Times New Roman" w:hAnsi="Times New Roman" w:cs="Times New Roman"/>
        </w:rPr>
        <w:t>macro-F1</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和</w:t>
      </w:r>
      <w:r w:rsidRPr="0080482A">
        <w:rPr>
          <w:rFonts w:ascii="Times New Roman" w:hAnsi="Times New Roman" w:cs="Times New Roman"/>
        </w:rPr>
        <w:t>mAP</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w:t>
      </w:r>
      <w:r w:rsidRPr="0080482A">
        <w:rPr>
          <w:rFonts w:ascii="Times New Roman" w:hAnsi="Times New Roman" w:cs="Times New Roman"/>
        </w:rPr>
        <w:t>5</w:t>
      </w:r>
      <w:r w:rsidRPr="0080482A">
        <w:rPr>
          <w:rFonts w:ascii="Times New Roman" w:hAnsi="Times New Roman" w:cs="Times New Roman"/>
        </w:rPr>
        <w:t>个</w:t>
      </w:r>
      <w:r w:rsidRPr="0080482A">
        <w:rPr>
          <w:rFonts w:ascii="Times New Roman" w:hAnsi="Times New Roman" w:cs="Times New Roman"/>
        </w:rPr>
        <w:t>epoch</w:t>
      </w:r>
      <w:r w:rsidRPr="0080482A">
        <w:rPr>
          <w:rFonts w:ascii="Times New Roman" w:hAnsi="Times New Roman" w:cs="Times New Roman"/>
        </w:rPr>
        <w:t>不提升，则停止训练。最终模型选择验证集</w:t>
      </w:r>
      <w:r w:rsidRPr="0080482A">
        <w:rPr>
          <w:rFonts w:ascii="Times New Roman" w:hAnsi="Times New Roman" w:cs="Times New Roman"/>
        </w:rPr>
        <w:t>micro-F1</w:t>
      </w:r>
      <w:r w:rsidRPr="0080482A">
        <w:rPr>
          <w:rFonts w:ascii="Times New Roman" w:hAnsi="Times New Roman" w:cs="Times New Roman"/>
        </w:rPr>
        <w:t>最高的</w:t>
      </w:r>
      <w:r w:rsidRPr="0080482A">
        <w:rPr>
          <w:rFonts w:ascii="Times New Roman" w:hAnsi="Times New Roman" w:cs="Times New Roman"/>
        </w:rPr>
        <w:t>checkpoint</w:t>
      </w:r>
      <w:r w:rsidRPr="0080482A">
        <w:rPr>
          <w:rFonts w:ascii="Times New Roman" w:hAnsi="Times New Roman" w:cs="Times New Roman"/>
        </w:rPr>
        <w: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2026-09-24 的**实际实现**，与 §4.1–§4.6 的设计描述互补：设计与实现不一致时**以本节为准**；本节每条数值都可在仓库产物中复核（出处已逐条标注）。</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r>
              <w:rPr>
                <w:rFonts w:ascii="Times New Roman" w:hAnsi="Times New Roman"/>
                <w:sz w:val="19"/>
              </w:rPr>
              <w:t>runs/codebert_ft_p2/ss{S}/encoder</w:t>
            </w:r>
          </w:p>
        </w:tc>
        <w:tc>
          <w:tcPr>
            <w:tcW w:type="dxa" w:w="2520"/>
          </w:tcPr>
          <w:p>
            <w:r/>
            <w:r>
              <w:rPr>
                <w:rFonts w:ascii="Times New Roman" w:hAnsi="Times New Roman"/>
                <w:sz w:val="19"/>
              </w:rPr>
              <w:t>products/alldata/graphs_ft_p2/cb_ft_ss{S}/（_hetero/_m1/_pyg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r>
              <w:rPr>
                <w:rFonts w:ascii="Times New Roman" w:hAnsi="Times New Roman"/>
                <w:sz w:val="19"/>
              </w:rPr>
              <w:t>products/alldata/graphs_ft_p2/cb_ft_ss{S} + products/alldata/splits/split_seed{S}.json</w:t>
            </w:r>
          </w:p>
        </w:tc>
        <w:tc>
          <w:tcPr>
            <w:tcW w:type="dxa" w:w="2520"/>
          </w:tcPr>
          <w:p>
            <w:r/>
            <w:r>
              <w:rPr>
                <w:rFonts w:ascii="Times New Roman" w:hAnsi="Times New Roman"/>
                <w:sz w:val="19"/>
              </w:rPr>
              <w:t>runs/seed{S}/（best.pt、results.json、thresholds.json、test_probs.pt、config.json）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r>
              <w:rPr>
                <w:rFonts w:ascii="Times New Roman" w:hAnsi="Times New Roman"/>
                <w:sz w:val="19"/>
              </w:rPr>
              <w:t>alldata(readonly)/ 源码 + 训练划分标签</w:t>
            </w:r>
          </w:p>
        </w:tc>
        <w:tc>
          <w:tcPr>
            <w:tcW w:type="dxa" w:w="2520"/>
          </w:tcPr>
          <w:p>
            <w:r/>
            <w:r>
              <w:rPr>
                <w:rFonts w:ascii="Times New Roman" w:hAnsi="Times New Roman"/>
                <w:sz w:val="19"/>
              </w:rPr>
              <w:t>runs/codebert_ft_p2/ss{S}/encoder/（HF 格式目录）</w:t>
            </w:r>
          </w:p>
        </w:tc>
      </w:tr>
      <w:tr>
        <w:tc>
          <w:tcPr>
            <w:tcW w:type="dxa" w:w="2520"/>
          </w:tcPr>
          <w:p>
            <w:r>
              <w:t>消融档（5 轮）编码器与特征树</w:t>
            </w:r>
          </w:p>
        </w:tc>
        <w:tc>
          <w:tcPr>
            <w:tcW w:type="dxa" w:w="2520"/>
          </w:tcPr>
          <w:p>
            <w:r>
              <w:t>同上两条，但 `--epochs 5 --patience 2`</w:t>
            </w:r>
          </w:p>
        </w:tc>
        <w:tc>
          <w:tcPr>
            <w:tcW w:type="dxa" w:w="2520"/>
          </w:tcPr>
          <w:p>
            <w:r>
              <w:t>runs/codebert_ft/alldata/ss{S}/encoder（**原地保留，未删**）</w:t>
            </w:r>
          </w:p>
        </w:tc>
        <w:tc>
          <w:tcPr>
            <w:tcW w:type="dxa" w:w="2520"/>
          </w:tcPr>
          <w:p>
            <w:r>
              <w:t>products/alldata/graphs_ft/ss{S}/ —— 消融臂 `cb_ft5` 的输入</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**正典输入的唯一真源** = `products/alldata/graphs_ft_p2/cb_ft_ss{S}`（2026-09-25 编码器换代后的 20 轮档），`cb_ft_ss{S}` **必须**与 `--split-seed S` 配对。上一代 `products/alldata/graphs_ft/ss{S}`（§37，5 轮档）**原地保留**，现为消融臂 `cb_ft5` 的输入；`products/alldata/graphs/` 是**冻结编码器**树，现仅作 `cb_frozen` 消融臂输入。三者构成编码器能力的**三档阶梯**（冻结 / 5 轮 / 20 轮），**只有最后一档是正典**。</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r>
              <w:rPr>
                <w:rFonts w:ascii="Times New Roman" w:hAnsi="Times New Roman"/>
                <w:sz w:val="19"/>
              </w:rPr>
              <w:t>按训练集负/正比，上限截断 20；实测 reentrancy 16.2381、uncheck 9.3429，其余 5 类均被截断到 20</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r>
              <w:rPr>
                <w:rFonts w:ascii="Times New Roman" w:hAnsi="Times New Roman"/>
                <w:sz w:val="19"/>
              </w:rP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epoch 预算 / 早停 patience</w:t>
            </w:r>
          </w:p>
        </w:tc>
        <w:tc>
          <w:tcPr>
            <w:tcW w:type="dxa" w:w="2520"/>
          </w:tcPr>
          <w:p>
            <w:r/>
            <w:r>
              <w:rPr>
                <w:rFonts w:ascii="Times New Roman" w:hAnsi="Times New Roman"/>
                <w:sz w:val="19"/>
              </w:rPr>
              <w:t>20 / 4；早停判据 = 验证集 macro-F1（该头在阶段 2 被丢弃）</w:t>
            </w:r>
          </w:p>
        </w:tc>
        <w:tc>
          <w:tcPr>
            <w:tcW w:type="dxa" w:w="2520"/>
          </w:tcPr>
          <w:p>
            <w:r/>
            <w:r>
              <w:rPr>
                <w:rFonts w:ascii="Times New Roman" w:hAnsi="Times New Roman"/>
                <w:sz w:val="19"/>
              </w:rPr>
              <w:t>runs/codebert_ft_p2/ss{S}/config.json::args</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学习率 / 分类头 lr / 权重衰减 / 序列批大小</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SWA 后缀权值平均</w:t>
            </w:r>
          </w:p>
        </w:tc>
        <w:tc>
          <w:tcPr>
            <w:tcW w:type="dxa" w:w="2520"/>
          </w:tcPr>
          <w:p>
            <w:r/>
            <w:r>
              <w:rPr>
                <w:rFonts w:ascii="Times New Roman" w:hAnsi="Times New Roman"/>
                <w:sz w:val="19"/>
              </w:rPr>
              <w:t>`--swa-start 16`：对第 16 轮起的权值等权平均，再与最佳单轮 checkpoint 在验证集上比较、取优者。🔴 **实测三种子均未选中 SWA**（`n_averaged` = 0/0/2；ss0/ss1 的最佳轮为 ep10/ep11、早停于第 16 轮之前，SWA 窗口从未打开；ss2 累到 2 轮但 val 0.6290 低于最佳单轮的 0.7165）⇒ **本次换代的实际增益来自 epoch 预算，不是 SWA**。</w:t>
            </w:r>
          </w:p>
        </w:tc>
        <w:tc>
          <w:tcPr>
            <w:tcW w:type="dxa" w:w="2520"/>
          </w:tcPr>
          <w:p>
            <w:r/>
            <w:r>
              <w:rPr>
                <w:rFonts w:ascii="Times New Roman" w:hAnsi="Times New Roman"/>
                <w:sz w:val="19"/>
              </w:rPr>
              <w:t>同上 ::swa</w:t>
            </w:r>
          </w:p>
        </w:tc>
      </w:tr>
      <w:tr>
        <w:tc>
          <w:tcPr>
            <w:tcW w:type="dxa" w:w="2520"/>
          </w:tcPr>
          <w:p>
            <w:r/>
            <w:r>
              <w:rPr>
                <w:rFonts w:ascii="Times New Roman" w:hAnsi="Times New Roman"/>
                <w:sz w:val="19"/>
              </w:rPr>
              <w:t>编码器微调（**消融档**）</w:t>
            </w:r>
          </w:p>
        </w:tc>
        <w:tc>
          <w:tcPr>
            <w:tcW w:type="dxa" w:w="2520"/>
          </w:tcPr>
          <w:p>
            <w:r/>
            <w:r>
              <w:rPr>
                <w:rFonts w:ascii="Times New Roman" w:hAnsi="Times New Roman"/>
                <w:sz w:val="19"/>
              </w:rPr>
              <w:t>短预算配置（本文早期口径）</w:t>
            </w:r>
          </w:p>
        </w:tc>
        <w:tc>
          <w:tcPr>
            <w:tcW w:type="dxa" w:w="2520"/>
          </w:tcPr>
          <w:p>
            <w:r/>
            <w:r>
              <w:rPr>
                <w:rFonts w:ascii="Times New Roman" w:hAnsi="Times New Roman"/>
                <w:sz w:val="19"/>
              </w:rPr>
              <w:t>epoch 5 / patience 2 —— 该档的编码器树 `products/alldata/graphs_ft/ss{S}` **原地保留**，作为**消融臂 `cb_ft5`** 的输入，与「冻结」（`cb_frozen`）「收敛」（20 轮，现行正典）构成三档阶梯</w:t>
            </w:r>
          </w:p>
        </w:tc>
        <w:tc>
          <w:tcPr>
            <w:tcW w:type="dxa" w:w="2520"/>
          </w:tcPr>
          <w:p>
            <w:r/>
            <w:r>
              <w:rPr>
                <w:rFonts w:ascii="Times New Roman" w:hAnsi="Times New Roman"/>
                <w:sz w:val="19"/>
              </w:rP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**IR 类别为冻结字典**：6 类，跨语料（含 DIVE/SolidiFI）统一取自 `products/alldata/graphs/ir_cat.json`（`version=m3-categories-v1`），跨数据集评测必须显式传 `--categories` 指向它，否则列宽与类别语义会漂移。⚠ 上表 4+14+5+1+6 = **30**，与 `config.json::derived.D_struct` 一致。⚠ 模型总参数量 **415226**（融合层 209472 + RGCN 205754），见 `config.json::derived.parameter_report`。</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步骤</w:t>
            </w:r>
          </w:p>
        </w:tc>
        <w:tc>
          <w:tcPr>
            <w:tcW w:type="dxa" w:w="2520"/>
          </w:tcPr>
          <w:p>
            <w:r/>
            <w:r>
              <w:rPr>
                <w:rFonts w:ascii="Times New Roman" w:hAnsi="Times New Roman"/>
                <w:sz w:val="19"/>
              </w:rPr>
              <w:t>合约数</w:t>
            </w:r>
          </w:p>
        </w:tc>
        <w:tc>
          <w:tcPr>
            <w:tcW w:type="dxa" w:w="2520"/>
          </w:tcPr>
          <w:p>
            <w:r/>
            <w:r>
              <w:rPr>
                <w:rFonts w:ascii="Times New Roman" w:hAnsi="Times New Roman"/>
                <w:sz w:val="19"/>
              </w:rPr>
              <w:t>说明</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只读源文件</w:t>
            </w:r>
          </w:p>
        </w:tc>
        <w:tc>
          <w:tcPr>
            <w:tcW w:type="dxa" w:w="2520"/>
          </w:tcPr>
          <w:p>
            <w:r/>
            <w:r>
              <w:rPr>
                <w:rFonts w:ascii="Times New Roman" w:hAnsi="Times New Roman"/>
                <w:sz w:val="19"/>
              </w:rPr>
              <w:t>591</w:t>
            </w:r>
          </w:p>
        </w:tc>
        <w:tc>
          <w:tcPr>
            <w:tcW w:type="dxa" w:w="2520"/>
          </w:tcPr>
          <w:p>
            <w:r/>
            <w:r>
              <w:rPr>
                <w:rFonts w:ascii="Times New Roman" w:hAnsi="Times New Roman"/>
                <w:sz w:val="19"/>
              </w:rPr>
              <w:t>alldata(readonly)/alldata_sol_source/ 下的扁平 .sol 数</w:t>
            </w:r>
          </w:p>
        </w:tc>
        <w:tc>
          <w:tcPr>
            <w:tcW w:type="dxa" w:w="2520"/>
          </w:tcPr>
          <w:p>
            <w:r/>
            <w:r>
              <w:rPr>
                <w:rFonts w:ascii="Times New Roman" w:hAnsi="Times New Roman"/>
                <w:sz w:val="19"/>
              </w:rPr>
              <w:t>raw/filter_report.txt</w:t>
            </w:r>
          </w:p>
        </w:tc>
      </w:tr>
      <w:tr>
        <w:tc>
          <w:tcPr>
            <w:tcW w:type="dxa" w:w="2520"/>
          </w:tcPr>
          <w:p>
            <w:r/>
            <w:r>
              <w:rPr>
                <w:rFonts w:ascii="Times New Roman" w:hAnsi="Times New Roman"/>
                <w:sz w:val="19"/>
              </w:rPr>
              <w:t>标签索引（项目级）</w:t>
            </w:r>
          </w:p>
        </w:tc>
        <w:tc>
          <w:tcPr>
            <w:tcW w:type="dxa" w:w="2520"/>
          </w:tcPr>
          <w:p>
            <w:r/>
            <w:r>
              <w:rPr>
                <w:rFonts w:ascii="Times New Roman" w:hAnsi="Times New Roman"/>
                <w:sz w:val="19"/>
              </w:rPr>
              <w:t>590</w:t>
            </w:r>
          </w:p>
        </w:tc>
        <w:tc>
          <w:tcPr>
            <w:tcW w:type="dxa" w:w="2520"/>
          </w:tcPr>
          <w:p>
            <w:r/>
            <w:r>
              <w:rPr>
                <w:rFonts w:ascii="Times New Roman" w:hAnsi="Times New Roman"/>
                <w:sz w:val="19"/>
              </w:rPr>
              <w:t>按源码 sha1 → 项目标识/地址归并；n_unmatched=0</w:t>
            </w:r>
          </w:p>
        </w:tc>
        <w:tc>
          <w:tcPr>
            <w:tcW w:type="dxa" w:w="2520"/>
          </w:tcPr>
          <w:p>
            <w:r/>
            <w:r>
              <w:rPr>
                <w:rFonts w:ascii="Times New Roman" w:hAnsi="Times New Roman"/>
                <w:sz w:val="19"/>
              </w:rPr>
              <w:t>config.json::label_source</w:t>
            </w:r>
          </w:p>
        </w:tc>
      </w:tr>
      <w:tr>
        <w:tc>
          <w:tcPr>
            <w:tcW w:type="dxa" w:w="2520"/>
          </w:tcPr>
          <w:p>
            <w:r/>
            <w:r>
              <w:rPr>
                <w:rFonts w:ascii="Times New Roman" w:hAnsi="Times New Roman"/>
                <w:sz w:val="19"/>
              </w:rPr>
              <w:t>剔除 buggy_* 噪声项目</w:t>
            </w:r>
          </w:p>
        </w:tc>
        <w:tc>
          <w:tcPr>
            <w:tcW w:type="dxa" w:w="2520"/>
          </w:tcPr>
          <w:p>
            <w:r/>
            <w:r>
              <w:rPr>
                <w:rFonts w:ascii="Times New Roman" w:hAnsi="Times New Roman"/>
                <w:sz w:val="19"/>
              </w:rPr>
              <w:t>−90 → 500</w:t>
            </w:r>
          </w:p>
        </w:tc>
        <w:tc>
          <w:tcPr>
            <w:tcW w:type="dxa" w:w="2520"/>
          </w:tcPr>
          <w:p>
            <w:r/>
            <w:r>
              <w:rPr>
                <w:rFonts w:ascii="Times New Roman" w:hAnsi="Times New Roman"/>
                <w:sz w:val="19"/>
              </w:rPr>
              <w:t>buggy_* 家族标签为注入噪声（见下注）</w:t>
            </w:r>
          </w:p>
        </w:tc>
        <w:tc>
          <w:tcPr>
            <w:tcW w:type="dxa" w:w="2520"/>
          </w:tcPr>
          <w:p>
            <w:r/>
            <w:r>
              <w:rPr>
                <w:rFonts w:ascii="Times New Roman" w:hAnsi="Times New Roman"/>
                <w:sz w:val="19"/>
              </w:rPr>
              <w:t>split_report.json::buggy_excluded_graphs</w:t>
            </w:r>
          </w:p>
        </w:tc>
      </w:tr>
      <w:tr>
        <w:tc>
          <w:tcPr>
            <w:tcW w:type="dxa" w:w="2520"/>
          </w:tcPr>
          <w:p>
            <w:r/>
            <w:r>
              <w:rPr>
                <w:rFonts w:ascii="Times New Roman" w:hAnsi="Times New Roman"/>
                <w:sz w:val="19"/>
              </w:rPr>
              <w:t>去重</w:t>
            </w:r>
          </w:p>
        </w:tc>
        <w:tc>
          <w:tcPr>
            <w:tcW w:type="dxa" w:w="2520"/>
          </w:tcPr>
          <w:p>
            <w:r/>
            <w:r>
              <w:rPr>
                <w:rFonts w:ascii="Times New Roman" w:hAnsi="Times New Roman"/>
                <w:sz w:val="19"/>
              </w:rPr>
              <w:t>−47 → 453</w:t>
            </w:r>
          </w:p>
        </w:tc>
        <w:tc>
          <w:tcPr>
            <w:tcW w:type="dxa" w:w="2520"/>
          </w:tcPr>
          <w:p>
            <w:r/>
            <w:r>
              <w:rPr>
                <w:rFonts w:ascii="Times New Roman" w:hAnsi="Times New Roman"/>
                <w:sz w:val="19"/>
              </w:rPr>
              <w:t>先剔 buggy_* 再去重；46 个按源码 sha1、1 个按地址</w:t>
            </w:r>
          </w:p>
        </w:tc>
        <w:tc>
          <w:tcPr>
            <w:tcW w:type="dxa" w:w="2520"/>
          </w:tcPr>
          <w:p>
            <w:r/>
            <w:r>
              <w:rPr>
                <w:rFonts w:ascii="Times New Roman" w:hAnsi="Times New Roman"/>
                <w:sz w:val="19"/>
              </w:rPr>
              <w:t>split_report.json::dedup</w:t>
            </w:r>
          </w:p>
        </w:tc>
      </w:tr>
      <w:tr>
        <w:tc>
          <w:tcPr>
            <w:tcW w:type="dxa" w:w="2520"/>
          </w:tcPr>
          <w:p>
            <w:r/>
            <w:r>
              <w:rPr>
                <w:rFonts w:ascii="Times New Roman" w:hAnsi="Times New Roman"/>
                <w:sz w:val="19"/>
              </w:rPr>
              <w:t>训练池</w:t>
            </w:r>
          </w:p>
        </w:tc>
        <w:tc>
          <w:tcPr>
            <w:tcW w:type="dxa" w:w="2520"/>
          </w:tcPr>
          <w:p>
            <w:r/>
            <w:r>
              <w:rPr>
                <w:rFonts w:ascii="Times New Roman" w:hAnsi="Times New Roman"/>
                <w:sz w:val="19"/>
              </w:rPr>
              <w:t>453</w:t>
            </w:r>
          </w:p>
        </w:tc>
        <w:tc>
          <w:tcPr>
            <w:tcW w:type="dxa" w:w="2520"/>
          </w:tcPr>
          <w:p>
            <w:r/>
            <w:r>
              <w:rPr>
                <w:rFonts w:ascii="Times New Roman" w:hAnsi="Times New Roman"/>
                <w:sz w:val="19"/>
              </w:rPr>
              <w:t>train/val/test = 362/45/46（三种子规模相同）</w:t>
            </w:r>
          </w:p>
        </w:tc>
        <w:tc>
          <w:tcPr>
            <w:tcW w:type="dxa" w:w="2520"/>
          </w:tcPr>
          <w:p>
            <w:r/>
            <w:r>
              <w:rPr>
                <w:rFonts w:ascii="Times New Roman" w:hAnsi="Times New Roman"/>
                <w:sz w:val="19"/>
              </w:rPr>
              <w: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**池内正样本侧几乎全是单标签**（实测）：池 453 个合约中**全零（正常）326 个、单标签 126 个、多标签仅 1 个**（该合约真值为 reentrancy + uncheck）。原始「多标签」现象集中在被剔除的 90 个 `buggy_*` 合约上——它们只有两种标签模式：**80 个七类全 1**、**10 个为 arithmetic+time_manipulation+uncheck**，均为「每类各放一份」的注入假象（`decisions.md` §18.4），**不是真实的多标签标注**。⇒ 本库上的「七维多标签」任务，在**正样本侧实质接近单标签**；多标签能力主要由 DIVE 外部测试集与增强集体现。此事实须在论文中如实披露。⚠ **本表数字与仓库既有的一份自述文件不一致、以本表为准**：`products/alldata/raw/data_funnel.json` 的步骤 25/26 把标签写成「全量图（581）」「划分池（448）」，而同一记录的数值字段是 590 与 453（标签与数值自相矛盾）。本文档此前的「591 源文件 / 448 池样本 / 323 个全零」即沿用了那两处错误标签，本次按 **split 产物实测值**改正为 453 / 326。</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逐种子的逐类正样本数（列序同标签顺序）：</w:t>
      </w:r>
      <w:r w:rsidRPr="0080482A">
        <w:rPr>
          <w:rFonts w:ascii="Times New Roman" w:hAnsi="Times New Roman" w:cs="Times New Roman"/>
        </w:rPr>
      </w:r>
    </w:p>
    <w:tbl>
      <w:tblPr>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sz w:val="19"/>
              </w:rPr>
              <w:t>划分种子</w:t>
            </w:r>
          </w:p>
        </w:tc>
        <w:tc>
          <w:tcPr>
            <w:tcW w:type="dxa" w:w="2016"/>
          </w:tcPr>
          <w:p>
            <w:r/>
            <w:r>
              <w:rPr>
                <w:rFonts w:ascii="Times New Roman" w:hAnsi="Times New Roman"/>
                <w:sz w:val="19"/>
              </w:rPr>
              <w:t>train 逐类正样本</w:t>
            </w:r>
          </w:p>
        </w:tc>
        <w:tc>
          <w:tcPr>
            <w:tcW w:type="dxa" w:w="2016"/>
          </w:tcPr>
          <w:p>
            <w:r/>
            <w:r>
              <w:rPr>
                <w:rFonts w:ascii="Times New Roman" w:hAnsi="Times New Roman"/>
                <w:sz w:val="19"/>
              </w:rPr>
              <w:t>val 逐类正样本</w:t>
            </w:r>
          </w:p>
        </w:tc>
        <w:tc>
          <w:tcPr>
            <w:tcW w:type="dxa" w:w="2016"/>
          </w:tcPr>
          <w:p>
            <w:r/>
            <w:r>
              <w:rPr>
                <w:rFonts w:ascii="Times New Roman" w:hAnsi="Times New Roman"/>
                <w:sz w:val="19"/>
              </w:rPr>
              <w:t>test 逐类正样本</w:t>
            </w:r>
          </w:p>
        </w:tc>
        <w:tc>
          <w:tcPr>
            <w:tcW w:type="dxa" w:w="2016"/>
          </w:tcPr>
          <w:p>
            <w:r/>
            <w:r>
              <w:rPr>
                <w:rFonts w:ascii="Times New Roman" w:hAnsi="Times New Roman"/>
                <w:sz w:val="19"/>
              </w:rPr>
              <w:t>覆盖约束 C1/C2</w:t>
            </w:r>
          </w:p>
        </w:tc>
      </w:tr>
      <w:tr>
        <w:tc>
          <w:tcPr>
            <w:tcW w:type="dxa" w:w="2016"/>
          </w:tcPr>
          <w:p>
            <w:r/>
            <w:r>
              <w:rPr>
                <w:rFonts w:ascii="Times New Roman" w:hAnsi="Times New Roman"/>
                <w:sz w:val="19"/>
              </w:rPr>
              <w:t>ss0</w:t>
            </w:r>
          </w:p>
        </w:tc>
        <w:tc>
          <w:tcPr>
            <w:tcW w:type="dxa" w:w="2016"/>
          </w:tcPr>
          <w:p>
            <w:r/>
            <w:r>
              <w:rPr>
                <w:rFonts w:ascii="Times New Roman" w:hAnsi="Times New Roman"/>
                <w:sz w:val="19"/>
              </w:rPr>
              <w:t>11/10/4/2/21/2/35</w:t>
            </w:r>
          </w:p>
        </w:tc>
        <w:tc>
          <w:tcPr>
            <w:tcW w:type="dxa" w:w="2016"/>
          </w:tcPr>
          <w:p>
            <w:r/>
            <w:r>
              <w:rPr>
                <w:rFonts w:ascii="Times New Roman" w:hAnsi="Times New Roman"/>
                <w:sz w:val="19"/>
              </w:rPr>
              <w:t>3/3/1/1/5/1/8</w:t>
            </w:r>
          </w:p>
        </w:tc>
        <w:tc>
          <w:tcPr>
            <w:tcW w:type="dxa" w:w="2016"/>
          </w:tcPr>
          <w:p>
            <w:r/>
            <w:r>
              <w:rPr>
                <w:rFonts w:ascii="Times New Roman" w:hAnsi="Times New Roman"/>
                <w:sz w:val="19"/>
              </w:rPr>
              <w:t>3/2/1/1/5/2/7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ss1</w:t>
            </w:r>
          </w:p>
        </w:tc>
        <w:tc>
          <w:tcPr>
            <w:tcW w:type="dxa" w:w="2016"/>
          </w:tcPr>
          <w:p>
            <w:r/>
            <w:r>
              <w:rPr>
                <w:rFonts w:ascii="Times New Roman" w:hAnsi="Times New Roman"/>
                <w:sz w:val="19"/>
              </w:rPr>
              <w:t>11/10/4/2/19/3/35</w:t>
            </w:r>
          </w:p>
        </w:tc>
        <w:tc>
          <w:tcPr>
            <w:tcW w:type="dxa" w:w="2016"/>
          </w:tcPr>
          <w:p>
            <w:r/>
            <w:r>
              <w:rPr>
                <w:rFonts w:ascii="Times New Roman" w:hAnsi="Times New Roman"/>
                <w:sz w:val="19"/>
              </w:rPr>
              <w:t>3/3/1/1/6/1/8</w:t>
            </w:r>
          </w:p>
        </w:tc>
        <w:tc>
          <w:tcPr>
            <w:tcW w:type="dxa" w:w="2016"/>
          </w:tcPr>
          <w:p>
            <w:r/>
            <w:r>
              <w:rPr>
                <w:rFonts w:ascii="Times New Roman" w:hAnsi="Times New Roman"/>
                <w:sz w:val="19"/>
              </w:rPr>
              <w:t>3/2/1/1/6/1/7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ss2</w:t>
            </w:r>
          </w:p>
        </w:tc>
        <w:tc>
          <w:tcPr>
            <w:tcW w:type="dxa" w:w="2016"/>
          </w:tcPr>
          <w:p>
            <w:r/>
            <w:r>
              <w:rPr>
                <w:rFonts w:ascii="Times New Roman" w:hAnsi="Times New Roman"/>
                <w:sz w:val="19"/>
              </w:rPr>
              <w:t>11/10/4/2/21/3/35</w:t>
            </w:r>
          </w:p>
        </w:tc>
        <w:tc>
          <w:tcPr>
            <w:tcW w:type="dxa" w:w="2016"/>
          </w:tcPr>
          <w:p>
            <w:r/>
            <w:r>
              <w:rPr>
                <w:rFonts w:ascii="Times New Roman" w:hAnsi="Times New Roman"/>
                <w:sz w:val="19"/>
              </w:rPr>
              <w:t>3/2/1/1/5/1/8</w:t>
            </w:r>
          </w:p>
        </w:tc>
        <w:tc>
          <w:tcPr>
            <w:tcW w:type="dxa" w:w="2016"/>
          </w:tcPr>
          <w:p>
            <w:r/>
            <w:r>
              <w:rPr>
                <w:rFonts w:ascii="Times New Roman" w:hAnsi="Times New Roman"/>
                <w:sz w:val="19"/>
              </w:rPr>
              <w:t>3/3/1/1/5/1/7</w:t>
            </w:r>
          </w:p>
        </w:tc>
        <w:tc>
          <w:tcPr>
            <w:tcW w:type="dxa" w:w="2016"/>
          </w:tcPr>
          <w:p>
            <w:r/>
            <w:r>
              <w:rPr>
                <w:rFonts w:ascii="Times New Roman" w:hAnsi="Times New Roman"/>
                <w:sz w:val="19"/>
              </w:rP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17/15/6/4/31/5/50（三种子相同）。覆盖约束 C1 = 验证+测试合计每类正样本 ≥ 该类池内总数的 30%，C2 = 验证、测试各自每类 ≥ 1，均为**校正后达标**（`split_report.json::rule_check`）。⚠ 池内 `front_running` 仅 4 个正样本、`time_manipulation` 5 个 ⇒ test 侧逐类 support 低至 1，单类 F1 一次翻转即跳 ±0.67，这些类仅作描述性呈现、不进入方法间比较结论。</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sz w:val="19"/>
              </w:rPr>
              <w:t>阶段</w:t>
            </w:r>
          </w:p>
        </w:tc>
        <w:tc>
          <w:tcPr>
            <w:tcW w:type="dxa" w:w="1680"/>
          </w:tcPr>
          <w:p>
            <w:r/>
            <w:r>
              <w:rPr>
                <w:rFonts w:ascii="Times New Roman" w:hAnsi="Times New Roman"/>
                <w:sz w:val="19"/>
              </w:rPr>
              <w:t>seed0</w:t>
            </w:r>
          </w:p>
        </w:tc>
        <w:tc>
          <w:tcPr>
            <w:tcW w:type="dxa" w:w="1680"/>
          </w:tcPr>
          <w:p>
            <w:r/>
            <w:r>
              <w:rPr>
                <w:rFonts w:ascii="Times New Roman" w:hAnsi="Times New Roman"/>
                <w:sz w:val="19"/>
              </w:rPr>
              <w:t>seed1</w:t>
            </w:r>
          </w:p>
        </w:tc>
        <w:tc>
          <w:tcPr>
            <w:tcW w:type="dxa" w:w="1680"/>
          </w:tcPr>
          <w:p>
            <w:r/>
            <w:r>
              <w:rPr>
                <w:rFonts w:ascii="Times New Roman" w:hAnsi="Times New Roman"/>
                <w:sz w:val="19"/>
              </w:rPr>
              <w:t>seed2</w:t>
            </w:r>
          </w:p>
        </w:tc>
        <w:tc>
          <w:tcPr>
            <w:tcW w:type="dxa" w:w="1680"/>
          </w:tcPr>
          <w:p>
            <w:r/>
            <w:r>
              <w:rPr>
                <w:rFonts w:ascii="Times New Roman" w:hAnsi="Times New Roman"/>
                <w:sz w:val="19"/>
              </w:rPr>
              <w:t>口径</w:t>
            </w:r>
          </w:p>
        </w:tc>
        <w:tc>
          <w:tcPr>
            <w:tcW w:type="dxa" w:w="1680"/>
          </w:tcPr>
          <w:p>
            <w:r/>
            <w:r>
              <w:rPr>
                <w:rFonts w:ascii="Times New Roman" w:hAnsi="Times New Roman"/>
                <w:sz w:val="19"/>
              </w:rPr>
              <w:t>出处</w:t>
            </w:r>
          </w:p>
        </w:tc>
      </w:tr>
      <w:tr>
        <w:tc>
          <w:tcPr>
            <w:tcW w:type="dxa" w:w="1680"/>
          </w:tcPr>
          <w:p>
            <w:r/>
            <w:r>
              <w:rPr>
                <w:rFonts w:ascii="Times New Roman" w:hAnsi="Times New Roman"/>
                <w:sz w:val="19"/>
              </w:rPr>
              <w:t>M1+M2 建图（591 源文件 → 590 图）</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主构建**无计时记录**；变体重建 590 图约 68–78 s 可作下界参考</w:t>
            </w:r>
          </w:p>
        </w:tc>
        <w:tc>
          <w:tcPr>
            <w:tcW w:type="dxa" w:w="1680"/>
          </w:tcPr>
          <w:p>
            <w:r/>
            <w:r>
              <w:rPr>
                <w:rFonts w:ascii="Times New Roman" w:hAnsi="Times New Roman"/>
                <w:sz w:val="19"/>
              </w:rPr>
              <w:t>（主构建脚本内无计时代码）</w:t>
            </w:r>
          </w:p>
        </w:tc>
      </w:tr>
      <w:tr>
        <w:tc>
          <w:tcPr>
            <w:tcW w:type="dxa" w:w="1680"/>
          </w:tcPr>
          <w:p>
            <w:r/>
            <w:r>
              <w:rPr>
                <w:rFonts w:ascii="Times New Roman" w:hAnsi="Times New Roman"/>
                <w:sz w:val="19"/>
              </w:rPr>
              <w:t>M3 重编码（微调编码器，590 图 / 95918 节点）</w:t>
            </w:r>
          </w:p>
        </w:tc>
        <w:tc>
          <w:tcPr>
            <w:tcW w:type="dxa" w:w="1680"/>
          </w:tcPr>
          <w:p>
            <w:r/>
            <w:r>
              <w:rPr>
                <w:rFonts w:ascii="Times New Roman" w:hAnsi="Times New Roman"/>
                <w:sz w:val="19"/>
              </w:rPr>
              <w:t>631.9 s</w:t>
            </w:r>
          </w:p>
        </w:tc>
        <w:tc>
          <w:tcPr>
            <w:tcW w:type="dxa" w:w="1680"/>
          </w:tcPr>
          <w:p>
            <w:r/>
            <w:r>
              <w:rPr>
                <w:rFonts w:ascii="Times New Roman" w:hAnsi="Times New Roman"/>
                <w:sz w:val="19"/>
              </w:rPr>
              <w:t>578.5 s</w:t>
            </w:r>
          </w:p>
        </w:tc>
        <w:tc>
          <w:tcPr>
            <w:tcW w:type="dxa" w:w="1680"/>
          </w:tcPr>
          <w:p>
            <w:r/>
            <w:r>
              <w:rPr>
                <w:rFonts w:ascii="Times New Roman" w:hAnsi="Times New Roman"/>
                <w:sz w:val="19"/>
              </w:rPr>
              <w:t>574.4 s</w:t>
            </w:r>
          </w:p>
        </w:tc>
        <w:tc>
          <w:tcPr>
            <w:tcW w:type="dxa" w:w="1680"/>
          </w:tcPr>
          <w:p>
            <w:r/>
            <w:r>
              <w:rPr>
                <w:rFonts w:ascii="Times New Roman" w:hAnsi="Times New Roman"/>
                <w:sz w:val="19"/>
              </w:rPr>
              <w:t>重编码净耗时（GPU）</w:t>
            </w:r>
          </w:p>
        </w:tc>
        <w:tc>
          <w:tcPr>
            <w:tcW w:type="dxa" w:w="1680"/>
          </w:tcPr>
          <w:p>
            <w:r/>
            <w:r>
              <w:rPr>
                <w:rFonts w:ascii="Times New Roman" w:hAnsi="Times New Roman"/>
                <w:sz w:val="19"/>
              </w:rPr>
              <w:t>runs/queue_logs/main_variant_cb_ft_ss{S}.log:2</w:t>
            </w:r>
          </w:p>
        </w:tc>
      </w:tr>
      <w:tr>
        <w:tc>
          <w:tcPr>
            <w:tcW w:type="dxa" w:w="1680"/>
          </w:tcPr>
          <w:p>
            <w:r/>
            <w:r>
              <w:rPr>
                <w:rFonts w:ascii="Times New Roman" w:hAnsi="Times New Roman"/>
                <w:sz w:val="19"/>
              </w:rPr>
              <w:t>CodeBERT 微调（**新正典**，20 轮预算）</w:t>
            </w:r>
          </w:p>
        </w:tc>
        <w:tc>
          <w:tcPr>
            <w:tcW w:type="dxa" w:w="1680"/>
          </w:tcPr>
          <w:p>
            <w:r/>
            <w:r>
              <w:rPr>
                <w:rFonts w:ascii="Times New Roman" w:hAnsi="Times New Roman"/>
                <w:sz w:val="19"/>
              </w:rPr>
              <w:t>1825.8 s</w:t>
            </w:r>
          </w:p>
        </w:tc>
        <w:tc>
          <w:tcPr>
            <w:tcW w:type="dxa" w:w="1680"/>
          </w:tcPr>
          <w:p>
            <w:r/>
            <w:r>
              <w:rPr>
                <w:rFonts w:ascii="Times New Roman" w:hAnsi="Times New Roman"/>
                <w:sz w:val="19"/>
              </w:rPr>
              <w:t>1954.4 s</w:t>
            </w:r>
          </w:p>
        </w:tc>
        <w:tc>
          <w:tcPr>
            <w:tcW w:type="dxa" w:w="1680"/>
          </w:tcPr>
          <w:p>
            <w:r/>
            <w:r>
              <w:rPr>
                <w:rFonts w:ascii="Times New Roman" w:hAnsi="Times New Roman"/>
                <w:sz w:val="19"/>
              </w:rPr>
              <w:t>2322.7 s</w:t>
            </w:r>
          </w:p>
        </w:tc>
        <w:tc>
          <w:tcPr>
            <w:tcW w:type="dxa" w:w="1680"/>
          </w:tcPr>
          <w:p>
            <w:r/>
            <w:r>
              <w:rPr>
                <w:rFonts w:ascii="Times New Roman" w:hAnsi="Times New Roman"/>
                <w:sz w:val="19"/>
              </w:rPr>
              <w:t>wall（GPU，早停触发于 ep13/15/18）</w:t>
            </w:r>
          </w:p>
        </w:tc>
        <w:tc>
          <w:tcPr>
            <w:tcW w:type="dxa" w:w="1680"/>
          </w:tcPr>
          <w:p>
            <w:r/>
            <w:r>
              <w:rPr>
                <w:rFonts w:ascii="Times New Roman" w:hAnsi="Times New Roman"/>
                <w:sz w:val="19"/>
              </w:rPr>
              <w:t>runs/codebert_ft_p2/ss{S}/config.json::timing.wall_seconds</w:t>
            </w:r>
          </w:p>
        </w:tc>
      </w:tr>
      <w:tr>
        <w:tc>
          <w:tcPr>
            <w:tcW w:type="dxa" w:w="1680"/>
          </w:tcPr>
          <w:p>
            <w:r/>
            <w:r>
              <w:rPr>
                <w:rFonts w:ascii="Times New Roman" w:hAnsi="Times New Roman"/>
                <w:sz w:val="19"/>
              </w:rPr>
              <w:t>CodeBERT 微调（**消融档**，5 轮）</w:t>
            </w:r>
          </w:p>
        </w:tc>
        <w:tc>
          <w:tcPr>
            <w:tcW w:type="dxa" w:w="1680"/>
          </w:tcPr>
          <w:p>
            <w:r/>
            <w:r>
              <w:rPr>
                <w:rFonts w:ascii="Times New Roman" w:hAnsi="Times New Roman"/>
                <w:sz w:val="19"/>
              </w:rPr>
              <w:t>933.5 s</w:t>
            </w:r>
          </w:p>
        </w:tc>
        <w:tc>
          <w:tcPr>
            <w:tcW w:type="dxa" w:w="1680"/>
          </w:tcPr>
          <w:p>
            <w:r/>
            <w:r>
              <w:rPr>
                <w:rFonts w:ascii="Times New Roman" w:hAnsi="Times New Roman"/>
                <w:sz w:val="19"/>
              </w:rPr>
              <w:t>931.2 s</w:t>
            </w:r>
          </w:p>
        </w:tc>
        <w:tc>
          <w:tcPr>
            <w:tcW w:type="dxa" w:w="1680"/>
          </w:tcPr>
          <w:p>
            <w:r/>
            <w:r>
              <w:rPr>
                <w:rFonts w:ascii="Times New Roman" w:hAnsi="Times New Roman"/>
                <w:sz w:val="19"/>
              </w:rPr>
              <w:t>680.9 s</w:t>
            </w:r>
          </w:p>
        </w:tc>
        <w:tc>
          <w:tcPr>
            <w:tcW w:type="dxa" w:w="1680"/>
          </w:tcPr>
          <w:p>
            <w:r/>
            <w:r>
              <w:rPr>
                <w:rFonts w:ascii="Times New Roman" w:hAnsi="Times New Roman"/>
                <w:sz w:val="19"/>
              </w:rPr>
              <w:t>wall（GPU）——该档现为消融臂，不再进主方案</w:t>
            </w:r>
          </w:p>
        </w:tc>
        <w:tc>
          <w:tcPr>
            <w:tcW w:type="dxa" w:w="1680"/>
          </w:tcPr>
          <w:p>
            <w:r/>
            <w:r>
              <w:rPr>
                <w:rFonts w:ascii="Times New Roman" w:hAnsi="Times New Roman"/>
                <w:sz w:val="19"/>
              </w:rPr>
              <w:t>runs/codebert_ft/alldata/ss{S}/config.json::timing</w:t>
            </w:r>
          </w:p>
        </w:tc>
      </w:tr>
      <w:tr>
        <w:tc>
          <w:tcPr>
            <w:tcW w:type="dxa" w:w="1680"/>
          </w:tcPr>
          <w:p>
            <w:r/>
            <w:r>
              <w:rPr>
                <w:rFonts w:ascii="Times New Roman" w:hAnsi="Times New Roman"/>
                <w:sz w:val="19"/>
              </w:rPr>
              <w:t>GNN 训练循环</w:t>
            </w:r>
          </w:p>
        </w:tc>
        <w:tc>
          <w:tcPr>
            <w:tcW w:type="dxa" w:w="1680"/>
          </w:tcPr>
          <w:p>
            <w:r/>
            <w:r>
              <w:rPr>
                <w:rFonts w:ascii="Times New Roman" w:hAnsi="Times New Roman"/>
                <w:sz w:val="19"/>
              </w:rPr>
              <w:t>6.4 s</w:t>
            </w:r>
          </w:p>
        </w:tc>
        <w:tc>
          <w:tcPr>
            <w:tcW w:type="dxa" w:w="1680"/>
          </w:tcPr>
          <w:p>
            <w:r/>
            <w:r>
              <w:rPr>
                <w:rFonts w:ascii="Times New Roman" w:hAnsi="Times New Roman"/>
                <w:sz w:val="19"/>
              </w:rPr>
              <w:t>4.6 s</w:t>
            </w:r>
          </w:p>
        </w:tc>
        <w:tc>
          <w:tcPr>
            <w:tcW w:type="dxa" w:w="1680"/>
          </w:tcPr>
          <w:p>
            <w:r/>
            <w:r>
              <w:rPr>
                <w:rFonts w:ascii="Times New Roman" w:hAnsi="Times New Roman"/>
                <w:sz w:val="19"/>
              </w:rPr>
              <w:t>6.3 s</w:t>
            </w:r>
          </w:p>
        </w:tc>
        <w:tc>
          <w:tcPr>
            <w:tcW w:type="dxa" w:w="1680"/>
          </w:tcPr>
          <w:p>
            <w:r/>
            <w:r>
              <w:rPr>
                <w:rFonts w:ascii="Times New Roman" w:hAnsi="Times New Roman"/>
                <w:sz w:val="19"/>
              </w:rPr>
              <w:t>train_seconds</w:t>
            </w:r>
          </w:p>
        </w:tc>
        <w:tc>
          <w:tcPr>
            <w:tcW w:type="dxa" w:w="1680"/>
          </w:tcPr>
          <w:p>
            <w:r/>
            <w:r>
              <w:rPr>
                <w:rFonts w:ascii="Times New Roman" w:hAnsi="Times New Roman"/>
                <w:sz w:val="19"/>
              </w:rPr>
              <w:t>runs/seed{S}/config.json::timing</w:t>
            </w:r>
          </w:p>
        </w:tc>
      </w:tr>
      <w:tr>
        <w:tc>
          <w:tcPr>
            <w:tcW w:type="dxa" w:w="1680"/>
          </w:tcPr>
          <w:p>
            <w:r/>
            <w:r>
              <w:rPr>
                <w:rFonts w:ascii="Times New Roman" w:hAnsi="Times New Roman"/>
                <w:sz w:val="19"/>
              </w:rPr>
              <w:t>GNN 端到端 wall</w:t>
            </w:r>
          </w:p>
        </w:tc>
        <w:tc>
          <w:tcPr>
            <w:tcW w:type="dxa" w:w="1680"/>
          </w:tcPr>
          <w:p>
            <w:r/>
            <w:r>
              <w:rPr>
                <w:rFonts w:ascii="Times New Roman" w:hAnsi="Times New Roman"/>
                <w:sz w:val="19"/>
              </w:rPr>
              <w:t>8.6 s</w:t>
            </w:r>
          </w:p>
        </w:tc>
        <w:tc>
          <w:tcPr>
            <w:tcW w:type="dxa" w:w="1680"/>
          </w:tcPr>
          <w:p>
            <w:r/>
            <w:r>
              <w:rPr>
                <w:rFonts w:ascii="Times New Roman" w:hAnsi="Times New Roman"/>
                <w:sz w:val="19"/>
              </w:rPr>
              <w:t>6.5 s</w:t>
            </w:r>
          </w:p>
        </w:tc>
        <w:tc>
          <w:tcPr>
            <w:tcW w:type="dxa" w:w="1680"/>
          </w:tcPr>
          <w:p>
            <w:r/>
            <w:r>
              <w:rPr>
                <w:rFonts w:ascii="Times New Roman" w:hAnsi="Times New Roman"/>
                <w:sz w:val="19"/>
              </w:rPr>
              <w:t>8.6 s</w:t>
            </w:r>
          </w:p>
        </w:tc>
        <w:tc>
          <w:tcPr>
            <w:tcW w:type="dxa" w:w="1680"/>
          </w:tcPr>
          <w:p>
            <w:r/>
            <w:r>
              <w:rPr>
                <w:rFonts w:ascii="Times New Roman" w:hAnsi="Times New Roman"/>
                <w:sz w:val="19"/>
              </w:rPr>
              <w:t>含验证推理与阈值搜索</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GNN 实际训练轮数</w:t>
            </w:r>
          </w:p>
        </w:tc>
        <w:tc>
          <w:tcPr>
            <w:tcW w:type="dxa" w:w="1680"/>
          </w:tcPr>
          <w:p>
            <w:r/>
            <w:r>
              <w:rPr>
                <w:rFonts w:ascii="Times New Roman" w:hAnsi="Times New Roman"/>
                <w:sz w:val="19"/>
              </w:rPr>
              <w:t>13</w:t>
            </w:r>
          </w:p>
        </w:tc>
        <w:tc>
          <w:tcPr>
            <w:tcW w:type="dxa" w:w="1680"/>
          </w:tcPr>
          <w:p>
            <w:r/>
            <w:r>
              <w:rPr>
                <w:rFonts w:ascii="Times New Roman" w:hAnsi="Times New Roman"/>
                <w:sz w:val="19"/>
              </w:rPr>
              <w:t>15</w:t>
            </w:r>
          </w:p>
        </w:tc>
        <w:tc>
          <w:tcPr>
            <w:tcW w:type="dxa" w:w="1680"/>
          </w:tcPr>
          <w:p>
            <w:r/>
            <w:r>
              <w:rPr>
                <w:rFonts w:ascii="Times New Roman" w:hAnsi="Times New Roman"/>
                <w:sz w:val="19"/>
              </w:rPr>
              <w:t>18</w:t>
            </w:r>
          </w:p>
        </w:tc>
        <w:tc>
          <w:tcPr>
            <w:tcW w:type="dxa" w:w="1680"/>
          </w:tcPr>
          <w:p>
            <w:r/>
            <w:r>
              <w:rPr>
                <w:rFonts w:ascii="Times New Roman" w:hAnsi="Times New Roman"/>
                <w:sz w:val="19"/>
              </w:rPr>
              <w:t>epochs_completed（早停触发）</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端到端合计（单种子，从零）</w:t>
            </w:r>
          </w:p>
        </w:tc>
        <w:tc>
          <w:tcPr>
            <w:tcW w:type="dxa" w:w="1680"/>
          </w:tcPr>
          <w:p>
            <w:r/>
            <w:r>
              <w:rPr>
                <w:rFonts w:ascii="Times New Roman" w:hAnsi="Times New Roman"/>
                <w:sz w:val="19"/>
              </w:rPr>
              <w:t>≈2470 s</w:t>
            </w:r>
          </w:p>
        </w:tc>
        <w:tc>
          <w:tcPr>
            <w:tcW w:type="dxa" w:w="1680"/>
          </w:tcPr>
          <w:p>
            <w:r/>
            <w:r>
              <w:rPr>
                <w:rFonts w:ascii="Times New Roman" w:hAnsi="Times New Roman"/>
                <w:sz w:val="19"/>
              </w:rPr>
              <w:t>≈2540 s</w:t>
            </w:r>
          </w:p>
        </w:tc>
        <w:tc>
          <w:tcPr>
            <w:tcW w:type="dxa" w:w="1680"/>
          </w:tcPr>
          <w:p>
            <w:r/>
            <w:r>
              <w:rPr>
                <w:rFonts w:ascii="Times New Roman" w:hAnsi="Times New Roman"/>
                <w:sz w:val="19"/>
              </w:rPr>
              <w:t>≈2910 s</w:t>
            </w:r>
          </w:p>
        </w:tc>
        <w:tc>
          <w:tcPr>
            <w:tcW w:type="dxa" w:w="1680"/>
          </w:tcPr>
          <w:p>
            <w:r/>
            <w:r>
              <w:rPr>
                <w:rFonts w:ascii="Times New Roman" w:hAnsi="Times New Roman"/>
                <w:sz w:val="19"/>
              </w:rPr>
              <w:t>= M3 重编码 + 编码器微调（20 轮档） + GNN wall（M1/M2 未计）</w:t>
            </w:r>
          </w:p>
        </w:tc>
        <w:tc>
          <w:tcPr>
            <w:tcW w:type="dxa" w:w="1680"/>
          </w:tcPr>
          <w:p>
            <w:r/>
            <w:r>
              <w:rPr>
                <w:rFonts w:ascii="Times New Roman" w:hAnsi="Times New Roman"/>
                <w:sz w:val="19"/>
              </w:rP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**成本结构是本研究点最该被如实记录的一条**：编码器微调 + M3 重编码这两段**一次性上游成本合计约 2500–2900 s**，是 GNN 训练段（~8 s）的 **约 300 倍**。故「本文方法训练很快」**只对 GNN 段成立**；论文若要报端到端成本，必须把上游两段计入（本表末行已给出合计）。⚠ **三点必须随表披露**：① 编码器从 5 轮档换到 20 轮档，**上游成本随之由 ~850 s 涨到 ~2000 s**（约 2.3 倍）——这是换取代价，须与 §4.7.5 之后的增益一并报告；② M1/M2 的**主构建**（`generate_all_ast_cfg_dfg.sh`，591 源文件）在本仓**没有任何机器可读的计时记录**（脚本内无计时代码、日志目录无该步日志），表中所给仅为**变体重建** 590 图的近似下界，不得当作主构建耗时引用；③ 本表 GNN 段用的是**现行正典** `runs/seed{S}`（从零训练、`--deterministic`）—— 该产物原先落在 `runs/p2_canon/seed{S}`，2026-09-25 换代时**就位到正典路径**，`config.json` 与产物**逐字节未动**；而**消融档那一行**的计时出自**旧正典**，其产物是**由 `runs/cbft_study/cbft_ts{S}_ss{S}/seed{S}` 提升而来**（见其 `promoted_from` 字段），**不代表从零跑一遍的耗时**；旧正典的 run 现归档于 `runs/prior_canon37/seed{S}/`。另：5.3 对比表中三条基线的表内成本同样只含其模型训练段、离线特征工程另计，两侧口径一致（均为「模型训练」）。</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r>
              <w:rPr>
                <w:rFonts w:ascii="Times New Roman" w:hAnsi="Times New Roman"/>
                <w:sz w:val="19"/>
              </w:rPr>
              <w:t>七维 micro 0.1224（322 个标签格中 6.5% 为正）；合约级二分类 0.6199（46 个测试合约中 45.7% 有漏洞）</w:t>
            </w:r>
          </w:p>
        </w:tc>
      </w:tr>
      <w:tr>
        <w:tc>
          <w:tcPr>
            <w:tcW w:type="dxa" w:w="5040"/>
          </w:tcPr>
          <w:p>
            <w:r/>
            <w:r>
              <w:rPr>
                <w:rFonts w:ascii="Times New Roman" w:hAnsi="Times New Roman"/>
                <w:sz w:val="19"/>
              </w:rPr>
              <w:t>区间估计</w:t>
            </w:r>
          </w:p>
        </w:tc>
        <w:tc>
          <w:tcPr>
            <w:tcW w:type="dxa" w:w="5040"/>
          </w:tcPr>
          <w:p>
            <w:r/>
            <w:r>
              <w:rPr>
                <w:rFonts w:ascii="Times New Roman" w:hAnsi="Times New Roman"/>
                <w:sz w:val="19"/>
              </w:rPr>
              <w:t>micro-F1 的 bootstrap 95% CI 宽达 0.34–0.40（46 个测试合约 / 21 个正标签对）⇒ **不得**用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两个口径的平凡下限相差 0.50，**七维与合约级二分类的数字不可互比**；诊断补充口径（`clean_only`、温度缩放、per-class 阈值、多种子集成）一律**不进主结果**，见 `experiments/decisions.md`。</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r>
              <w:rPr>
                <w:rFonts w:ascii="Times New Roman" w:hAnsi="Times New Roman"/>
                <w:sz w:val="19"/>
              </w:rPr>
              <w:t>21 臂 × 3 种子</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r>
              <w:rPr>
                <w:rFonts w:ascii="Times New Roman" w:hAnsi="Times New Roman"/>
                <w:sz w:val="19"/>
              </w:rP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9728BF" w14:textId="77777777" w:rsidR="00C71227" w:rsidRPr="0080482A" w:rsidRDefault="001E4299">
            <w:pPr>
              <w:rPr>
                <w:rFonts w:ascii="Times New Roman" w:hAnsi="Times New Roman" w:cs="Times New Roman"/>
                <w:sz w:val="18"/>
                <w:szCs w:val="18"/>
              </w:rPr>
            </w:pPr>
            <w:r w:rsidRPr="0080482A">
              <w:rPr>
                <w:rFonts w:ascii="Times New Roman" w:hAnsi="Times New Roman" w:cs="Times New Roman"/>
                <w:sz w:val="18"/>
                <w:szCs w:val="18"/>
              </w:rPr>
              <w:t>七类漏洞合约级标注</w:t>
            </w:r>
            <w:r w:rsidR="009D2990" w:rsidRPr="0080482A">
              <w:rPr>
                <w:rFonts w:ascii="Times New Roman" w:hAnsi="Times New Roman" w:cs="Times New Roman"/>
                <w:sz w:val="18"/>
                <w:szCs w:val="18"/>
              </w:rPr>
              <w:t>。</w:t>
            </w:r>
          </w:p>
          <w:p w14:paraId="3B02F9BC"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数据按七类漏洞文件夹组织，原始记录共</w:t>
            </w:r>
            <w:r w:rsidRPr="0080482A">
              <w:rPr>
                <w:rFonts w:ascii="Times New Roman" w:hAnsi="Times New Roman" w:cs="Times New Roman"/>
                <w:sz w:val="18"/>
                <w:szCs w:val="18"/>
              </w:rPr>
              <w:t>3482</w:t>
            </w:r>
            <w:r w:rsidRPr="0080482A">
              <w:rPr>
                <w:rFonts w:ascii="Times New Roman" w:hAnsi="Times New Roman" w:cs="Times New Roman"/>
                <w:sz w:val="18"/>
                <w:szCs w:val="18"/>
              </w:rPr>
              <w:t>条，去重后唯一合约名数为</w:t>
            </w:r>
            <w:r w:rsidRPr="0080482A">
              <w:rPr>
                <w:rFonts w:ascii="Times New Roman" w:hAnsi="Times New Roman" w:cs="Times New Roman"/>
                <w:sz w:val="18"/>
                <w:szCs w:val="18"/>
              </w:rPr>
              <w:t>2002</w:t>
            </w:r>
            <w:r w:rsidRPr="0080482A">
              <w:rPr>
                <w:rFonts w:ascii="Times New Roman" w:hAnsi="Times New Roman" w:cs="Times New Roman"/>
                <w:sz w:val="18"/>
                <w:szCs w:val="18"/>
              </w:rPr>
              <w:t>个（</w:t>
            </w:r>
            <w:r w:rsidRPr="0080482A">
              <w:rPr>
                <w:rFonts w:ascii="Times New Roman" w:hAnsi="Times New Roman" w:cs="Times New Roman"/>
                <w:sz w:val="18"/>
                <w:szCs w:val="18"/>
              </w:rPr>
              <w:t>=</w:t>
            </w:r>
            <w:r w:rsidRPr="0080482A">
              <w:rPr>
                <w:rFonts w:ascii="Times New Roman" w:hAnsi="Times New Roman" w:cs="Times New Roman"/>
                <w:sz w:val="18"/>
                <w:szCs w:val="18"/>
              </w:rPr>
              <w:t>主标签文件条目数，其中正标签条目</w:t>
            </w:r>
            <w:r w:rsidRPr="0080482A">
              <w:rPr>
                <w:rFonts w:ascii="Times New Roman" w:hAnsi="Times New Roman" w:cs="Times New Roman"/>
                <w:sz w:val="18"/>
                <w:szCs w:val="18"/>
              </w:rPr>
              <w:t>257</w:t>
            </w:r>
            <w:r w:rsidRPr="0080482A">
              <w:rPr>
                <w:rFonts w:ascii="Times New Roman" w:hAnsi="Times New Roman" w:cs="Times New Roman"/>
                <w:sz w:val="18"/>
                <w:szCs w:val="18"/>
              </w:rPr>
              <w:t>个、多标签</w:t>
            </w:r>
            <w:r w:rsidRPr="0080482A">
              <w:rPr>
                <w:rFonts w:ascii="Times New Roman" w:hAnsi="Times New Roman" w:cs="Times New Roman"/>
                <w:sz w:val="18"/>
                <w:szCs w:val="18"/>
              </w:rPr>
              <w:t>123</w:t>
            </w:r>
            <w:r w:rsidRPr="0080482A">
              <w:rPr>
                <w:rFonts w:ascii="Times New Roman" w:hAnsi="Times New Roman" w:cs="Times New Roman"/>
                <w:sz w:val="18"/>
                <w:szCs w:val="18"/>
              </w:rPr>
              <w:t>个、全零</w:t>
            </w:r>
            <w:r w:rsidRPr="0080482A">
              <w:rPr>
                <w:rFonts w:ascii="Times New Roman" w:hAnsi="Times New Roman" w:cs="Times New Roman"/>
                <w:sz w:val="18"/>
                <w:szCs w:val="18"/>
              </w:rPr>
              <w:t>1745</w:t>
            </w:r>
            <w:r w:rsidRPr="0080482A">
              <w:rPr>
                <w:rFonts w:ascii="Times New Roman" w:hAnsi="Times New Roman" w:cs="Times New Roman"/>
                <w:sz w:val="18"/>
                <w:szCs w:val="18"/>
              </w:rPr>
              <w:t>个）。各类别原始记录数为：</w:t>
            </w:r>
            <w:r w:rsidRPr="0080482A">
              <w:rPr>
                <w:rFonts w:ascii="Times New Roman" w:hAnsi="Times New Roman" w:cs="Times New Roman"/>
                <w:sz w:val="18"/>
                <w:szCs w:val="18"/>
              </w:rPr>
              <w:t>access_control 474</w:t>
            </w:r>
            <w:r w:rsidRPr="0080482A">
              <w:rPr>
                <w:rFonts w:ascii="Times New Roman" w:hAnsi="Times New Roman" w:cs="Times New Roman"/>
                <w:sz w:val="18"/>
                <w:szCs w:val="18"/>
              </w:rPr>
              <w:t>、</w:t>
            </w:r>
            <w:r w:rsidRPr="0080482A">
              <w:rPr>
                <w:rFonts w:ascii="Times New Roman" w:hAnsi="Times New Roman" w:cs="Times New Roman"/>
                <w:sz w:val="18"/>
                <w:szCs w:val="18"/>
              </w:rPr>
              <w:t>arithmetic 514</w:t>
            </w:r>
            <w:r w:rsidRPr="0080482A">
              <w:rPr>
                <w:rFonts w:ascii="Times New Roman" w:hAnsi="Times New Roman" w:cs="Times New Roman"/>
                <w:sz w:val="18"/>
                <w:szCs w:val="18"/>
              </w:rPr>
              <w:t>、</w:t>
            </w:r>
            <w:r w:rsidRPr="0080482A">
              <w:rPr>
                <w:rFonts w:ascii="Times New Roman" w:hAnsi="Times New Roman" w:cs="Times New Roman"/>
                <w:sz w:val="18"/>
                <w:szCs w:val="18"/>
              </w:rPr>
              <w:t>dos 406</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398</w:t>
            </w:r>
            <w:r w:rsidRPr="0080482A">
              <w:rPr>
                <w:rFonts w:ascii="Times New Roman" w:hAnsi="Times New Roman" w:cs="Times New Roman"/>
                <w:sz w:val="18"/>
                <w:szCs w:val="18"/>
              </w:rPr>
              <w:t>、</w:t>
            </w:r>
            <w:r w:rsidRPr="0080482A">
              <w:rPr>
                <w:rFonts w:ascii="Times New Roman" w:hAnsi="Times New Roman" w:cs="Times New Roman"/>
                <w:sz w:val="18"/>
                <w:szCs w:val="18"/>
              </w:rPr>
              <w:t>reentrancy 543</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444</w:t>
            </w:r>
            <w:r w:rsidRPr="0080482A">
              <w:rPr>
                <w:rFonts w:ascii="Times New Roman" w:hAnsi="Times New Roman" w:cs="Times New Roman"/>
                <w:sz w:val="18"/>
                <w:szCs w:val="18"/>
              </w:rPr>
              <w:t>、</w:t>
            </w:r>
            <w:r w:rsidRPr="0080482A">
              <w:rPr>
                <w:rFonts w:ascii="Times New Roman" w:hAnsi="Times New Roman" w:cs="Times New Roman"/>
                <w:sz w:val="18"/>
                <w:szCs w:val="18"/>
              </w:rPr>
              <w:t>uncheck 703</w:t>
            </w:r>
            <w:r w:rsidRPr="0080482A">
              <w:rPr>
                <w:rFonts w:ascii="Times New Roman" w:hAnsi="Times New Roman" w:cs="Times New Roman"/>
                <w:sz w:val="18"/>
                <w:szCs w:val="18"/>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上述 2002 为**合约名级**条目数。构建图时按项目前缀（`__` 前第一段，剥去 `asd_`/`nasd_`）归并为 **590 个唯一项目级合约**；再剔除 `buggy_*` 注入噪声（90）与源码重复（47）后，构成**训练池 453**（train/val/test = 362/45/46），其中全零（正常）合约 326 个。三份只读源现为 `alldata(readonly)/alldata_sol_source/` 下**扁平 591 个 `.sol`**（原始七类文件夹组织在导入时已摊平；上表的类别记录数 3482 = 474+514+406+398+543+444+703 为该阶段的统计）。详见 §4.7.4。</w:t>
            </w:r>
            <w:r w:rsidRPr="0080482A">
              <w:rPr>
                <w:rFonts w:ascii="Times New Roman" w:hAnsi="Times New Roman" w:cs="Times New Roman"/>
              </w:rPr>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w:t>
      </w:r>
      <w:r w:rsidRPr="0080482A">
        <w:rPr>
          <w:rFonts w:ascii="Times New Roman" w:hAnsi="Times New Roman" w:cs="Times New Roman"/>
        </w:rPr>
        <w:t>MVD-HG</w:t>
      </w:r>
      <w:r w:rsidRPr="0080482A">
        <w:rPr>
          <w:rFonts w:ascii="Times New Roman" w:hAnsi="Times New Roman" w:cs="Times New Roman"/>
        </w:rPr>
        <w:t>内部测试划分）与跨数据集外部测试（</w:t>
      </w:r>
      <w:r w:rsidRPr="0080482A">
        <w:rPr>
          <w:rFonts w:ascii="Times New Roman" w:hAnsi="Times New Roman" w:cs="Times New Roman"/>
        </w:rPr>
        <w:t>DIVE</w:t>
      </w:r>
      <w:r w:rsidRPr="0080482A">
        <w:rPr>
          <w:rFonts w:ascii="Times New Roman" w:hAnsi="Times New Roman" w:cs="Times New Roman"/>
        </w:rPr>
        <w:t>外部测试集，构建方式见</w:t>
      </w:r>
      <w:r w:rsidRPr="0080482A">
        <w:rPr>
          <w:rFonts w:ascii="Times New Roman" w:hAnsi="Times New Roman" w:cs="Times New Roman"/>
        </w:rPr>
        <w:t>5.1</w:t>
      </w:r>
      <w:r w:rsidRPr="0080482A">
        <w:rPr>
          <w:rFonts w:ascii="Times New Roman" w:hAnsi="Times New Roman" w:cs="Times New Roman"/>
        </w:rPr>
        <w:t>），评估模型是否能同时识别合约是否包含七类漏洞中的每一类。</w:t>
      </w:r>
      <w:r w:rsidRPr="0080482A">
        <w:rPr>
          <w:rFonts w:ascii="Times New Roman" w:hAnsi="Times New Roman" w:cs="Times New Roman"/>
        </w:rPr>
        <w:t>5.3</w:t>
      </w:r>
      <w:r w:rsidRPr="0080482A">
        <w:rPr>
          <w:rFonts w:ascii="Times New Roman" w:hAnsi="Times New Roman" w:cs="Times New Roman"/>
        </w:rPr>
        <w:t>全部对比方法均在两种设定下评估。评估指标以</w:t>
      </w:r>
      <w:r w:rsidRPr="0080482A">
        <w:rPr>
          <w:rFonts w:ascii="Times New Roman" w:hAnsi="Times New Roman" w:cs="Times New Roman"/>
        </w:rPr>
        <w:t>micro-F1</w:t>
      </w:r>
      <w:r w:rsidRPr="0080482A">
        <w:rPr>
          <w:rFonts w:ascii="Times New Roman" w:hAnsi="Times New Roman" w:cs="Times New Roman"/>
        </w:rPr>
        <w:t>（标签对级）为主指标；</w:t>
      </w:r>
      <w:r w:rsidRPr="0080482A">
        <w:rPr>
          <w:rFonts w:ascii="Times New Roman" w:hAnsi="Times New Roman" w:cs="Times New Roman"/>
        </w:rPr>
        <w:t>macro-F1</w:t>
      </w:r>
      <w:r w:rsidRPr="0080482A">
        <w:rPr>
          <w:rFonts w:ascii="Times New Roman" w:hAnsi="Times New Roman" w:cs="Times New Roman"/>
        </w:rPr>
        <w:t>为参考指标，报告时须注明其支撑构成；每类</w:t>
      </w:r>
      <w:r w:rsidRPr="0080482A">
        <w:rPr>
          <w:rFonts w:ascii="Times New Roman" w:hAnsi="Times New Roman" w:cs="Times New Roman"/>
        </w:rPr>
        <w:t>Precision</w:t>
      </w:r>
      <w:r w:rsidRPr="0080482A">
        <w:rPr>
          <w:rFonts w:ascii="Times New Roman" w:hAnsi="Times New Roman" w:cs="Times New Roman"/>
        </w:rPr>
        <w:t>、每类</w:t>
      </w:r>
      <w:r w:rsidRPr="0080482A">
        <w:rPr>
          <w:rFonts w:ascii="Times New Roman" w:hAnsi="Times New Roman" w:cs="Times New Roman"/>
        </w:rPr>
        <w:t>Recall</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与</w:t>
      </w:r>
      <w:r w:rsidRPr="0080482A">
        <w:rPr>
          <w:rFonts w:ascii="Times New Roman" w:hAnsi="Times New Roman" w:cs="Times New Roman"/>
        </w:rPr>
        <w:t>per-class PR-AUC</w:t>
      </w:r>
      <w:r w:rsidRPr="0080482A">
        <w:rPr>
          <w:rFonts w:ascii="Times New Roman" w:hAnsi="Times New Roman" w:cs="Times New Roman"/>
        </w:rPr>
        <w:t>均须与该划分的</w:t>
      </w:r>
      <w:r w:rsidRPr="0080482A">
        <w:rPr>
          <w:rFonts w:ascii="Times New Roman" w:hAnsi="Times New Roman" w:cs="Times New Roman"/>
        </w:rPr>
        <w:t>support</w:t>
      </w:r>
      <w:r w:rsidRPr="0080482A">
        <w:rPr>
          <w:rFonts w:ascii="Times New Roman" w:hAnsi="Times New Roman" w:cs="Times New Roman"/>
        </w:rPr>
        <w:t>同时给出，</w:t>
      </w:r>
      <w:r w:rsidRPr="0080482A">
        <w:rPr>
          <w:rFonts w:ascii="Times New Roman" w:hAnsi="Times New Roman" w:cs="Times New Roman"/>
        </w:rPr>
        <w:t>support≤2</w:t>
      </w:r>
      <w:r w:rsidRPr="0080482A">
        <w:rPr>
          <w:rFonts w:ascii="Times New Roman" w:hAnsi="Times New Roman" w:cs="Times New Roman"/>
        </w:rPr>
        <w:t>的类别仅作描述性呈现、不进入方法间比较结论；另报告</w:t>
      </w:r>
      <w:r w:rsidRPr="0080482A">
        <w:rPr>
          <w:rFonts w:ascii="Times New Roman" w:hAnsi="Times New Roman" w:cs="Times New Roman"/>
        </w:rPr>
        <w:t>mAP</w:t>
      </w:r>
      <w:r w:rsidRPr="0080482A">
        <w:rPr>
          <w:rFonts w:ascii="Times New Roman" w:hAnsi="Times New Roman" w:cs="Times New Roman"/>
        </w:rPr>
        <w:t>或</w:t>
      </w:r>
      <w:r w:rsidRPr="0080482A">
        <w:rPr>
          <w:rFonts w:ascii="Times New Roman" w:hAnsi="Times New Roman" w:cs="Times New Roman"/>
        </w:rPr>
        <w:t>macroPR-AUC</w:t>
      </w:r>
      <w:r w:rsidRPr="0080482A">
        <w:rPr>
          <w:rFonts w:ascii="Times New Roman" w:hAnsi="Times New Roman" w:cs="Times New Roman"/>
        </w:rPr>
        <w:t>；可选报告</w:t>
      </w:r>
      <w:r w:rsidRPr="0080482A">
        <w:rPr>
          <w:rFonts w:ascii="Times New Roman" w:hAnsi="Times New Roman" w:cs="Times New Roman"/>
        </w:rPr>
        <w:t>subset accuracy</w:t>
      </w:r>
      <w:r w:rsidRPr="0080482A">
        <w:rPr>
          <w:rFonts w:ascii="Times New Roman" w:hAnsi="Times New Roman" w:cs="Times New Roman"/>
        </w:rPr>
        <w:t>。类别阈值搜索范围默认为</w:t>
      </w:r>
      <w:r w:rsidRPr="0080482A">
        <w:rPr>
          <w:rFonts w:ascii="Times New Roman" w:hAnsi="Times New Roman" w:cs="Times New Roman"/>
        </w:rPr>
        <w:t>0.2</w:t>
      </w:r>
      <w:r w:rsidRPr="0080482A">
        <w:rPr>
          <w:rFonts w:ascii="Times New Roman" w:hAnsi="Times New Roman" w:cs="Times New Roman"/>
        </w:rPr>
        <w:t>到</w:t>
      </w:r>
      <w:r w:rsidRPr="0080482A">
        <w:rPr>
          <w:rFonts w:ascii="Times New Roman" w:hAnsi="Times New Roman" w:cs="Times New Roman"/>
        </w:rPr>
        <w:t>0.8</w:t>
      </w:r>
      <w:r w:rsidRPr="0080482A">
        <w:rPr>
          <w:rFonts w:ascii="Times New Roman" w:hAnsi="Times New Roman" w:cs="Times New Roman"/>
        </w:rPr>
        <w:t>，步长为</w:t>
      </w:r>
      <w:r w:rsidRPr="0080482A">
        <w:rPr>
          <w:rFonts w:ascii="Times New Roman" w:hAnsi="Times New Roman" w:cs="Times New Roman"/>
        </w:rPr>
        <w:t>0.05</w:t>
      </w:r>
      <w:r w:rsidRPr="0080482A">
        <w:rPr>
          <w:rFonts w:ascii="Times New Roman" w:hAnsi="Times New Roman" w:cs="Times New Roman"/>
        </w:rPr>
        <w:t>，搜索目标为验证集</w:t>
      </w:r>
      <w:r w:rsidRPr="0080482A">
        <w:rPr>
          <w:rFonts w:ascii="Times New Roman" w:hAnsi="Times New Roman" w:cs="Times New Roman"/>
        </w:rPr>
        <w:t>micro-F1</w:t>
      </w:r>
      <w:r w:rsidRPr="0080482A">
        <w:rPr>
          <w:rFonts w:ascii="Times New Roman" w:hAnsi="Times New Roman" w:cs="Times New Roman"/>
        </w:rPr>
        <w:t>。阈值选择只使用验证集，不使用测试集。为避免阈值选择过程不透明，论文中需同时报告固定阈值</w:t>
      </w:r>
      <w:r w:rsidRPr="0080482A">
        <w:rPr>
          <w:rFonts w:ascii="Times New Roman" w:hAnsi="Times New Roman" w:cs="Times New Roman"/>
        </w:rPr>
        <w:t>0.5</w:t>
      </w:r>
      <w:r w:rsidRPr="0080482A">
        <w:rPr>
          <w:rFonts w:ascii="Times New Roman" w:hAnsi="Times New Roman" w:cs="Times New Roman"/>
        </w:rPr>
        <w:t>下的结果和验证集选择阈值下的结果。所有主实验至少运行</w:t>
      </w:r>
      <w:r w:rsidRPr="0080482A">
        <w:rPr>
          <w:rFonts w:ascii="Times New Roman" w:hAnsi="Times New Roman" w:cs="Times New Roman"/>
        </w:rPr>
        <w:t>3</w:t>
      </w:r>
      <w:r w:rsidRPr="0080482A">
        <w:rPr>
          <w:rFonts w:ascii="Times New Roman" w:hAnsi="Times New Roman" w:cs="Times New Roman"/>
        </w:rPr>
        <w:t>个随机种子，并报告均值与标准差。</w:t>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各档在验证集 macro-F1 上的差异及对下游 GNN 的影响；本文主方案 = 收敛档。编码器侧实测三种子：收敛档 0.9544/0.6747/0.7165 vs 短预算档 0.5258/0.6067/0.4365</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w:t>
      </w:r>
      <w:r w:rsidRPr="0080482A">
        <w:rPr>
          <w:rFonts w:ascii="Times New Roman" w:hAnsi="Times New Roman" w:cs="Times New Roman"/>
        </w:rPr>
        <w:t>报告模型在</w:t>
      </w:r>
      <w:r w:rsidRPr="0080482A">
        <w:rPr>
          <w:rFonts w:ascii="Times New Roman" w:hAnsi="Times New Roman" w:cs="Times New Roman"/>
        </w:rPr>
        <w:t>DIVE</w:t>
      </w:r>
      <w:r w:rsidRPr="0080482A">
        <w:rPr>
          <w:rFonts w:ascii="Times New Roman" w:hAnsi="Times New Roman" w:cs="Times New Roman"/>
        </w:rPr>
        <w:t>全零标签（正常合约）子集上的每类假阳性率，并结合</w:t>
      </w:r>
      <w:r w:rsidRPr="0080482A">
        <w:rPr>
          <w:rFonts w:ascii="Times New Roman" w:hAnsi="Times New Roman" w:cs="Times New Roman"/>
        </w:rPr>
        <w:t>“</w:t>
      </w:r>
      <w:r w:rsidRPr="0080482A">
        <w:rPr>
          <w:rFonts w:ascii="Times New Roman" w:hAnsi="Times New Roman" w:cs="Times New Roman"/>
        </w:rPr>
        <w:t>训练池实为 326/453 个全零（正常）合约</w:t>
      </w:r>
      <w:r w:rsidRPr="0080482A">
        <w:rPr>
          <w:rFonts w:ascii="Times New Roman" w:hAnsi="Times New Roman" w:cs="Times New Roman"/>
        </w:rPr>
      </w:r>
      <w:r w:rsidRPr="0080482A">
        <w:rPr>
          <w:rFonts w:ascii="Times New Roman" w:hAnsi="Times New Roman" w:cs="Times New Roman"/>
        </w:rPr>
        <w:t>、但其来源与</w:t>
      </w:r>
      <w:r w:rsidRPr="0080482A">
        <w:rPr>
          <w:rFonts w:ascii="Times New Roman" w:hAnsi="Times New Roman" w:cs="Times New Roman"/>
        </w:rPr>
        <w:t xml:space="preserve"> DIVE </w:t>
      </w:r>
      <w:r w:rsidRPr="0080482A">
        <w:rPr>
          <w:rFonts w:ascii="Times New Roman" w:hAnsi="Times New Roman" w:cs="Times New Roman"/>
        </w:rPr>
        <w:t>正常合约分布不同</w:t>
      </w:r>
      <w:r w:rsidRPr="0080482A">
        <w:rPr>
          <w:rFonts w:ascii="Times New Roman" w:hAnsi="Times New Roman" w:cs="Times New Roman"/>
        </w:rPr>
        <w:t>”</w:t>
      </w:r>
      <w:r w:rsidRPr="0080482A">
        <w:rPr>
          <w:rFonts w:ascii="Times New Roman" w:hAnsi="Times New Roman" w:cs="Times New Roman"/>
        </w:rPr>
        <w:t>这一口径讨论其对结果的影响；</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w:t>
      </w:r>
      <w:r w:rsidRPr="0080482A">
        <w:rPr>
          <w:rFonts w:ascii="Times New Roman" w:hAnsi="Times New Roman" w:cs="Times New Roman"/>
        </w:rPr>
        <w:t>MVD-HG</w:t>
      </w:r>
      <w:r w:rsidR="00FC5235" w:rsidRPr="0080482A">
        <w:rPr>
          <w:rFonts w:ascii="Times New Roman" w:hAnsi="Times New Roman" w:cs="Times New Roman"/>
        </w:rPr>
        <w:t>数据</w:t>
      </w:r>
      <w:r w:rsidRPr="0080482A">
        <w:rPr>
          <w:rFonts w:ascii="Times New Roman" w:hAnsi="Times New Roman" w:cs="Times New Roman"/>
        </w:rPr>
        <w:t>集规模有限（去重后591个源文件经项目级归并（590）并剔除 buggy_* 噪声（90）与重复（47）后得到 453 个训练池样本，其中全零（正常）合约 326 个、真正多标签合约仅 1 个</w:t>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t>、其来源与</w:t>
      </w:r>
      <w:r w:rsidRPr="0080482A">
        <w:rPr>
          <w:rFonts w:ascii="Times New Roman" w:hAnsi="Times New Roman" w:cs="Times New Roman"/>
        </w:rPr>
        <w:t xml:space="preserve"> DIVE </w:t>
      </w:r>
      <w:r w:rsidRPr="0080482A">
        <w:rPr>
          <w:rFonts w:ascii="Times New Roman" w:hAnsi="Times New Roman" w:cs="Times New Roman"/>
        </w:rPr>
        <w:t>正常合约分布不同）；模型在</w:t>
      </w:r>
      <w:r w:rsidRPr="0080482A">
        <w:rPr>
          <w:rFonts w:ascii="Times New Roman" w:hAnsi="Times New Roman" w:cs="Times New Roman"/>
        </w:rPr>
        <w:t>DIVE</w:t>
      </w:r>
      <w:r w:rsidRPr="0080482A">
        <w:rPr>
          <w:rFonts w:ascii="Times New Roman" w:hAnsi="Times New Roman" w:cs="Times New Roman"/>
        </w:rPr>
        <w:t>正常合约子集上可能偏向预测为正；同时，</w:t>
      </w:r>
      <w:r w:rsidRPr="0080482A">
        <w:rPr>
          <w:rFonts w:ascii="Times New Roman" w:hAnsi="Times New Roman" w:cs="Times New Roman"/>
        </w:rPr>
        <w:t>MVD-HG</w:t>
      </w:r>
      <w:r w:rsidRPr="0080482A">
        <w:rPr>
          <w:rFonts w:ascii="Times New Roman" w:hAnsi="Times New Roman" w:cs="Times New Roman"/>
        </w:rPr>
        <w:t>与</w:t>
      </w:r>
      <w:r w:rsidRPr="0080482A">
        <w:rPr>
          <w:rFonts w:ascii="Times New Roman" w:hAnsi="Times New Roman" w:cs="Times New Roman"/>
        </w:rPr>
        <w:t>DIVE</w:t>
      </w:r>
      <w:r w:rsidRPr="0080482A">
        <w:rPr>
          <w:rFonts w:ascii="Times New Roman" w:hAnsi="Times New Roman" w:cs="Times New Roman"/>
        </w:rPr>
        <w:t>在标注口径与类别先验分布上存在差异，外部测试性能下降不能全部归因于模型泛化能力，跨数据集结论须注明适用边界</w:t>
      </w:r>
      <w:r w:rsidR="00745EBA" w:rsidRPr="0080482A">
        <w:rPr>
          <w:rFonts w:ascii="Times New Roman" w:hAnsi="Times New Roman" w:cs="Times New Roman"/>
        </w:rPr>
        <w:t>。</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