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720" w:firstLine="0"/>
        <w:jc w:val="center"/>
        <w:rPr>
          <w:b w:val="1"/>
        </w:rPr>
      </w:pPr>
      <w:r w:rsidDel="00000000" w:rsidR="00000000" w:rsidRPr="00000000">
        <w:rPr>
          <w:b w:val="1"/>
          <w:rtl w:val="0"/>
        </w:rPr>
        <w:t xml:space="preserve">Les normes à utiliser </w:t>
      </w:r>
    </w:p>
    <w:p w:rsidR="00000000" w:rsidDel="00000000" w:rsidP="00000000" w:rsidRDefault="00000000" w:rsidRPr="00000000" w14:paraId="00000003">
      <w:pPr>
        <w:ind w:left="720" w:firstLine="0"/>
        <w:jc w:val="center"/>
        <w:rPr>
          <w:b w:val="1"/>
        </w:rPr>
      </w:pPr>
      <w:r w:rsidDel="00000000" w:rsidR="00000000" w:rsidRPr="00000000">
        <w:rPr>
          <w:rtl w:val="0"/>
        </w:rPr>
      </w:r>
    </w:p>
    <w:p w:rsidR="00000000" w:rsidDel="00000000" w:rsidP="00000000" w:rsidRDefault="00000000" w:rsidRPr="00000000" w14:paraId="00000004">
      <w:pPr>
        <w:ind w:left="720" w:firstLine="0"/>
        <w:jc w:val="center"/>
        <w:rPr>
          <w:b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Les constantes doivent toujours être déclarées en MAJUSCULES.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Déclarez toujours les variables aussi près que possible de leur utilisation.</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Déclarez les interfaces commençant par la lettre avec la voyelle I.</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Utiliser la casse de chameau.</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lors de l’affectation de noms de classes Placer  les commentaires sur une ligne séparée, pas à la fin d’une ligne de code.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Utiliser une instruction try-catch pour la plus grande part de la gestion des exceptions.</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Nom des variables :</w:t>
      </w:r>
      <w:r w:rsidDel="00000000" w:rsidR="00000000" w:rsidRPr="00000000">
        <w:rPr>
          <w:rtl w:val="0"/>
        </w:rPr>
        <w:t xml:space="preserve">Les noms de variables doivent être en lettres minuscules, sauf s’ils contiennent plusieurs mots. Dans ce cas, la première lettre de chaque mot de l’identificateur doit être une majuscule sauf la première lettre du premier mot .</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Nom des méthodes: </w:t>
      </w:r>
      <w:r w:rsidDel="00000000" w:rsidR="00000000" w:rsidRPr="00000000">
        <w:rPr>
          <w:rtl w:val="0"/>
        </w:rPr>
        <w:t xml:space="preserve">Les noms des méthodes doivent contenir un seul verbe précis et au moins un nom. Chaque mot de l’identificateur doit commencer par une majuscule, y compris le premier. Les articles sont à proscrire. Le nom de la méthode doit être descriptif de son rôle.</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Méthodes : </w:t>
      </w:r>
      <w:r w:rsidDel="00000000" w:rsidR="00000000" w:rsidRPr="00000000">
        <w:rPr>
          <w:rtl w:val="0"/>
        </w:rPr>
        <w:t xml:space="preserve">Chaque méthode doit être précédée d’un commentaire. </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u w:val="single"/>
          <w:rtl w:val="0"/>
        </w:rPr>
        <w:t xml:space="preserve">UTILISATION  DES SWITCH : </w:t>
      </w:r>
      <w:r w:rsidDel="00000000" w:rsidR="00000000" w:rsidRPr="00000000">
        <w:rPr>
          <w:rtl w:val="0"/>
        </w:rPr>
        <w:t xml:space="preserve">Quand  il ya plus de  3 cas  on utilise    switch au lieu de if else</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u w:val="single"/>
          <w:rtl w:val="0"/>
        </w:rPr>
        <w:t xml:space="preserve">UTILISATION DES MÉTHODES : </w:t>
      </w:r>
      <w:r w:rsidDel="00000000" w:rsidR="00000000" w:rsidRPr="00000000">
        <w:rPr>
          <w:rtl w:val="0"/>
        </w:rPr>
        <w:t xml:space="preserve">On doit séparer les demandes et les commandes comme dans le livre coder proprement  pages 76  ligne 1,2,3</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Test de fonction: </w:t>
      </w:r>
      <w:r w:rsidDel="00000000" w:rsidR="00000000" w:rsidRPr="00000000">
        <w:rPr>
          <w:rtl w:val="0"/>
        </w:rPr>
        <w:t xml:space="preserve">Inclure des test de fonction quelquefois pour éviter les problèmes </w:t>
      </w:r>
    </w:p>
    <w:p w:rsidR="00000000" w:rsidDel="00000000" w:rsidP="00000000" w:rsidRDefault="00000000" w:rsidRPr="00000000" w14:paraId="00000012">
      <w:pPr>
        <w:ind w:left="720" w:firstLine="0"/>
        <w:rPr/>
      </w:pPr>
      <w:r w:rsidDel="00000000" w:rsidR="00000000" w:rsidRPr="00000000">
        <w:rPr>
          <w:rtl w:val="0"/>
        </w:rPr>
        <w:t xml:space="preserve">d exécution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Décaler le contenu multiligne entre parenthèses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Si vous avez un parenthésage multiligne, ne mettez pas de contenu après la parenthèse ouvrante, ni avant la parenthèse fermante.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Les termes réservés par SQL sont en majuscule!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Respecter les normes d' indentation.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La technologie  utilisée c est le c# et le sql pour la base de donne </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