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Minutes-Group 1</w:t>
      </w:r>
    </w:p>
    <w:p w:rsidR="00000000" w:rsidDel="00000000" w:rsidP="00000000" w:rsidRDefault="00000000" w:rsidRPr="00000000" w14:paraId="00000002">
      <w:pPr>
        <w:rPr/>
      </w:pPr>
      <w:r w:rsidDel="00000000" w:rsidR="00000000" w:rsidRPr="00000000">
        <w:rPr>
          <w:rtl w:val="0"/>
        </w:rPr>
        <w:t xml:space="preserve">2022-2-2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Attendees: Jorge Cruz, Antonio Finelli, Jennie Q. Colabella, Christopher Moschetti, Taimur Tawil, Asfand Alavi, Nick Finelli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Discussion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Gantt Chart: How it works, where/how to maintain 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Overview of project and the importance of being flexible when dealing with an actual client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Meeting dates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Reminders: Professor Denizard will be hosting workshops. Make sure to attend the cloud based one.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Project proposal discussion. What’s included, what can be expanded to help us target the product to this particular client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Project design: Can we build it so that it could be adapted to other businesses later (changing colors, logos, etc.)</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Review of client requirements/requests Chris got from the meeting he had earlier in the day with the client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customer goes to the website (Hudson Valley Audio Visual) and fills out a rental interest inquiry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manager (Jesse) sends an email reply to the customer that describes some equipment that might be suitable based on the type of event they’re having</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Prices vary depending on the type of client (corporate, private, nonprofits…)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manager can give extra discounts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Prices for labor vary and depend on how far the event is from Modena, how many techs are involved, and whether one is onsite for all or part of the event. There are hourly prices for some types of labor and set prices for other types.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Discussion of client requests that might require APIs (so they can’t be done in the scope of this project)</w:t>
      </w:r>
    </w:p>
    <w:p w:rsidR="00000000" w:rsidDel="00000000" w:rsidP="00000000" w:rsidRDefault="00000000" w:rsidRPr="00000000" w14:paraId="00000015">
      <w:pPr>
        <w:ind w:left="720" w:firstLine="0"/>
        <w:rPr/>
      </w:pPr>
      <w:r w:rsidDel="00000000" w:rsidR="00000000" w:rsidRPr="00000000">
        <w:rPr>
          <w:rtl w:val="0"/>
        </w:rPr>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