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Platforms:</w:t>
      </w:r>
      <w:r>
        <w:t xml:space="preserve"> </w:t>
      </w:r>
      <w:r>
        <w:t xml:space="preserve">Demonstration</w:t>
      </w:r>
      <w:r>
        <w:t xml:space="preserve"> </w:t>
      </w:r>
      <w:r>
        <w:t xml:space="preserve">of</w:t>
      </w:r>
      <w:r>
        <w:t xml:space="preserve"> </w:t>
      </w:r>
      <w:r>
        <w:t xml:space="preserve">Citation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Citation style: IEEE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Zotero</w:t>
      </w:r>
      <w:r>
        <w:t xml:space="preserve"> </w:t>
      </w:r>
      <w:r>
        <w:t xml:space="preserve">library</w:t>
      </w:r>
      <w:r>
        <w:t xml:space="preserve"> </w:t>
      </w:r>
      <w:r>
        <w:t xml:space="preserve">export</w:t>
      </w:r>
      <w:r>
        <w:t xml:space="preserve"> </w:t>
      </w:r>
      <w:r>
        <w:t xml:space="preserve">(output/zotero-library.json)</w:t>
      </w:r>
    </w:p>
    <w:bookmarkStart w:id="20" w:name="from-language-models-to-agents"/>
    <w:p>
      <w:pPr>
        <w:pStyle w:val="Heading1"/>
      </w:pPr>
      <w:r>
        <w:t xml:space="preserve">From language models to agents</w:t>
      </w:r>
    </w:p>
    <w:p>
      <w:pPr>
        <w:pStyle w:val="FirstParagraph"/>
      </w:pPr>
      <w:r>
        <w:t xml:space="preserve">Large language models can solve new tasks from a few examples given in the prompt</w:t>
      </w:r>
      <w:r>
        <w:t xml:space="preserve"> </w:t>
      </w:r>
      <w:r>
        <w:t xml:space="preserve">[1]</w:t>
      </w:r>
      <w:r>
        <w:t xml:space="preserve">, and prompting them to produce intermediate reasoning steps further improves their performance</w:t>
      </w:r>
      <w:r>
        <w:t xml:space="preserve"> </w:t>
      </w:r>
      <w:r>
        <w:t xml:space="preserve">[2]</w:t>
      </w:r>
      <w:r>
        <w:t xml:space="preserve">. Surveys describe how such models are</w:t>
      </w:r>
      <w:r>
        <w:t xml:space="preserve"> </w:t>
      </w:r>
      <w:r>
        <w:t xml:space="preserve">“</w:t>
      </w:r>
      <w:r>
        <w:t xml:space="preserve">augmented</w:t>
      </w:r>
      <w:r>
        <w:t xml:space="preserve">”</w:t>
      </w:r>
      <w:r>
        <w:t xml:space="preserve"> </w:t>
      </w:r>
      <w:r>
        <w:t xml:space="preserve">with reasoning, retrieval and tools</w:t>
      </w:r>
      <w:r>
        <w:t xml:space="preserve"> </w:t>
      </w:r>
      <w:r>
        <w:t xml:space="preserve">[3]</w:t>
      </w:r>
      <w:r>
        <w:t xml:space="preserve"> </w:t>
      </w:r>
      <w:r>
        <w:t xml:space="preserve">and how they become autonomous agents with planning, memory and action modules</w:t>
      </w:r>
      <w:r>
        <w:t xml:space="preserve"> </w:t>
      </w:r>
      <w:r>
        <w:t xml:space="preserve">[4], [5]</w:t>
      </w:r>
      <w:r>
        <w:t xml:space="preserve">.</w:t>
      </w:r>
    </w:p>
    <w:bookmarkEnd w:id="20"/>
    <w:bookmarkStart w:id="21" w:name="retrieval-augmented-generation"/>
    <w:p>
      <w:pPr>
        <w:pStyle w:val="Heading1"/>
      </w:pPr>
      <w:r>
        <w:t xml:space="preserve">Retrieval-augmented generation</w:t>
      </w:r>
    </w:p>
    <w:p>
      <w:pPr>
        <w:pStyle w:val="FirstParagraph"/>
      </w:pPr>
      <w:r>
        <w:t xml:space="preserve">Retrieval-augmented generation combines a generator with a retriever over a document index</w:t>
      </w:r>
      <w:r>
        <w:t xml:space="preserve"> </w:t>
      </w:r>
      <w:r>
        <w:t xml:space="preserve">[6]</w:t>
      </w:r>
      <w:r>
        <w:t xml:space="preserve">, typically using dense passage retrieval</w:t>
      </w:r>
      <w:r>
        <w:t xml:space="preserve"> </w:t>
      </w:r>
      <w:r>
        <w:t xml:space="preserve">[7]</w:t>
      </w:r>
      <w:r>
        <w:t xml:space="preserve">. Later work lets the model decide when to retrieve and critique its own output</w:t>
      </w:r>
      <w:r>
        <w:t xml:space="preserve"> </w:t>
      </w:r>
      <w:r>
        <w:t xml:space="preserve">[8]</w:t>
      </w:r>
      <w:r>
        <w:t xml:space="preserve">, while surveys summarise the growing family of RAG techniques</w:t>
      </w:r>
      <w:r>
        <w:t xml:space="preserve"> </w:t>
      </w:r>
      <w:r>
        <w:t xml:space="preserve">[9]</w:t>
      </w:r>
      <w:r>
        <w:t xml:space="preserve">. However, models do not use long contexts uniformly</w:t>
      </w:r>
      <w:r>
        <w:t xml:space="preserve"> </w:t>
      </w:r>
      <w:r>
        <w:t xml:space="preserve">[10]</w:t>
      </w:r>
      <w:r>
        <w:t xml:space="preserve">.</w:t>
      </w:r>
    </w:p>
    <w:bookmarkEnd w:id="21"/>
    <w:bookmarkStart w:id="22" w:name="tools-the-agent-loop-and-evaluation"/>
    <w:p>
      <w:pPr>
        <w:pStyle w:val="Heading1"/>
      </w:pPr>
      <w:r>
        <w:t xml:space="preserve">Tools, the agent loop and evaluation</w:t>
      </w:r>
    </w:p>
    <w:p>
      <w:pPr>
        <w:pStyle w:val="FirstParagraph"/>
      </w:pPr>
      <w:r>
        <w:t xml:space="preserve">The ReAct pattern interleaves reasoning and actions in a loop</w:t>
      </w:r>
      <w:r>
        <w:t xml:space="preserve"> </w:t>
      </w:r>
      <w:r>
        <w:t xml:space="preserve">[11]</w:t>
      </w:r>
      <w:r>
        <w:t xml:space="preserve">; models can also learn when to call tools</w:t>
      </w:r>
      <w:r>
        <w:t xml:space="preserve"> </w:t>
      </w:r>
      <w:r>
        <w:t xml:space="preserve">[12]</w:t>
      </w:r>
      <w:r>
        <w:t xml:space="preserve"> </w:t>
      </w:r>
      <w:r>
        <w:t xml:space="preserve">and how to use thousands of real APIs</w:t>
      </w:r>
      <w:r>
        <w:t xml:space="preserve"> </w:t>
      </w:r>
      <w:r>
        <w:t xml:space="preserve">[13], [14]</w:t>
      </w:r>
      <w:r>
        <w:t xml:space="preserve">. Verbal self-reflection helps agents recover from errors</w:t>
      </w:r>
      <w:r>
        <w:t xml:space="preserve"> </w:t>
      </w:r>
      <w:r>
        <w:t xml:space="preserve">[15]</w:t>
      </w:r>
      <w:r>
        <w:t xml:space="preserve">. Benchmarks show that agents remain unreliable on realistic multi-step tasks</w:t>
      </w:r>
      <w:r>
        <w:t xml:space="preserve"> </w:t>
      </w:r>
      <w:r>
        <w:t xml:space="preserve">[16], [17]</w:t>
      </w:r>
      <w:r>
        <w:t xml:space="preserve">, and RAG pipelines can be evaluated with automated metrics</w:t>
      </w:r>
      <w:r>
        <w:t xml:space="preserve"> </w:t>
      </w:r>
      <w:r>
        <w:t xml:space="preserve">[18]</w:t>
      </w:r>
      <w:r>
        <w:t xml:space="preserve">.</w:t>
      </w:r>
    </w:p>
    <w:bookmarkEnd w:id="22"/>
    <w:bookmarkStart w:id="23" w:name="security-and-the-model-context-protocol"/>
    <w:p>
      <w:pPr>
        <w:pStyle w:val="Heading1"/>
      </w:pPr>
      <w:r>
        <w:t xml:space="preserve">Security and the Model Context Protocol</w:t>
      </w:r>
    </w:p>
    <w:p>
      <w:pPr>
        <w:pStyle w:val="FirstParagraph"/>
      </w:pPr>
      <w:r>
        <w:t xml:space="preserve">Indirect prompt injection allows attackers to control LLM-integrated applications through retrieved data</w:t>
      </w:r>
      <w:r>
        <w:t xml:space="preserve"> </w:t>
      </w:r>
      <w:r>
        <w:t xml:space="preserve">[19]</w:t>
      </w:r>
      <w:r>
        <w:t xml:space="preserve">, and the Model Context Protocol introduces new threats across the life cycle of tool servers</w:t>
      </w:r>
      <w:r>
        <w:t xml:space="preserve"> </w:t>
      </w:r>
      <w:r>
        <w:t xml:space="preserve">[20]</w:t>
      </w:r>
      <w:r>
        <w:t xml:space="preserve">.</w:t>
      </w:r>
    </w:p>
    <w:bookmarkEnd w:id="23"/>
    <w:bookmarkStart w:id="64" w:name="bibliography"/>
    <w:p>
      <w:pPr>
        <w:pStyle w:val="Heading1"/>
      </w:pPr>
      <w:r>
        <w:t xml:space="preserve">Bibliography</w:t>
      </w:r>
    </w:p>
    <w:bookmarkStart w:id="63" w:name="refs"/>
    <w:bookmarkStart w:id="24" w:name="ref-brown2020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B. Brown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“Language models are few-shot learners,”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Curran Associates, 2020, pp. 1877–1901.</w:t>
      </w:r>
    </w:p>
    <w:bookmarkEnd w:id="24"/>
    <w:bookmarkStart w:id="26" w:name="ref-wei202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J. Wei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“Chain-of-thought prompting elicits reasoning in large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35 (NeurIPS 2022)</w:t>
      </w:r>
      <w:r>
        <w:t xml:space="preserve">, Curran Associates, 2022, pp. 24824–24837. Available:</w:t>
      </w:r>
      <w:r>
        <w:t xml:space="preserve"> </w:t>
      </w:r>
      <w:hyperlink r:id="rId25">
        <w:r>
          <w:rPr>
            <w:rStyle w:val="Hyperlink"/>
          </w:rPr>
          <w:t xml:space="preserve">https://proceedings.neurips.cc/paper/2022/hash/9d5609613524ecf4f15af0f7b31abca4-Abstract-Conference.html</w:t>
        </w:r>
      </w:hyperlink>
    </w:p>
    <w:bookmarkEnd w:id="26"/>
    <w:bookmarkStart w:id="28" w:name="ref-mialon2023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Mialon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“Augmented language models: A survey,”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, 2023, Available:</w:t>
      </w:r>
      <w:r>
        <w:t xml:space="preserve"> </w:t>
      </w:r>
      <w:hyperlink r:id="rId27">
        <w:r>
          <w:rPr>
            <w:rStyle w:val="Hyperlink"/>
          </w:rPr>
          <w:t xml:space="preserve">https://openreview.net/forum?id=jh7wH2AzKK</w:t>
        </w:r>
      </w:hyperlink>
    </w:p>
    <w:bookmarkEnd w:id="28"/>
    <w:bookmarkStart w:id="30" w:name="ref-wang2024surve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L. Wang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survey on large language model based autonomous agents,”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, vol. 18, no. 6, Art. no. 186345, 2024, doi:</w:t>
      </w:r>
      <w:r>
        <w:t xml:space="preserve"> </w:t>
      </w:r>
      <w:hyperlink r:id="rId29">
        <w:r>
          <w:rPr>
            <w:rStyle w:val="Hyperlink"/>
          </w:rPr>
          <w:t xml:space="preserve">10.1007/s11704-024-40231-1</w:t>
        </w:r>
      </w:hyperlink>
      <w:r>
        <w:t xml:space="preserve">.</w:t>
      </w:r>
    </w:p>
    <w:bookmarkEnd w:id="30"/>
    <w:bookmarkStart w:id="32" w:name="ref-xi2025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Z. Xi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“The rise and potential of large language model based agents: A survey,”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, vol. 68, Art. no. 121101, 2025, doi:</w:t>
      </w:r>
      <w:r>
        <w:t xml:space="preserve"> </w:t>
      </w:r>
      <w:hyperlink r:id="rId31">
        <w:r>
          <w:rPr>
            <w:rStyle w:val="Hyperlink"/>
          </w:rPr>
          <w:t xml:space="preserve">10.1007/s11432-024-4222-0</w:t>
        </w:r>
      </w:hyperlink>
      <w:r>
        <w:t xml:space="preserve">.</w:t>
      </w:r>
    </w:p>
    <w:bookmarkEnd w:id="32"/>
    <w:bookmarkStart w:id="34" w:name="ref-lewis2020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Lewis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“Retrieval-augmented generation for knowledge-intensive NLP tasks,”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Curran Associates, 2020, pp. 9459–9474. Available:</w:t>
      </w:r>
      <w:r>
        <w:t xml:space="preserve"> </w:t>
      </w:r>
      <w:hyperlink r:id="rId33">
        <w:r>
          <w:rPr>
            <w:rStyle w:val="Hyperlink"/>
          </w:rPr>
          <w:t xml:space="preserve">https://proceedings.neurips.cc/paper/2020/hash/6b493230205f780e1bc26945df7481e5-Abstract.html</w:t>
        </w:r>
      </w:hyperlink>
    </w:p>
    <w:bookmarkEnd w:id="34"/>
    <w:bookmarkStart w:id="36" w:name="ref-karpukhin2020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V. Karpukhin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“Dense passage retrieval for open-domain question answering,”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2020 Conference on Empirical Methods in Natural Language Processing (EMNLP)</w:t>
      </w:r>
      <w:r>
        <w:t xml:space="preserve">, Association for Computational Linguistics, 2020, pp. 6769–6781. doi:</w:t>
      </w:r>
      <w:r>
        <w:t xml:space="preserve"> </w:t>
      </w:r>
      <w:hyperlink r:id="rId35">
        <w:r>
          <w:rPr>
            <w:rStyle w:val="Hyperlink"/>
          </w:rPr>
          <w:t xml:space="preserve">10.18653/v1/2020.emnlp-main.550</w:t>
        </w:r>
      </w:hyperlink>
      <w:r>
        <w:t xml:space="preserve">.</w:t>
      </w:r>
    </w:p>
    <w:bookmarkEnd w:id="36"/>
    <w:bookmarkStart w:id="38" w:name="ref-asai202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Asai, Z. Wu, Y. Wang, A. Sil, and H. Hajishirzi,</w:t>
      </w:r>
      <w:r>
        <w:t xml:space="preserve"> </w:t>
      </w:r>
      <w:r>
        <w:t xml:space="preserve">“Self-RAG: Learning to retrieve, generate, and critique through self-reflection,”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 Available:</w:t>
      </w:r>
      <w:r>
        <w:t xml:space="preserve"> </w:t>
      </w:r>
      <w:hyperlink r:id="rId37">
        <w:r>
          <w:rPr>
            <w:rStyle w:val="Hyperlink"/>
          </w:rPr>
          <w:t xml:space="preserve">https://arxiv.org/abs/2310.11511</w:t>
        </w:r>
      </w:hyperlink>
    </w:p>
    <w:bookmarkEnd w:id="38"/>
    <w:bookmarkStart w:id="40" w:name="ref-fan20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W. Fan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survey on RAG meeting LLMs: Towards retrieval-augmented large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30th ACM SIGKDD Conference on Knowledge Discovery and Data Mining (KDD ’24)</w:t>
      </w:r>
      <w:r>
        <w:t xml:space="preserve">, New York, NY: ACM, 2024, pp. 6491–6501. doi:</w:t>
      </w:r>
      <w:r>
        <w:t xml:space="preserve"> </w:t>
      </w:r>
      <w:hyperlink r:id="rId39">
        <w:r>
          <w:rPr>
            <w:rStyle w:val="Hyperlink"/>
          </w:rPr>
          <w:t xml:space="preserve">10.1145/3637528.3671470</w:t>
        </w:r>
      </w:hyperlink>
      <w:r>
        <w:t xml:space="preserve">.</w:t>
      </w:r>
    </w:p>
    <w:bookmarkEnd w:id="40"/>
    <w:bookmarkStart w:id="42" w:name="ref-liu2024lo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N. F. Liu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“Lost in the middle: How language models use long contexts,”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, vol. 12, pp. 157–173, 2024, doi:</w:t>
      </w:r>
      <w:r>
        <w:t xml:space="preserve"> </w:t>
      </w:r>
      <w:hyperlink r:id="rId41">
        <w:r>
          <w:rPr>
            <w:rStyle w:val="Hyperlink"/>
          </w:rPr>
          <w:t xml:space="preserve">10.1162/tacl_a_00638</w:t>
        </w:r>
      </w:hyperlink>
      <w:r>
        <w:t xml:space="preserve">.</w:t>
      </w:r>
    </w:p>
    <w:bookmarkEnd w:id="42"/>
    <w:bookmarkStart w:id="44" w:name="ref-yao2023reac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Yao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Eleventh International Conference on Learning Representations (ICLR 2023)</w:t>
      </w:r>
      <w:r>
        <w:t xml:space="preserve">, 2023. Available:</w:t>
      </w:r>
      <w:r>
        <w:t xml:space="preserve"> </w:t>
      </w:r>
      <w:hyperlink r:id="rId43">
        <w:r>
          <w:rPr>
            <w:rStyle w:val="Hyperlink"/>
          </w:rPr>
          <w:t xml:space="preserve">https://openreview.net/forum?id=WE_vluYUL-X</w:t>
        </w:r>
      </w:hyperlink>
    </w:p>
    <w:bookmarkEnd w:id="44"/>
    <w:bookmarkStart w:id="46" w:name="ref-schick2023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T. Schick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“Toolformer: Language models can teach themselves to use tools,”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Curran Associates, 2023. Available:</w:t>
      </w:r>
      <w:r>
        <w:t xml:space="preserve"> </w:t>
      </w:r>
      <w:hyperlink r:id="rId45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</w:p>
    <w:bookmarkEnd w:id="46"/>
    <w:bookmarkStart w:id="48" w:name="ref-qin202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Qin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“ToolLLM: Facilitating large language models to master 16000+ real-world APIs,”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 Available:</w:t>
      </w:r>
      <w:r>
        <w:t xml:space="preserve"> </w:t>
      </w:r>
      <w:hyperlink r:id="rId47">
        <w:r>
          <w:rPr>
            <w:rStyle w:val="Hyperlink"/>
          </w:rPr>
          <w:t xml:space="preserve">https://arxiv.org/abs/2307.16789</w:t>
        </w:r>
      </w:hyperlink>
    </w:p>
    <w:bookmarkEnd w:id="48"/>
    <w:bookmarkStart w:id="50" w:name="ref-patil2024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G. Patil, T. Zhang, X. Wang, and J. E. Gonzalez,</w:t>
      </w:r>
      <w:r>
        <w:t xml:space="preserve"> </w:t>
      </w:r>
      <w:r>
        <w:t xml:space="preserve">“Gorilla: Large language model connected with massive APIs,”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37 (NeurIPS 2024)</w:t>
      </w:r>
      <w:r>
        <w:t xml:space="preserve">, Curran Associates, 2024, pp. 126544–126565. doi:</w:t>
      </w:r>
      <w:r>
        <w:t xml:space="preserve"> </w:t>
      </w:r>
      <w:hyperlink r:id="rId49">
        <w:r>
          <w:rPr>
            <w:rStyle w:val="Hyperlink"/>
          </w:rPr>
          <w:t xml:space="preserve">10.52202/079017-4020</w:t>
        </w:r>
      </w:hyperlink>
      <w:r>
        <w:t xml:space="preserve">.</w:t>
      </w:r>
    </w:p>
    <w:bookmarkEnd w:id="50"/>
    <w:bookmarkStart w:id="52" w:name="ref-shinn2023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N. Shinn, F. Cassano, A. Gopinath, K. Narasimhan, and S. Yao,</w:t>
      </w:r>
      <w:r>
        <w:t xml:space="preserve"> </w:t>
      </w:r>
      <w:r>
        <w:t xml:space="preserve">“Reflexion: Language agents with verbal reinforcement learning,”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Curran Associates, 2023, pp. 8634–8652. doi:</w:t>
      </w:r>
      <w:r>
        <w:t xml:space="preserve"> </w:t>
      </w:r>
      <w:hyperlink r:id="rId51">
        <w:r>
          <w:rPr>
            <w:rStyle w:val="Hyperlink"/>
          </w:rPr>
          <w:t xml:space="preserve">10.52202/075280-0377</w:t>
        </w:r>
      </w:hyperlink>
      <w:r>
        <w:t xml:space="preserve">.</w:t>
      </w:r>
    </w:p>
    <w:bookmarkEnd w:id="52"/>
    <w:bookmarkStart w:id="54" w:name="ref-liu2024agentben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X. Liu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“AgentBench: Evaluating LLMs as agents,”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2024. Available:</w:t>
      </w:r>
      <w:r>
        <w:t xml:space="preserve"> </w:t>
      </w:r>
      <w:hyperlink r:id="rId53">
        <w:r>
          <w:rPr>
            <w:rStyle w:val="Hyperlink"/>
          </w:rPr>
          <w:t xml:space="preserve">https://arxiv.org/abs/2308.03688</w:t>
        </w:r>
      </w:hyperlink>
    </w:p>
    <w:bookmarkEnd w:id="54"/>
    <w:bookmarkStart w:id="56" w:name="ref-yao2025tau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S. Yao, N. Shinn, P. Razavi, and K. R. Narasimhan,</w:t>
      </w:r>
      <w:r>
        <w:t xml:space="preserve"> </w:t>
      </w:r>
      <w:r>
        <w:t xml:space="preserve">“τ-bench: A benchmark for tool-agent-user interaction in real-world domains,”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The Thirteenth International Conference on Learning Representations (ICLR 2025)</w:t>
      </w:r>
      <w:r>
        <w:t xml:space="preserve">, 2025. Available:</w:t>
      </w:r>
      <w:r>
        <w:t xml:space="preserve"> </w:t>
      </w:r>
      <w:hyperlink r:id="rId55">
        <w:r>
          <w:rPr>
            <w:rStyle w:val="Hyperlink"/>
          </w:rPr>
          <w:t xml:space="preserve">https://openreview.net/forum?id=roNSXZpUDN</w:t>
        </w:r>
      </w:hyperlink>
    </w:p>
    <w:bookmarkEnd w:id="56"/>
    <w:bookmarkStart w:id="58" w:name="ref-es2024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Es, J. James, L. Espinosa Anke, and S. Schockaert,</w:t>
      </w:r>
      <w:r>
        <w:t xml:space="preserve"> </w:t>
      </w:r>
      <w:r>
        <w:t xml:space="preserve">“RAGAs: Automated evaluation of retrieval augmented generation,”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18th Conference of the European Chapter of the Association for Computational Linguistics: System Demonstrations</w:t>
      </w:r>
      <w:r>
        <w:t xml:space="preserve">, Association for Computational Linguistics, 2024, pp. 150–158. doi:</w:t>
      </w:r>
      <w:r>
        <w:t xml:space="preserve"> </w:t>
      </w:r>
      <w:hyperlink r:id="rId57">
        <w:r>
          <w:rPr>
            <w:rStyle w:val="Hyperlink"/>
          </w:rPr>
          <w:t xml:space="preserve">10.18653/v1/2024.eacl-demo.16</w:t>
        </w:r>
      </w:hyperlink>
      <w:r>
        <w:t xml:space="preserve">.</w:t>
      </w:r>
    </w:p>
    <w:bookmarkEnd w:id="58"/>
    <w:bookmarkStart w:id="60" w:name="ref-greshake2023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Greshake, S. Abdelnabi, S. Mishra, C. Endres, T. Holz, and M. Fritz,</w:t>
      </w:r>
      <w:r>
        <w:t xml:space="preserve"> </w:t>
      </w:r>
      <w:r>
        <w:t xml:space="preserve">“Not what you’ve signed up for: Compromising real-world LLM-integrated applications with indirect prompt injection,”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16th ACM Workshop on Artificial Intelligence and Security (AISec ’23)</w:t>
      </w:r>
      <w:r>
        <w:t xml:space="preserve">, New York, NY: ACM, 2023, pp. 79–90. doi:</w:t>
      </w:r>
      <w:r>
        <w:t xml:space="preserve"> </w:t>
      </w:r>
      <w:hyperlink r:id="rId59">
        <w:r>
          <w:rPr>
            <w:rStyle w:val="Hyperlink"/>
          </w:rPr>
          <w:t xml:space="preserve">10.1145/3605764.3623985</w:t>
        </w:r>
      </w:hyperlink>
      <w:r>
        <w:t xml:space="preserve">.</w:t>
      </w:r>
    </w:p>
    <w:bookmarkEnd w:id="60"/>
    <w:bookmarkStart w:id="62" w:name="ref-hou2026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X. Hou, Y. Zhao, S. Wang, and H. Wang,</w:t>
      </w:r>
      <w:r>
        <w:t xml:space="preserve"> </w:t>
      </w:r>
      <w:r>
        <w:t xml:space="preserve">“Model Context Protocol (MCP): Landscape, security threats, and future research directions,”</w:t>
      </w:r>
      <w:r>
        <w:t xml:space="preserve"> </w:t>
      </w:r>
      <w:r>
        <w:rPr>
          <w:iCs/>
          <w:i/>
        </w:rPr>
        <w:t xml:space="preserve">ACM Transactions on Software Engineering and Methodology</w:t>
      </w:r>
      <w:r>
        <w:t xml:space="preserve">, vol. 35, no. 10, Art. no. 302, 2026, doi:</w:t>
      </w:r>
      <w:r>
        <w:t xml:space="preserve"> </w:t>
      </w:r>
      <w:hyperlink r:id="rId61">
        <w:r>
          <w:rPr>
            <w:rStyle w:val="Hyperlink"/>
          </w:rPr>
          <w:t xml:space="preserve">10.1145/3796519</w:t>
        </w:r>
      </w:hyperlink>
      <w:r>
        <w:t xml:space="preserve">.</w:t>
      </w:r>
    </w:p>
    <w:bookmarkEnd w:id="62"/>
    <w:bookmarkEnd w:id="63"/>
    <w:bookmarkEnd w:id="64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center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 w:line="276" w:lineRule="auto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53" Target="https://arxiv.org/abs/2308.03688" TargetMode="External" /><Relationship Type="http://schemas.openxmlformats.org/officeDocument/2006/relationships/hyperlink" Id="rId37" Target="https://arxiv.org/abs/2310.11511" TargetMode="External" /><Relationship Type="http://schemas.openxmlformats.org/officeDocument/2006/relationships/hyperlink" Id="rId31" Target="https://doi.org/10.1007/s11432-024-4222-0" TargetMode="External" /><Relationship Type="http://schemas.openxmlformats.org/officeDocument/2006/relationships/hyperlink" Id="rId29" Target="https://doi.org/10.1007/s11704-024-40231-1" TargetMode="External" /><Relationship Type="http://schemas.openxmlformats.org/officeDocument/2006/relationships/hyperlink" Id="rId59" Target="https://doi.org/10.1145/3605764.3623985" TargetMode="External" /><Relationship Type="http://schemas.openxmlformats.org/officeDocument/2006/relationships/hyperlink" Id="rId39" Target="https://doi.org/10.1145/3637528.3671470" TargetMode="External" /><Relationship Type="http://schemas.openxmlformats.org/officeDocument/2006/relationships/hyperlink" Id="rId61" Target="https://doi.org/10.1145/3796519" TargetMode="External" /><Relationship Type="http://schemas.openxmlformats.org/officeDocument/2006/relationships/hyperlink" Id="rId41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5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9" Target="https://doi.org/10.52202/079017-4020" TargetMode="External" /><Relationship Type="http://schemas.openxmlformats.org/officeDocument/2006/relationships/hyperlink" Id="rId43" Target="https://openreview.net/forum?id=WE_vluYUL-X" TargetMode="External" /><Relationship Type="http://schemas.openxmlformats.org/officeDocument/2006/relationships/hyperlink" Id="rId27" Target="https://openreview.net/forum?id=jh7wH2AzKK" TargetMode="External" /><Relationship Type="http://schemas.openxmlformats.org/officeDocument/2006/relationships/hyperlink" Id="rId55" Target="https://openreview.net/forum?id=roNSXZpUDN" TargetMode="External" /><Relationship Type="http://schemas.openxmlformats.org/officeDocument/2006/relationships/hyperlink" Id="rId33" Target="https://proceedings.neurips.cc/paper/2020/hash/6b493230205f780e1bc26945df7481e5-Abstract.html" TargetMode="External" /><Relationship Type="http://schemas.openxmlformats.org/officeDocument/2006/relationships/hyperlink" Id="rId25" Target="https://proceedings.neurips.cc/paper/2022/hash/9d5609613524ecf4f15af0f7b31abca4-Abstract-Conference.html" TargetMode="External" /><Relationship Type="http://schemas.openxmlformats.org/officeDocument/2006/relationships/hyperlink" Id="rId45" Target="https://proceedings.neurips.cc/paper_files/paper/2023/hash/d842425e4bf79ba039352da0f658a906-Abstract-Conferen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53" Target="https://arxiv.org/abs/2308.03688" TargetMode="External" /><Relationship Type="http://schemas.openxmlformats.org/officeDocument/2006/relationships/hyperlink" Id="rId37" Target="https://arxiv.org/abs/2310.11511" TargetMode="External" /><Relationship Type="http://schemas.openxmlformats.org/officeDocument/2006/relationships/hyperlink" Id="rId31" Target="https://doi.org/10.1007/s11432-024-4222-0" TargetMode="External" /><Relationship Type="http://schemas.openxmlformats.org/officeDocument/2006/relationships/hyperlink" Id="rId29" Target="https://doi.org/10.1007/s11704-024-40231-1" TargetMode="External" /><Relationship Type="http://schemas.openxmlformats.org/officeDocument/2006/relationships/hyperlink" Id="rId59" Target="https://doi.org/10.1145/3605764.3623985" TargetMode="External" /><Relationship Type="http://schemas.openxmlformats.org/officeDocument/2006/relationships/hyperlink" Id="rId39" Target="https://doi.org/10.1145/3637528.3671470" TargetMode="External" /><Relationship Type="http://schemas.openxmlformats.org/officeDocument/2006/relationships/hyperlink" Id="rId61" Target="https://doi.org/10.1145/3796519" TargetMode="External" /><Relationship Type="http://schemas.openxmlformats.org/officeDocument/2006/relationships/hyperlink" Id="rId41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5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9" Target="https://doi.org/10.52202/079017-4020" TargetMode="External" /><Relationship Type="http://schemas.openxmlformats.org/officeDocument/2006/relationships/hyperlink" Id="rId43" Target="https://openreview.net/forum?id=WE_vluYUL-X" TargetMode="External" /><Relationship Type="http://schemas.openxmlformats.org/officeDocument/2006/relationships/hyperlink" Id="rId27" Target="https://openreview.net/forum?id=jh7wH2AzKK" TargetMode="External" /><Relationship Type="http://schemas.openxmlformats.org/officeDocument/2006/relationships/hyperlink" Id="rId55" Target="https://openreview.net/forum?id=roNSXZpUDN" TargetMode="External" /><Relationship Type="http://schemas.openxmlformats.org/officeDocument/2006/relationships/hyperlink" Id="rId33" Target="https://proceedings.neurips.cc/paper/2020/hash/6b493230205f780e1bc26945df7481e5-Abstract.html" TargetMode="External" /><Relationship Type="http://schemas.openxmlformats.org/officeDocument/2006/relationships/hyperlink" Id="rId25" Target="https://proceedings.neurips.cc/paper/2022/hash/9d5609613524ecf4f15af0f7b31abca4-Abstract-Conference.html" TargetMode="External" /><Relationship Type="http://schemas.openxmlformats.org/officeDocument/2006/relationships/hyperlink" Id="rId45" Target="https://proceedings.neurips.cc/paper_files/paper/2023/hash/d842425e4bf79ba039352da0f658a906-Abstract-Conferen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Platforms: Demonstration of Citation Management</dc:title>
  <dc:creator>Generated from the Zotero library export (output/zotero-library.json)</dc:creator>
  <dc:language>en-US</dc:language>
  <cp:keywords/>
  <dcterms:created xsi:type="dcterms:W3CDTF">2026-10-13T10:39:36Z</dcterms:created>
  <dcterms:modified xsi:type="dcterms:W3CDTF">2026-10-13T10:39:36Z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/home/user/web-labaratoru-iitu/pw-04-citation-and-literature-review/output/zotero-library.json</vt:lpwstr>
  </property>
  <property fmtid="{D5CDD505-2E9C-101B-9397-08002B2CF9AE}" pid="3" name="csl">
    <vt:lpwstr>/home/user/web-labaratoru-iitu/common/csl/ieee.csl</vt:lpwstr>
  </property>
  <property fmtid="{D5CDD505-2E9C-101B-9397-08002B2CF9AE}" pid="4" name="subtitle">
    <vt:lpwstr>Citation style: IEEE</vt:lpwstr>
  </property>
</Properties>
</file>