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Hazırlayan: Ad Soyad, Uzman</w:t>
      </w:r>
    </w:p>
    <w:p>
      <w:pPr>
        <w:spacing w:after="0"/>
      </w:pPr>
      <w:r>
        <w:t>Kontrol Eden: Ad Soyad, Daire Başkanı</w:t>
      </w:r>
    </w:p>
    <w:p>
      <w:pPr>
        <w:spacing w:after="120"/>
      </w:pPr>
      <w:r>
        <w:t>Tarih: 14 Ekim 2026</w:t>
      </w:r>
    </w:p>
    <w:p>
      <w:pPr>
        <w:spacing w:before="0"/>
      </w:pPr>
      <w:r>
        <w:rPr>
          <w:b/>
        </w:rPr>
        <w:t>Küresel Gelişmeler ve Türkiye Ekonomisine Yansımaları</w:t>
      </w:r>
    </w:p>
    <w:p>
      <w:r>
        <w:t xml:space="preserve">Türkiye Cumhuriyet Merkez Bankası’nın </w:t>
      </w:r>
      <w:r>
        <w:rPr>
          <w:b/>
        </w:rPr>
        <w:t>15 ekim 2026</w:t>
      </w:r>
      <w:r>
        <w:t xml:space="preserve"> tarihli kararı 14:00’te açıklanmıştır. Ekim ayı itibar</w:t>
      </w:r>
      <w:r>
        <w:rPr>
          <w:i/>
        </w:rPr>
        <w:t>iyle</w:t>
      </w:r>
      <w:r>
        <w:t xml:space="preserve"> kredi büyümesi %32,5 olarak gerçekleşmiştir.</w:t>
      </w:r>
    </w:p>
    <w:p>
      <w:r>
        <w:t>İran savaşı sonrası petrol fiyatları yükselmiştir. Bu durumun ekonominin kırılgan hale geldiğini gösterdiği değerlendirilmiştir.</w:t>
      </w:r>
    </w:p>
    <w:p>
      <w:r>
        <w:t>TCMB’nın ve BDDK’ya göre yurtdışından gelen  işbirliği talepleri artmıştır , ancak hiç bir değişiklik olmamıştır.</w:t>
      </w:r>
    </w:p>
    <w:p>
      <w:r>
        <w:t>GSYİH’nin bileşenleri plân dahilinde ikâme edilmemesi halinde incelenmiştir. GSYH’ye katkılar azalmıştır.</w:t>
      </w:r>
    </w:p>
    <w:p>
      <w:r>
        <w:t>Enflasyon beklentileri arttı. PMI endeksi gerilemiştir. Kur oynaklığının azaldığı görülmektedir. Talep zayıflıyor.</w:t>
      </w:r>
    </w:p>
    <w:p>
      <w:r>
        <w:t>İlk 11 aydaki bütçe açığı ile ilk dört aydaki açık karşılaştırılmıştır. Politika faizi 250 bp artırılmış, yurtdışı imkanlar azalmıştır. 13 Haftalık yıllıklandırılmış büyüme yavaşlamıştır.</w:t>
      </w:r>
    </w:p>
    <w:p>
      <w:r>
        <w:t>Aşağıda ki tabloda yer alan veriler 2026da derlenmiştir.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Mevduat</w:t>
            </w:r>
          </w:p>
        </w:tc>
        <w:tc>
          <w:tcPr>
            <w:tcW w:type="dxa" w:w="4320"/>
          </w:tcPr>
          <w:p>
            <w:r>
              <w:t>yüzde 3.5</w:t>
            </w:r>
          </w:p>
        </w:tc>
      </w:tr>
      <w:tr>
        <w:tc>
          <w:tcPr>
            <w:tcW w:type="dxa" w:w="4320"/>
          </w:tcPr>
          <w:p>
            <w:r>
              <w:t>Kredi,mevduat oranı</w:t>
            </w:r>
          </w:p>
        </w:tc>
        <w:tc>
          <w:tcPr>
            <w:tcW w:type="dxa" w:w="4320"/>
          </w:tcPr>
          <w:p>
            <w:r>
              <w:t>%85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