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BM Plex Sans" w:cs="IBM Plex Sans" w:eastAsia="IBM Plex Sans" w:hAnsi="IBM Plex Sans"/>
          <w:sz w:val="36"/>
          <w:szCs w:val="36"/>
          <w:shd w:fill="a4c2f4" w:val="clear"/>
        </w:rPr>
      </w:pPr>
      <w:r w:rsidDel="00000000" w:rsidR="00000000" w:rsidRPr="00000000">
        <w:rPr>
          <w:rFonts w:ascii="IBM Plex Sans" w:cs="IBM Plex Sans" w:eastAsia="IBM Plex Sans" w:hAnsi="IBM Plex Sans"/>
          <w:b w:val="1"/>
          <w:color w:val="ffffff"/>
          <w:sz w:val="36"/>
          <w:szCs w:val="36"/>
          <w:highlight w:val="black"/>
          <w:rtl w:val="0"/>
        </w:rPr>
        <w:t xml:space="preserve">UNCDF Activity Boost</w:t>
      </w:r>
      <w:r w:rsidDel="00000000" w:rsidR="00000000" w:rsidRPr="00000000">
        <w:rPr>
          <w:rtl w:val="0"/>
        </w:rPr>
      </w:r>
    </w:p>
    <w:p w:rsidR="00000000" w:rsidDel="00000000" w:rsidP="00000000" w:rsidRDefault="00000000" w:rsidRPr="00000000" w14:paraId="00000002">
      <w:pPr>
        <w:rPr>
          <w:rFonts w:ascii="IBM Plex Sans" w:cs="IBM Plex Sans" w:eastAsia="IBM Plex Sans" w:hAnsi="IBM Plex Sans"/>
          <w:sz w:val="16"/>
          <w:szCs w:val="16"/>
          <w:highlight w:val="white"/>
        </w:rPr>
      </w:pPr>
      <w:r w:rsidDel="00000000" w:rsidR="00000000" w:rsidRPr="00000000">
        <w:rPr>
          <w:rFonts w:ascii="IBM Plex Sans" w:cs="IBM Plex Sans" w:eastAsia="IBM Plex Sans" w:hAnsi="IBM Plex Sans"/>
          <w:sz w:val="16"/>
          <w:szCs w:val="16"/>
          <w:highlight w:val="white"/>
          <w:rtl w:val="0"/>
        </w:rPr>
        <w:t xml:space="preserve">A day long session of reflecting on a regional UNCDF team's activity and how new approaches can be identified and planned around.</w:t>
      </w:r>
    </w:p>
    <w:p w:rsidR="00000000" w:rsidDel="00000000" w:rsidP="00000000" w:rsidRDefault="00000000" w:rsidRPr="00000000" w14:paraId="00000003">
      <w:pPr>
        <w:rPr>
          <w:rFonts w:ascii="IBM Plex Sans" w:cs="IBM Plex Sans" w:eastAsia="IBM Plex Sans" w:hAnsi="IBM Plex Sans"/>
          <w:sz w:val="16"/>
          <w:szCs w:val="16"/>
          <w:highlight w:val="white"/>
        </w:rPr>
      </w:pPr>
      <w:r w:rsidDel="00000000" w:rsidR="00000000" w:rsidRPr="00000000">
        <w:rPr>
          <w:rtl w:val="0"/>
        </w:rPr>
      </w:r>
    </w:p>
    <w:tbl>
      <w:tblPr>
        <w:tblStyle w:val="Table1"/>
        <w:tblW w:w="12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605"/>
        <w:gridCol w:w="3435"/>
        <w:tblGridChange w:id="0">
          <w:tblGrid>
            <w:gridCol w:w="1380"/>
            <w:gridCol w:w="7605"/>
            <w:gridCol w:w="3435"/>
          </w:tblGrid>
        </w:tblGridChange>
      </w:tblGrid>
      <w:tr>
        <w:tc>
          <w:tcPr>
            <w:gridSpan w:val="2"/>
            <w:shd w:fill="3c78d8"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IBM Plex Sans" w:cs="IBM Plex Sans" w:eastAsia="IBM Plex Sans" w:hAnsi="IBM Plex Sans"/>
                <w:b w:val="1"/>
                <w:color w:val="ffffff"/>
                <w:sz w:val="24"/>
                <w:szCs w:val="24"/>
              </w:rPr>
            </w:pPr>
            <w:r w:rsidDel="00000000" w:rsidR="00000000" w:rsidRPr="00000000">
              <w:rPr>
                <w:rFonts w:ascii="IBM Plex Sans" w:cs="IBM Plex Sans" w:eastAsia="IBM Plex Sans" w:hAnsi="IBM Plex Sans"/>
                <w:b w:val="1"/>
                <w:color w:val="ffffff"/>
                <w:sz w:val="24"/>
                <w:szCs w:val="24"/>
                <w:rtl w:val="0"/>
              </w:rPr>
              <w:t xml:space="preserve">Week 2 | Designing for Impact</w:t>
            </w:r>
          </w:p>
        </w:tc>
        <w:tc>
          <w:tcPr>
            <w:shd w:fill="3c78d8"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IBM Plex Sans" w:cs="IBM Plex Sans" w:eastAsia="IBM Plex Sans" w:hAnsi="IBM Plex Sans"/>
                <w:b w:val="1"/>
                <w:color w:val="ffffff"/>
                <w:sz w:val="24"/>
                <w:szCs w:val="24"/>
              </w:rPr>
            </w:pPr>
            <w:r w:rsidDel="00000000" w:rsidR="00000000" w:rsidRPr="00000000">
              <w:rPr>
                <w:rFonts w:ascii="IBM Plex Sans" w:cs="IBM Plex Sans" w:eastAsia="IBM Plex Sans" w:hAnsi="IBM Plex Sans"/>
                <w:b w:val="1"/>
                <w:color w:val="ffffff"/>
                <w:sz w:val="24"/>
                <w:szCs w:val="24"/>
                <w:rtl w:val="0"/>
              </w:rPr>
              <w:t xml:space="preserve">Toolkit assets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09:00 - 09:20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Introduce the session</w:t>
            </w:r>
          </w:p>
          <w:p w:rsidR="00000000" w:rsidDel="00000000" w:rsidP="00000000" w:rsidRDefault="00000000" w:rsidRPr="00000000" w14:paraId="00000009">
            <w:pPr>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Make sure everyone clearly understands the purpose and outcomes for the day-long discussion, this can be done by the organiser or a few different guests. A fun way to share expectations can also be  in the form of a Speed Dating exercise where participants have a minute or so to both share their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Speed Dating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09:20 - 10:00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Map the Ecosystem</w:t>
            </w:r>
          </w:p>
          <w:p w:rsidR="00000000" w:rsidDel="00000000" w:rsidP="00000000" w:rsidRDefault="00000000" w:rsidRPr="00000000" w14:paraId="0000000D">
            <w:pPr>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workshop should start with mapping the team’s understanding of the local financial inclusion ecosystem, who they work with, who they don’t, what are the different actors shaping the space. Once the ecosystem is mapped, have the team discuss which parts of the diagram may represent opportunities for new programmes or adaptations of existing programmes.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ERAF Diagram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10:00 - 11:00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Look Ahead</w:t>
            </w:r>
          </w:p>
          <w:p w:rsidR="00000000" w:rsidDel="00000000" w:rsidP="00000000" w:rsidRDefault="00000000" w:rsidRPr="00000000" w14:paraId="00000011">
            <w:pPr>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After the previous phase is complete, break up the group into working pairs and have them complete a Theory of Change diagram, this will help the teams align on how the programmes and efforts can lead to the intended impact.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Theory of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11:00 - 12:30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Clarify the Intent</w:t>
            </w:r>
          </w:p>
          <w:p w:rsidR="00000000" w:rsidDel="00000000" w:rsidP="00000000" w:rsidRDefault="00000000" w:rsidRPr="00000000" w14:paraId="00000015">
            <w:pPr>
              <w:spacing w:line="276"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pairs should take time to share their Theory of Change worksheets and use them as starting points for discussions on what impact UNCDF should have of their ecosystem and what activities should be prioritised. This can be done by creating a new, shared Theory of Change in plenary or by calling out Design Principles of what new programs should or shouldn’t 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Design Principles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12:30-13:30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LUNCH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IBM Plex Sans" w:cs="IBM Plex Sans" w:eastAsia="IBM Plex Sans" w:hAnsi="IBM Plex Sans"/>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13:30-14:30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Internal Knowledge Share</w:t>
            </w:r>
          </w:p>
          <w:p w:rsidR="00000000" w:rsidDel="00000000" w:rsidP="00000000" w:rsidRDefault="00000000" w:rsidRPr="00000000" w14:paraId="0000001C">
            <w:pPr>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After lunch is a good time to organise a few small (5-6 people) informal catch-ups on various existing programmes within UNCDF that others might benefit from hearing about. This can be setup as 2-3 rounds of 20mins.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IBM Plex Sans" w:cs="IBM Plex Sans" w:eastAsia="IBM Plex Sans" w:hAnsi="IBM Plex Sans"/>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14:30-16:00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Develop your Strategy</w:t>
            </w:r>
          </w:p>
          <w:p w:rsidR="00000000" w:rsidDel="00000000" w:rsidP="00000000" w:rsidRDefault="00000000" w:rsidRPr="00000000" w14:paraId="00000020">
            <w:pPr>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Each team that will be working together beyond this one day workshop should get together and develop their strategy moving forward. This can be anchored by an Activity Plan, that being said it can be helpful to pair this activity with a Persona building session to make sure the team understands the needs of their audience (Micro entrepreneurs, startup founders, bankers). Similarly pairing a SMART Goals activity with this exercise can help make the goals more 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Activity Plan</w:t>
            </w:r>
          </w:p>
          <w:p w:rsidR="00000000" w:rsidDel="00000000" w:rsidP="00000000" w:rsidRDefault="00000000" w:rsidRPr="00000000" w14:paraId="00000022">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Persona</w:t>
            </w:r>
          </w:p>
          <w:p w:rsidR="00000000" w:rsidDel="00000000" w:rsidP="00000000" w:rsidRDefault="00000000" w:rsidRPr="00000000" w14:paraId="00000023">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SMART Goals</w:t>
            </w:r>
          </w:p>
          <w:p w:rsidR="00000000" w:rsidDel="00000000" w:rsidP="00000000" w:rsidRDefault="00000000" w:rsidRPr="00000000" w14:paraId="00000024">
            <w:pPr>
              <w:widowControl w:val="0"/>
              <w:spacing w:line="240" w:lineRule="auto"/>
              <w:rPr>
                <w:rFonts w:ascii="IBM Plex Sans" w:cs="IBM Plex Sans" w:eastAsia="IBM Plex Sans" w:hAnsi="IBM Plex Sans"/>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16:00-17:30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rFonts w:ascii="IBM Plex Sans" w:cs="IBM Plex Sans" w:eastAsia="IBM Plex Sans" w:hAnsi="IBM Plex Sans"/>
                <w:b w:val="1"/>
                <w:sz w:val="18"/>
                <w:szCs w:val="18"/>
                <w:highlight w:val="white"/>
              </w:rPr>
            </w:pPr>
            <w:r w:rsidDel="00000000" w:rsidR="00000000" w:rsidRPr="00000000">
              <w:rPr>
                <w:rFonts w:ascii="IBM Plex Sans" w:cs="IBM Plex Sans" w:eastAsia="IBM Plex Sans" w:hAnsi="IBM Plex Sans"/>
                <w:b w:val="1"/>
                <w:sz w:val="18"/>
                <w:szCs w:val="18"/>
                <w:highlight w:val="white"/>
                <w:rtl w:val="0"/>
              </w:rPr>
              <w:t xml:space="preserve">Discuss and Close</w:t>
            </w:r>
          </w:p>
          <w:p w:rsidR="00000000" w:rsidDel="00000000" w:rsidP="00000000" w:rsidRDefault="00000000" w:rsidRPr="00000000" w14:paraId="00000027">
            <w:pPr>
              <w:spacing w:line="240" w:lineRule="auto"/>
              <w:rPr>
                <w:rFonts w:ascii="IBM Plex Sans" w:cs="IBM Plex Sans" w:eastAsia="IBM Plex Sans" w:hAnsi="IBM Plex Sans"/>
                <w:sz w:val="18"/>
                <w:szCs w:val="18"/>
                <w:highlight w:val="white"/>
              </w:rPr>
            </w:pPr>
            <w:r w:rsidDel="00000000" w:rsidR="00000000" w:rsidRPr="00000000">
              <w:rPr>
                <w:rFonts w:ascii="IBM Plex Sans" w:cs="IBM Plex Sans" w:eastAsia="IBM Plex Sans" w:hAnsi="IBM Plex Sans"/>
                <w:sz w:val="18"/>
                <w:szCs w:val="18"/>
                <w:highlight w:val="white"/>
                <w:rtl w:val="0"/>
              </w:rPr>
              <w:t xml:space="preserve">The final hour can be left open for further discussion on the respective plans, identifying potential challenges and inter-team 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IBM Plex Sans" w:cs="IBM Plex Sans" w:eastAsia="IBM Plex Sans" w:hAnsi="IBM Plex Sans"/>
                <w:sz w:val="18"/>
                <w:szCs w:val="18"/>
                <w:highlight w:val="white"/>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40" w:lineRule="auto"/>
        <w:ind w:left="720" w:firstLine="0"/>
        <w:rPr/>
      </w:pPr>
      <w:r w:rsidDel="00000000" w:rsidR="00000000" w:rsidRPr="00000000">
        <w:rPr>
          <w:rtl w:val="0"/>
        </w:rPr>
        <w:tab/>
        <w:tab/>
        <w:tab/>
        <w:tab/>
        <w:tab/>
        <w:tab/>
        <w:tab/>
      </w:r>
    </w:p>
    <w:p w:rsidR="00000000" w:rsidDel="00000000" w:rsidP="00000000" w:rsidRDefault="00000000" w:rsidRPr="00000000" w14:paraId="0000002D">
      <w:pPr>
        <w:rPr/>
      </w:pPr>
      <w:r w:rsidDel="00000000" w:rsidR="00000000" w:rsidRPr="00000000">
        <w:rPr>
          <w:rtl w:val="0"/>
        </w:rPr>
      </w:r>
    </w:p>
    <w:sectPr>
      <w:pgSz w:h="12240" w:w="158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