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IBM Plex Sans" w:cs="IBM Plex Sans" w:hAnsi="IBM Plex Sans" w:eastAsia="IBM Plex Sans"/>
          <w:sz w:val="36"/>
          <w:szCs w:val="36"/>
          <w:shd w:val="clear" w:color="auto" w:fill="a4c2f4"/>
        </w:rPr>
      </w:pPr>
      <w:r>
        <w:rPr>
          <w:rFonts w:ascii="IBM Plex Sans" w:hAnsi="IBM Plex Sans"/>
          <w:b w:val="1"/>
          <w:bCs w:val="1"/>
          <w:outline w:val="0"/>
          <w:color w:val="ffffff"/>
          <w:sz w:val="36"/>
          <w:szCs w:val="36"/>
          <w:u w:color="ffffff"/>
          <w:shd w:val="clear" w:color="auto" w:fill="000000"/>
          <w:rtl w:val="0"/>
          <w:lang w:val="en-US"/>
          <w14:textFill>
            <w14:solidFill>
              <w14:srgbClr w14:val="FFFFFF"/>
            </w14:solidFill>
          </w14:textFill>
        </w:rPr>
        <w:t>Corporate Innovation Journey</w:t>
      </w:r>
    </w:p>
    <w:p>
      <w:pPr>
        <w:pStyle w:val="Body"/>
        <w:rPr>
          <w:rFonts w:ascii="IBM Plex Sans" w:cs="IBM Plex Sans" w:hAnsi="IBM Plex Sans" w:eastAsia="IBM Plex Sans"/>
          <w:sz w:val="16"/>
          <w:szCs w:val="16"/>
          <w:shd w:val="clear" w:color="auto" w:fill="ffffff"/>
        </w:rPr>
      </w:pPr>
      <w:r>
        <w:rPr>
          <w:rFonts w:ascii="IBM Plex Sans" w:hAnsi="IBM Plex Sans"/>
          <w:sz w:val="16"/>
          <w:szCs w:val="16"/>
          <w:shd w:val="clear" w:color="auto" w:fill="ffffff"/>
          <w:rtl w:val="0"/>
          <w:lang w:val="en-US"/>
        </w:rPr>
        <w:t>A 2 week innovation-driven format on how to meet your company's end-users and aligning your vision with their needs, this journey is better suited for corporates and mature start ups.</w:t>
      </w:r>
    </w:p>
    <w:p>
      <w:pPr>
        <w:pStyle w:val="Body"/>
        <w:rPr>
          <w:rFonts w:ascii="IBM Plex Sans" w:cs="IBM Plex Sans" w:hAnsi="IBM Plex Sans" w:eastAsia="IBM Plex Sans"/>
          <w:shd w:val="clear" w:color="auto" w:fill="ffffff"/>
        </w:rPr>
      </w:pPr>
      <w:r>
        <w:rPr>
          <w:rFonts w:ascii="IBM Plex Sans" w:hAnsi="IBM Plex Sans"/>
          <w:sz w:val="16"/>
          <w:szCs w:val="16"/>
          <w:shd w:val="clear" w:color="auto" w:fill="ffffff"/>
          <w:rtl w:val="0"/>
          <w:lang w:val="en-US"/>
        </w:rPr>
        <w:t>This can be run with 15-30 participants with groups no larger than four. Participants should be representative of the different teams active in the organisation to encourage cross-learning and collaboration.</w:t>
      </w:r>
    </w:p>
    <w:p>
      <w:pPr>
        <w:pStyle w:val="Body"/>
        <w:rPr>
          <w:rFonts w:ascii="IBM Plex Sans" w:cs="IBM Plex Sans" w:hAnsi="IBM Plex Sans" w:eastAsia="IBM Plex Sans"/>
          <w:sz w:val="16"/>
          <w:szCs w:val="16"/>
          <w:shd w:val="clear" w:color="auto" w:fill="ffffff"/>
        </w:rPr>
      </w:pPr>
    </w:p>
    <w:tbl>
      <w:tblPr>
        <w:tblW w:w="12420" w:type="dxa"/>
        <w:jc w:val="left"/>
        <w:tblInd w:w="135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0"/>
        <w:gridCol w:w="7605"/>
        <w:gridCol w:w="3435"/>
      </w:tblGrid>
      <w:tr>
        <w:tblPrEx>
          <w:shd w:val="clear" w:color="auto" w:fill="ced7e7"/>
        </w:tblPrEx>
        <w:trPr>
          <w:trHeight w:val="320" w:hRule="atLeast"/>
        </w:trPr>
        <w:tc>
          <w:tcPr>
            <w:tcW w:type="dxa" w:w="898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3c78d8"/>
            <w:tcMar>
              <w:top w:type="dxa" w:w="80"/>
              <w:left w:type="dxa" w:w="80"/>
              <w:bottom w:type="dxa" w:w="80"/>
              <w:right w:type="dxa" w:w="80"/>
            </w:tcMar>
            <w:vAlign w:val="top"/>
          </w:tcPr>
          <w:p>
            <w:pPr>
              <w:pStyle w:val="Body"/>
              <w:widowControl w:val="0"/>
              <w:spacing w:line="240" w:lineRule="auto"/>
            </w:pPr>
            <w:r>
              <w:rPr>
                <w:rFonts w:ascii="IBM Plex Sans" w:hAnsi="IBM Plex Sans"/>
                <w:b w:val="1"/>
                <w:bCs w:val="1"/>
                <w:outline w:val="0"/>
                <w:color w:val="ffffff"/>
                <w:sz w:val="24"/>
                <w:szCs w:val="24"/>
                <w:u w:color="ffffff"/>
                <w:rtl w:val="0"/>
                <w:lang w:val="en-US"/>
                <w14:textFill>
                  <w14:solidFill>
                    <w14:srgbClr w14:val="FFFFFF"/>
                  </w14:solidFill>
                </w14:textFill>
              </w:rPr>
              <w:t>Week 1 | Introduction to HCD</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3c78d8"/>
            <w:tcMar>
              <w:top w:type="dxa" w:w="80"/>
              <w:left w:type="dxa" w:w="80"/>
              <w:bottom w:type="dxa" w:w="80"/>
              <w:right w:type="dxa" w:w="80"/>
            </w:tcMar>
            <w:vAlign w:val="top"/>
          </w:tcPr>
          <w:p>
            <w:pPr>
              <w:pStyle w:val="Body"/>
              <w:widowControl w:val="0"/>
              <w:spacing w:line="240" w:lineRule="auto"/>
            </w:pPr>
            <w:r>
              <w:rPr>
                <w:rFonts w:ascii="IBM Plex Sans" w:hAnsi="IBM Plex Sans"/>
                <w:b w:val="1"/>
                <w:bCs w:val="1"/>
                <w:outline w:val="0"/>
                <w:color w:val="ffffff"/>
                <w:sz w:val="24"/>
                <w:szCs w:val="24"/>
                <w:u w:color="ffffff"/>
                <w:rtl w:val="0"/>
                <w:lang w:val="en-US"/>
                <w14:textFill>
                  <w14:solidFill>
                    <w14:srgbClr w14:val="FFFFFF"/>
                  </w14:solidFill>
                </w14:textFill>
              </w:rPr>
              <w:t>Toolkit assets available</w:t>
            </w:r>
          </w:p>
        </w:tc>
      </w:tr>
      <w:tr>
        <w:tblPrEx>
          <w:shd w:val="clear" w:color="auto" w:fill="ced7e7"/>
        </w:tblPrEx>
        <w:trPr>
          <w:trHeight w:val="1252"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Day 1</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Vision Alignment</w:t>
            </w:r>
          </w:p>
          <w:p>
            <w:pPr>
              <w:pStyle w:val="Body"/>
              <w:bidi w:val="0"/>
              <w:ind w:left="0" w:right="0" w:firstLine="0"/>
              <w:jc w:val="left"/>
              <w:rPr>
                <w:rtl w:val="0"/>
              </w:rPr>
            </w:pPr>
            <w:r>
              <w:rPr>
                <w:rFonts w:ascii="IBM Plex Sans" w:hAnsi="IBM Plex Sans"/>
                <w:sz w:val="18"/>
                <w:szCs w:val="18"/>
                <w:shd w:val="clear" w:color="auto" w:fill="ffffff"/>
                <w:rtl w:val="0"/>
                <w:lang w:val="en-US"/>
              </w:rPr>
              <w:t>The focus of the first day should be on having the teams spend time reflecting on their current activity. This can be done through a couple presentations, speed dating formats at hands on activities like SWOT analysis or StartUp Canvas.</w:t>
            </w:r>
            <w:r>
              <w:rPr>
                <w:rFonts w:ascii="IBM Plex Sans" w:cs="IBM Plex Sans" w:hAnsi="IBM Plex Sans" w:eastAsia="IBM Plex Sans"/>
                <w:sz w:val="18"/>
                <w:szCs w:val="18"/>
                <w:shd w:val="clear" w:color="auto" w:fill="ffffff"/>
              </w:rPr>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Startup Canvas</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SWOT Analysis</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Visioning Poster</w:t>
            </w:r>
          </w:p>
          <w:p>
            <w:pPr>
              <w:pStyle w:val="Body"/>
              <w:bidi w:val="0"/>
              <w:ind w:left="0" w:right="0" w:firstLine="0"/>
              <w:jc w:val="left"/>
              <w:rPr>
                <w:rtl w:val="0"/>
              </w:rPr>
            </w:pPr>
            <w:r>
              <w:rPr>
                <w:rFonts w:ascii="IBM Plex Sans" w:hAnsi="IBM Plex Sans"/>
                <w:sz w:val="18"/>
                <w:szCs w:val="18"/>
                <w:shd w:val="clear" w:color="auto" w:fill="ffffff"/>
                <w:rtl w:val="0"/>
                <w:lang w:val="en-US"/>
              </w:rPr>
              <w:t>Speed Dating</w:t>
            </w:r>
          </w:p>
        </w:tc>
      </w:tr>
      <w:tr>
        <w:tblPrEx>
          <w:shd w:val="clear" w:color="auto" w:fill="ced7e7"/>
        </w:tblPrEx>
        <w:trPr>
          <w:trHeight w:val="1505"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Day 2</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Foundation</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The second day will introduce Human Centered Design and have the participants unpack what their existing understanding of the situation. The aim is to start identifying knowledge gaps and aspects of their product or user the participants would like to learn more about.</w:t>
            </w:r>
          </w:p>
          <w:p>
            <w:pPr>
              <w:pStyle w:val="Body"/>
            </w:pPr>
            <w:r>
              <w:rPr>
                <w:rFonts w:ascii="IBM Plex Sans" w:cs="IBM Plex Sans" w:hAnsi="IBM Plex Sans" w:eastAsia="IBM Plex Sans"/>
                <w:b w:val="1"/>
                <w:bCs w:val="1"/>
                <w:sz w:val="18"/>
                <w:szCs w:val="18"/>
                <w:shd w:val="clear" w:color="auto" w:fill="ffffff"/>
                <w:lang w:val="en-US"/>
              </w:rPr>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Introduction to Human Centered Design</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Problem Tree + 5 Whys</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Stakeholder Mapping</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Secondary Research</w:t>
            </w:r>
          </w:p>
          <w:p>
            <w:pPr>
              <w:pStyle w:val="Body"/>
              <w:bidi w:val="0"/>
              <w:ind w:left="0" w:right="0" w:firstLine="0"/>
              <w:jc w:val="left"/>
              <w:rPr>
                <w:rtl w:val="0"/>
              </w:rPr>
            </w:pPr>
            <w:r>
              <w:rPr>
                <w:rFonts w:ascii="IBM Plex Sans" w:hAnsi="IBM Plex Sans"/>
                <w:sz w:val="18"/>
                <w:szCs w:val="18"/>
                <w:shd w:val="clear" w:color="auto" w:fill="ffffff"/>
                <w:rtl w:val="0"/>
                <w:lang w:val="en-US"/>
              </w:rPr>
              <w:t>Research Planning</w:t>
            </w:r>
          </w:p>
        </w:tc>
      </w:tr>
      <w:tr>
        <w:tblPrEx>
          <w:shd w:val="clear" w:color="auto" w:fill="ced7e7"/>
        </w:tblPrEx>
        <w:trPr>
          <w:trHeight w:val="999"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Day 3</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Discover</w:t>
            </w:r>
          </w:p>
          <w:p>
            <w:pPr>
              <w:pStyle w:val="Body"/>
              <w:bidi w:val="0"/>
              <w:ind w:left="0" w:right="0" w:firstLine="0"/>
              <w:jc w:val="left"/>
              <w:rPr>
                <w:rtl w:val="0"/>
              </w:rPr>
            </w:pPr>
            <w:r>
              <w:rPr>
                <w:rFonts w:ascii="IBM Plex Sans" w:hAnsi="IBM Plex Sans"/>
                <w:sz w:val="18"/>
                <w:szCs w:val="18"/>
                <w:shd w:val="clear" w:color="auto" w:fill="ffffff"/>
                <w:rtl w:val="0"/>
                <w:lang w:val="en-US"/>
              </w:rPr>
              <w:t>The third day will be dedicated to finishing to prepare the research plan and start conducting research. The participants should be given the freedom to go out into the city and conduct their research wherever necessary.</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IBM Plex Sans" w:hAnsi="IBM Plex Sans"/>
                <w:sz w:val="18"/>
                <w:szCs w:val="18"/>
                <w:shd w:val="clear" w:color="auto" w:fill="ffffff"/>
                <w:rtl w:val="0"/>
                <w:lang w:val="en-US"/>
              </w:rPr>
              <w:t>User Interviews</w:t>
            </w:r>
          </w:p>
        </w:tc>
      </w:tr>
      <w:tr>
        <w:tblPrEx>
          <w:shd w:val="clear" w:color="auto" w:fill="ced7e7"/>
        </w:tblPrEx>
        <w:trPr>
          <w:trHeight w:val="1252"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Day 4</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Define</w:t>
            </w:r>
          </w:p>
          <w:p>
            <w:pPr>
              <w:pStyle w:val="Body"/>
              <w:bidi w:val="0"/>
              <w:ind w:left="0" w:right="0" w:firstLine="0"/>
              <w:jc w:val="left"/>
              <w:rPr>
                <w:rtl w:val="0"/>
              </w:rPr>
            </w:pPr>
            <w:r>
              <w:rPr>
                <w:rFonts w:ascii="IBM Plex Sans" w:hAnsi="IBM Plex Sans"/>
                <w:sz w:val="18"/>
                <w:szCs w:val="18"/>
                <w:shd w:val="clear" w:color="auto" w:fill="ffffff"/>
                <w:rtl w:val="0"/>
                <w:lang w:val="en-US"/>
              </w:rPr>
              <w:t>The aim of the fourth day will be to start making sense of the information gathered. Although the participants should be encouraged to conduct further research beyond the scope of this event, the idea is to walk the participants through each phase of the process and making sure they will be able to use the tools beyond this workshop.</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Affinity Mapping</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Design Principles</w:t>
            </w:r>
          </w:p>
          <w:p>
            <w:pPr>
              <w:pStyle w:val="Body"/>
              <w:bidi w:val="0"/>
              <w:ind w:left="0" w:right="0" w:firstLine="0"/>
              <w:jc w:val="left"/>
              <w:rPr>
                <w:rtl w:val="0"/>
              </w:rPr>
            </w:pPr>
            <w:r>
              <w:rPr>
                <w:rFonts w:ascii="IBM Plex Sans" w:hAnsi="IBM Plex Sans"/>
                <w:sz w:val="18"/>
                <w:szCs w:val="18"/>
                <w:shd w:val="clear" w:color="auto" w:fill="ffffff"/>
                <w:rtl w:val="0"/>
                <w:lang w:val="en-US"/>
              </w:rPr>
              <w:t>Speed Dating</w:t>
            </w:r>
          </w:p>
        </w:tc>
      </w:tr>
      <w:tr>
        <w:tblPrEx>
          <w:shd w:val="clear" w:color="auto" w:fill="ced7e7"/>
        </w:tblPrEx>
        <w:trPr>
          <w:trHeight w:val="1505"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Day 5</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b w:val="1"/>
                <w:bCs w:val="1"/>
                <w:sz w:val="18"/>
                <w:szCs w:val="18"/>
                <w:shd w:val="clear" w:color="auto" w:fill="ffffff"/>
                <w:rtl w:val="0"/>
                <w:lang w:val="en-US"/>
              </w:rPr>
              <w:t>Design and Strategy</w:t>
            </w:r>
          </w:p>
          <w:p>
            <w:pPr>
              <w:pStyle w:val="Body"/>
              <w:bidi w:val="0"/>
              <w:ind w:left="0" w:right="0" w:firstLine="0"/>
              <w:jc w:val="left"/>
              <w:rPr>
                <w:rtl w:val="0"/>
              </w:rPr>
            </w:pPr>
            <w:r>
              <w:rPr>
                <w:rFonts w:ascii="IBM Plex Sans" w:hAnsi="IBM Plex Sans"/>
                <w:sz w:val="18"/>
                <w:szCs w:val="18"/>
                <w:shd w:val="clear" w:color="auto" w:fill="ffffff"/>
                <w:rtl w:val="0"/>
                <w:lang w:val="en-US"/>
              </w:rPr>
              <w:t>The fifth day will have the participants experiment with creating new features, products or services that meet the needs of their users and leverage their strategic strengths. The first half of the day should be dedicated to designing ideas and prototyping them, the second should be about seeing how to apply Human Centered Design to their practice and workflow.</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Prototyping</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Wireframing</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A/B/n Testing</w:t>
            </w:r>
          </w:p>
          <w:p>
            <w:pPr>
              <w:pStyle w:val="Body"/>
              <w:widowControl w:val="0"/>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Startup Canvas</w:t>
            </w:r>
          </w:p>
          <w:p>
            <w:pPr>
              <w:pStyle w:val="Body"/>
              <w:widowControl w:val="0"/>
              <w:bidi w:val="0"/>
              <w:ind w:left="0" w:right="0" w:firstLine="0"/>
              <w:jc w:val="left"/>
              <w:rPr>
                <w:rtl w:val="0"/>
              </w:rPr>
            </w:pPr>
            <w:r>
              <w:rPr>
                <w:rFonts w:ascii="IBM Plex Sans" w:hAnsi="IBM Plex Sans"/>
                <w:sz w:val="18"/>
                <w:szCs w:val="18"/>
                <w:shd w:val="clear" w:color="auto" w:fill="ffffff"/>
                <w:rtl w:val="0"/>
                <w:lang w:val="en-US"/>
              </w:rPr>
              <w:t>Activity Plan</w:t>
            </w:r>
          </w:p>
        </w:tc>
      </w:tr>
      <w:tr>
        <w:tblPrEx>
          <w:shd w:val="clear" w:color="auto" w:fill="ced7e7"/>
        </w:tblPrEx>
        <w:trPr>
          <w:trHeight w:val="420" w:hRule="atLeast"/>
        </w:trPr>
        <w:tc>
          <w:tcPr>
            <w:tcW w:type="dxa" w:w="12420"/>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0" w:hRule="atLeast"/>
        </w:trPr>
        <w:tc>
          <w:tcPr>
            <w:tcW w:type="dxa" w:w="8985"/>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3c78d8"/>
            <w:tcMar>
              <w:top w:type="dxa" w:w="80"/>
              <w:left w:type="dxa" w:w="80"/>
              <w:bottom w:type="dxa" w:w="80"/>
              <w:right w:type="dxa" w:w="80"/>
            </w:tcMar>
            <w:vAlign w:val="top"/>
          </w:tcPr>
          <w:p>
            <w:pPr>
              <w:pStyle w:val="Body"/>
              <w:widowControl w:val="0"/>
            </w:pPr>
            <w:r>
              <w:rPr>
                <w:rFonts w:ascii="IBM Plex Sans" w:hAnsi="IBM Plex Sans"/>
                <w:b w:val="1"/>
                <w:bCs w:val="1"/>
                <w:outline w:val="0"/>
                <w:color w:val="ffffff"/>
                <w:sz w:val="18"/>
                <w:szCs w:val="18"/>
                <w:u w:color="ffffff"/>
                <w:rtl w:val="0"/>
                <w:lang w:val="en-US"/>
                <w14:textFill>
                  <w14:solidFill>
                    <w14:srgbClr w14:val="FFFFFF"/>
                  </w14:solidFill>
                </w14:textFill>
              </w:rPr>
              <w:t>Week 2 | Designing for Impact</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3c78d8"/>
            <w:tcMar>
              <w:top w:type="dxa" w:w="80"/>
              <w:left w:type="dxa" w:w="80"/>
              <w:bottom w:type="dxa" w:w="80"/>
              <w:right w:type="dxa" w:w="80"/>
            </w:tcMar>
            <w:vAlign w:val="top"/>
          </w:tcPr>
          <w:p>
            <w:pPr>
              <w:pStyle w:val="Body"/>
              <w:widowControl w:val="0"/>
            </w:pPr>
            <w:r>
              <w:rPr>
                <w:rFonts w:ascii="IBM Plex Sans" w:hAnsi="IBM Plex Sans"/>
                <w:b w:val="1"/>
                <w:bCs w:val="1"/>
                <w:outline w:val="0"/>
                <w:color w:val="ffffff"/>
                <w:sz w:val="18"/>
                <w:szCs w:val="18"/>
                <w:u w:color="ffffff"/>
                <w:rtl w:val="0"/>
                <w:lang w:val="en-US"/>
                <w14:textFill>
                  <w14:solidFill>
                    <w14:srgbClr w14:val="FFFFFF"/>
                  </w14:solidFill>
                </w14:textFill>
              </w:rPr>
              <w:t>Toolkit assets available</w:t>
            </w:r>
          </w:p>
        </w:tc>
      </w:tr>
      <w:tr>
        <w:tblPrEx>
          <w:shd w:val="clear" w:color="auto" w:fill="ced7e7"/>
        </w:tblPrEx>
        <w:trPr>
          <w:trHeight w:val="1505"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Day 1</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Define</w:t>
            </w:r>
          </w:p>
          <w:p>
            <w:pPr>
              <w:pStyle w:val="Body"/>
              <w:bidi w:val="0"/>
              <w:ind w:left="0" w:right="0" w:firstLine="0"/>
              <w:jc w:val="left"/>
              <w:rPr>
                <w:rtl w:val="0"/>
              </w:rPr>
            </w:pPr>
            <w:r>
              <w:rPr>
                <w:rFonts w:ascii="IBM Plex Sans" w:hAnsi="IBM Plex Sans"/>
                <w:sz w:val="18"/>
                <w:szCs w:val="18"/>
                <w:shd w:val="clear" w:color="auto" w:fill="ffffff"/>
                <w:rtl w:val="0"/>
                <w:lang w:val="en-US"/>
              </w:rPr>
              <w:t xml:space="preserve">The focus of the first day will be to start making sense of the information gathered since the last workshop. Starting with activities they are already familiar with like Affinity Mapping, the teams should then be introduced to a few more tools like Persona building and Journey Mapping. </w:t>
            </w:r>
            <w:r>
              <w:rPr>
                <w:rFonts w:ascii="IBM Plex Sans" w:cs="IBM Plex Sans" w:hAnsi="IBM Plex Sans" w:eastAsia="IBM Plex Sans"/>
                <w:sz w:val="18"/>
                <w:szCs w:val="18"/>
                <w:shd w:val="clear" w:color="auto" w:fill="ffffff"/>
              </w:rPr>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Affinity Mapping</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Persona</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Journey Map</w:t>
            </w:r>
          </w:p>
          <w:p>
            <w:pPr>
              <w:pStyle w:val="Body"/>
            </w:pPr>
            <w:r>
              <w:rPr>
                <w:rFonts w:ascii="IBM Plex Sans" w:cs="IBM Plex Sans" w:hAnsi="IBM Plex Sans" w:eastAsia="IBM Plex Sans"/>
                <w:sz w:val="18"/>
                <w:szCs w:val="18"/>
                <w:shd w:val="clear" w:color="auto" w:fill="ffffff"/>
                <w:lang w:val="en-US"/>
              </w:rPr>
            </w:r>
          </w:p>
        </w:tc>
      </w:tr>
      <w:tr>
        <w:tblPrEx>
          <w:shd w:val="clear" w:color="auto" w:fill="ced7e7"/>
        </w:tblPrEx>
        <w:trPr>
          <w:trHeight w:val="2011"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Day 2</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Embedding intent</w:t>
            </w:r>
          </w:p>
          <w:p>
            <w:pPr>
              <w:pStyle w:val="Body"/>
              <w:bidi w:val="0"/>
              <w:ind w:left="0" w:right="0" w:firstLine="0"/>
              <w:jc w:val="left"/>
              <w:rPr>
                <w:rtl w:val="0"/>
              </w:rPr>
            </w:pPr>
            <w:r>
              <w:rPr>
                <w:rFonts w:ascii="IBM Plex Sans" w:hAnsi="IBM Plex Sans"/>
                <w:b w:val="0"/>
                <w:bCs w:val="0"/>
                <w:sz w:val="18"/>
                <w:szCs w:val="18"/>
                <w:shd w:val="clear" w:color="auto" w:fill="ffffff"/>
                <w:rtl w:val="0"/>
                <w:lang w:val="en-US"/>
              </w:rPr>
              <w:t>The second day will introduce the participants to designing interactions that are engaging and reduce user error. There are several methods or tools available in the toolkit, the facilitator should choose a couple to present depending on the audience. Ample time should be left to discuss where to draw the line of ethical behaviour change as a group. The day can end with the teams Storyboarding their envisioned service, product or feature, taking into account the day</w:t>
            </w:r>
            <w:r>
              <w:rPr>
                <w:rFonts w:ascii="IBM Plex Sans" w:hAnsi="IBM Plex Sans" w:hint="default"/>
                <w:b w:val="0"/>
                <w:bCs w:val="0"/>
                <w:sz w:val="18"/>
                <w:szCs w:val="18"/>
                <w:shd w:val="clear" w:color="auto" w:fill="ffffff"/>
                <w:rtl w:val="0"/>
                <w:lang w:val="en-US"/>
              </w:rPr>
              <w:t>’</w:t>
            </w:r>
            <w:r>
              <w:rPr>
                <w:rFonts w:ascii="IBM Plex Sans" w:hAnsi="IBM Plex Sans"/>
                <w:b w:val="0"/>
                <w:bCs w:val="0"/>
                <w:sz w:val="18"/>
                <w:szCs w:val="18"/>
                <w:shd w:val="clear" w:color="auto" w:fill="ffffff"/>
                <w:rtl w:val="0"/>
                <w:lang w:val="en-US"/>
              </w:rPr>
              <w:t>s discussion.</w:t>
            </w:r>
            <w:r>
              <w:rPr>
                <w:rFonts w:ascii="IBM Plex Sans" w:cs="IBM Plex Sans" w:hAnsi="IBM Plex Sans" w:eastAsia="IBM Plex Sans"/>
                <w:b w:val="1"/>
                <w:bCs w:val="1"/>
                <w:sz w:val="18"/>
                <w:szCs w:val="18"/>
                <w:shd w:val="clear" w:color="auto" w:fill="ffffff"/>
              </w:rPr>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Design with Intent</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 xml:space="preserve">NUDGE </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Switch Framework</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Hook Model</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Gamification</w:t>
            </w:r>
          </w:p>
          <w:p>
            <w:pPr>
              <w:pStyle w:val="Body"/>
              <w:bidi w:val="0"/>
              <w:ind w:left="0" w:right="0" w:firstLine="0"/>
              <w:jc w:val="left"/>
              <w:rPr>
                <w:rFonts w:ascii="IBM Plex Sans" w:cs="IBM Plex Sans" w:hAnsi="IBM Plex Sans" w:eastAsia="IBM Plex Sans"/>
                <w:sz w:val="18"/>
                <w:szCs w:val="18"/>
                <w:shd w:val="clear" w:color="auto" w:fill="ffffff"/>
                <w:rtl w:val="0"/>
              </w:rPr>
            </w:pPr>
            <w:r>
              <w:rPr>
                <w:rFonts w:ascii="IBM Plex Sans" w:hAnsi="IBM Plex Sans"/>
                <w:sz w:val="18"/>
                <w:szCs w:val="18"/>
                <w:shd w:val="clear" w:color="auto" w:fill="ffffff"/>
                <w:rtl w:val="0"/>
                <w:lang w:val="en-US"/>
              </w:rPr>
              <w:t>Design &amp; Ethics</w:t>
            </w:r>
          </w:p>
          <w:p>
            <w:pPr>
              <w:pStyle w:val="Body"/>
              <w:bidi w:val="0"/>
              <w:ind w:left="0" w:right="0" w:firstLine="0"/>
              <w:jc w:val="left"/>
              <w:rPr>
                <w:rtl w:val="0"/>
              </w:rPr>
            </w:pPr>
            <w:r>
              <w:rPr>
                <w:rFonts w:ascii="IBM Plex Sans" w:hAnsi="IBM Plex Sans"/>
                <w:sz w:val="18"/>
                <w:szCs w:val="18"/>
                <w:shd w:val="clear" w:color="auto" w:fill="ffffff"/>
                <w:rtl w:val="0"/>
                <w:lang w:val="en-US"/>
              </w:rPr>
              <w:t>Storyboarding</w:t>
            </w: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Day 3</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Making it real</w:t>
            </w:r>
          </w:p>
          <w:p>
            <w:pPr>
              <w:pStyle w:val="Body"/>
              <w:bidi w:val="0"/>
              <w:ind w:left="0" w:right="0" w:firstLine="0"/>
              <w:jc w:val="left"/>
              <w:rPr>
                <w:rtl w:val="0"/>
              </w:rPr>
            </w:pPr>
            <w:r>
              <w:rPr>
                <w:rFonts w:ascii="IBM Plex Sans" w:hAnsi="IBM Plex Sans"/>
                <w:sz w:val="18"/>
                <w:szCs w:val="18"/>
                <w:shd w:val="clear" w:color="auto" w:fill="ffffff"/>
                <w:rtl w:val="0"/>
                <w:lang w:val="en-US"/>
              </w:rPr>
              <w:t xml:space="preserve">The third day will be dedicated to designing and prototyping the solution storyboarded the day before. </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IBM Plex Sans" w:hAnsi="IBM Plex Sans"/>
                <w:sz w:val="18"/>
                <w:szCs w:val="18"/>
                <w:shd w:val="clear" w:color="auto" w:fill="ffffff"/>
                <w:rtl w:val="0"/>
                <w:lang w:val="en-US"/>
              </w:rPr>
              <w:t>Product Roadmap</w:t>
            </w:r>
            <w:r>
              <w:rPr>
                <w:rFonts w:ascii="IBM Plex Sans" w:cs="IBM Plex Sans" w:hAnsi="IBM Plex Sans" w:eastAsia="IBM Plex Sans"/>
                <w:sz w:val="18"/>
                <w:szCs w:val="18"/>
                <w:shd w:val="clear" w:color="auto" w:fill="ffffff"/>
              </w:rPr>
            </w:r>
          </w:p>
        </w:tc>
      </w:tr>
      <w:tr>
        <w:tblPrEx>
          <w:shd w:val="clear" w:color="auto" w:fill="ced7e7"/>
        </w:tblPrEx>
        <w:trPr>
          <w:trHeight w:val="1505"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Day 4</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b w:val="1"/>
                <w:bCs w:val="1"/>
                <w:sz w:val="18"/>
                <w:szCs w:val="18"/>
                <w:shd w:val="clear" w:color="auto" w:fill="ffffff"/>
              </w:rPr>
            </w:pPr>
            <w:r>
              <w:rPr>
                <w:rFonts w:ascii="IBM Plex Sans" w:hAnsi="IBM Plex Sans"/>
                <w:b w:val="1"/>
                <w:bCs w:val="1"/>
                <w:sz w:val="18"/>
                <w:szCs w:val="18"/>
                <w:shd w:val="clear" w:color="auto" w:fill="ffffff"/>
                <w:rtl w:val="0"/>
                <w:lang w:val="en-US"/>
              </w:rPr>
              <w:t>Pitch Prep</w:t>
            </w:r>
          </w:p>
          <w:p>
            <w:pPr>
              <w:pStyle w:val="Body"/>
              <w:bidi w:val="0"/>
              <w:ind w:left="0" w:right="0" w:firstLine="0"/>
              <w:jc w:val="left"/>
              <w:rPr>
                <w:rtl w:val="0"/>
              </w:rPr>
            </w:pPr>
            <w:r>
              <w:rPr>
                <w:rFonts w:ascii="IBM Plex Sans" w:hAnsi="IBM Plex Sans"/>
                <w:sz w:val="18"/>
                <w:szCs w:val="18"/>
                <w:shd w:val="clear" w:color="auto" w:fill="ffffff"/>
                <w:rtl w:val="0"/>
                <w:lang w:val="en-US"/>
              </w:rPr>
              <w:t>The team should then start to consolidate their findings and direction into a pitch deck of sorts where they can convey their latest learnings, call out remaining knowledge gaps to work on and their strategy beyond the bootcamp. It might be interesting to host a Mentor Check-in that day for participants to test their existing pitch and get strategic insights on what challenges they</w:t>
            </w:r>
            <w:r>
              <w:rPr>
                <w:rFonts w:ascii="IBM Plex Sans" w:hAnsi="IBM Plex Sans" w:hint="default"/>
                <w:sz w:val="18"/>
                <w:szCs w:val="18"/>
                <w:shd w:val="clear" w:color="auto" w:fill="ffffff"/>
                <w:rtl w:val="0"/>
                <w:lang w:val="en-US"/>
              </w:rPr>
              <w:t>’</w:t>
            </w:r>
            <w:r>
              <w:rPr>
                <w:rFonts w:ascii="IBM Plex Sans" w:hAnsi="IBM Plex Sans"/>
                <w:sz w:val="18"/>
                <w:szCs w:val="18"/>
                <w:shd w:val="clear" w:color="auto" w:fill="ffffff"/>
                <w:rtl w:val="0"/>
                <w:lang w:val="en-US"/>
              </w:rPr>
              <w:t>ll be facing in the near future.</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sz w:val="18"/>
                <w:szCs w:val="18"/>
                <w:shd w:val="clear" w:color="auto" w:fill="ffffff"/>
                <w:rtl w:val="0"/>
                <w:lang w:val="en-US"/>
              </w:rPr>
              <w:t>Pitch Prep</w:t>
            </w:r>
          </w:p>
          <w:p>
            <w:pPr>
              <w:pStyle w:val="Body"/>
              <w:bidi w:val="0"/>
              <w:ind w:left="0" w:right="0" w:firstLine="0"/>
              <w:jc w:val="left"/>
              <w:rPr>
                <w:rtl w:val="0"/>
              </w:rPr>
            </w:pPr>
            <w:r>
              <w:rPr>
                <w:rFonts w:ascii="IBM Plex Sans" w:hAnsi="IBM Plex Sans"/>
                <w:sz w:val="18"/>
                <w:szCs w:val="18"/>
                <w:shd w:val="clear" w:color="auto" w:fill="ffffff"/>
                <w:rtl w:val="0"/>
                <w:lang w:val="en-US"/>
              </w:rPr>
              <w:t>Mentor Check-In</w:t>
            </w:r>
          </w:p>
        </w:tc>
      </w:tr>
      <w:tr>
        <w:tblPrEx>
          <w:shd w:val="clear" w:color="auto" w:fill="ced7e7"/>
        </w:tblPrEx>
        <w:trPr>
          <w:trHeight w:val="746" w:hRule="atLeast"/>
        </w:trPr>
        <w:tc>
          <w:tcPr>
            <w:tcW w:type="dxa" w:w="13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Fonts w:ascii="IBM Plex Sans" w:hAnsi="IBM Plex Sans"/>
                <w:b w:val="1"/>
                <w:bCs w:val="1"/>
                <w:sz w:val="18"/>
                <w:szCs w:val="18"/>
                <w:shd w:val="clear" w:color="auto" w:fill="ffffff"/>
                <w:rtl w:val="0"/>
                <w:lang w:val="en-US"/>
              </w:rPr>
              <w:t>Day 5</w:t>
            </w:r>
          </w:p>
        </w:tc>
        <w:tc>
          <w:tcPr>
            <w:tcW w:type="dxa" w:w="7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rPr>
                <w:rFonts w:ascii="IBM Plex Sans" w:cs="IBM Plex Sans" w:hAnsi="IBM Plex Sans" w:eastAsia="IBM Plex Sans"/>
                <w:sz w:val="18"/>
                <w:szCs w:val="18"/>
                <w:shd w:val="clear" w:color="auto" w:fill="ffffff"/>
              </w:rPr>
            </w:pPr>
            <w:r>
              <w:rPr>
                <w:rFonts w:ascii="IBM Plex Sans" w:hAnsi="IBM Plex Sans"/>
                <w:b w:val="1"/>
                <w:bCs w:val="1"/>
                <w:sz w:val="18"/>
                <w:szCs w:val="18"/>
                <w:shd w:val="clear" w:color="auto" w:fill="ffffff"/>
                <w:rtl w:val="0"/>
                <w:lang w:val="en-US"/>
              </w:rPr>
              <w:t>Pitch Day</w:t>
            </w:r>
          </w:p>
          <w:p>
            <w:pPr>
              <w:pStyle w:val="Body"/>
              <w:bidi w:val="0"/>
              <w:ind w:left="0" w:right="0" w:firstLine="0"/>
              <w:jc w:val="left"/>
              <w:rPr>
                <w:rtl w:val="0"/>
              </w:rPr>
            </w:pPr>
            <w:r>
              <w:rPr>
                <w:rFonts w:ascii="IBM Plex Sans" w:hAnsi="IBM Plex Sans"/>
                <w:sz w:val="18"/>
                <w:szCs w:val="18"/>
                <w:shd w:val="clear" w:color="auto" w:fill="ffffff"/>
                <w:rtl w:val="0"/>
                <w:lang w:val="en-US"/>
              </w:rPr>
              <w:t>The aim of Pitch Day is to give a chance to the participants to reflect on what they</w:t>
            </w:r>
            <w:r>
              <w:rPr>
                <w:rFonts w:ascii="IBM Plex Sans" w:hAnsi="IBM Plex Sans" w:hint="default"/>
                <w:sz w:val="18"/>
                <w:szCs w:val="18"/>
                <w:shd w:val="clear" w:color="auto" w:fill="ffffff"/>
                <w:rtl w:val="0"/>
                <w:lang w:val="en-US"/>
              </w:rPr>
              <w:t>’</w:t>
            </w:r>
            <w:r>
              <w:rPr>
                <w:rFonts w:ascii="IBM Plex Sans" w:hAnsi="IBM Plex Sans"/>
                <w:sz w:val="18"/>
                <w:szCs w:val="18"/>
                <w:shd w:val="clear" w:color="auto" w:fill="ffffff"/>
                <w:rtl w:val="0"/>
                <w:lang w:val="en-US"/>
              </w:rPr>
              <w:t>ve achieved in the past two bootcamps and get feedback on their approach and strategy.</w:t>
            </w:r>
          </w:p>
        </w:tc>
        <w:tc>
          <w:tcPr>
            <w:tcW w:type="dxa" w:w="34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1242" w:hanging="1242"/>
        <w:rPr>
          <w:rFonts w:ascii="IBM Plex Sans" w:cs="IBM Plex Sans" w:hAnsi="IBM Plex Sans" w:eastAsia="IBM Plex Sans"/>
          <w:sz w:val="16"/>
          <w:szCs w:val="16"/>
          <w:shd w:val="clear" w:color="auto" w:fill="ffffff"/>
        </w:rPr>
      </w:pPr>
    </w:p>
    <w:p>
      <w:pPr>
        <w:pStyle w:val="Body"/>
        <w:rPr>
          <w:rFonts w:ascii="IBM Plex Sans" w:cs="IBM Plex Sans" w:hAnsi="IBM Plex Sans" w:eastAsia="IBM Plex Sans"/>
          <w:sz w:val="16"/>
          <w:szCs w:val="16"/>
          <w:shd w:val="clear" w:color="auto" w:fill="ffffff"/>
        </w:rPr>
      </w:pPr>
    </w:p>
    <w:p>
      <w:pPr>
        <w:pStyle w:val="Body"/>
      </w:pPr>
      <w:r>
        <w:rPr>
          <w:rFonts w:ascii="IBM Plex Sans" w:cs="IBM Plex Sans" w:hAnsi="IBM Plex Sans" w:eastAsia="IBM Plex Sans"/>
          <w:sz w:val="16"/>
          <w:szCs w:val="16"/>
          <w:shd w:val="clear" w:color="auto" w:fill="ffffff"/>
        </w:rPr>
      </w:r>
    </w:p>
    <w:sectPr>
      <w:headerReference w:type="default" r:id="rId4"/>
      <w:footerReference w:type="default" r:id="rId5"/>
      <w:pgSz w:w="15840" w:h="12240" w:orient="landscape"/>
      <w:pgMar w:top="1080" w:right="1080" w:bottom="1080" w:left="1080" w:header="720" w:footer="431"/>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BM Plex San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drawing>
        <wp:inline distT="0" distB="0" distL="0" distR="0">
          <wp:extent cx="1366838" cy="475422"/>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1366838" cy="475422"/>
                  </a:xfrm>
                  <a:prstGeom prst="rect">
                    <a:avLst/>
                  </a:prstGeom>
                  <a:ln w="12700" cap="flat">
                    <a:noFill/>
                    <a:miter lim="400000"/>
                  </a:ln>
                  <a:effectLst/>
                </pic:spPr>
              </pic:pic>
            </a:graphicData>
          </a:graphic>
        </wp:inline>
      </w:drawing>
    </w:r>
    <w:r>
      <w:drawing>
        <wp:inline distT="0" distB="0" distL="0" distR="0">
          <wp:extent cx="395289" cy="430581"/>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extLst/>
                  </a:blip>
                  <a:stretch>
                    <a:fillRect/>
                  </a:stretch>
                </pic:blipFill>
                <pic:spPr>
                  <a:xfrm>
                    <a:off x="0" y="0"/>
                    <a:ext cx="395289" cy="430581"/>
                  </a:xfrm>
                  <a:prstGeom prst="rect">
                    <a:avLst/>
                  </a:prstGeom>
                  <a:ln w="12700" cap="flat">
                    <a:noFill/>
                    <a:miter lim="400000"/>
                  </a:ln>
                  <a:effectLst/>
                </pic:spPr>
              </pic:pic>
            </a:graphicData>
          </a:graphic>
        </wp:inline>
      </w:drawing>
    </w:r>
    <w:r>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