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Sans" w:cs="IBM Plex Sans" w:eastAsia="IBM Plex Sans" w:hAnsi="IBM Plex Sans"/>
          <w:sz w:val="36"/>
          <w:szCs w:val="36"/>
          <w:shd w:fill="a4c2f4" w:val="clear"/>
        </w:rPr>
      </w:pPr>
      <w:r w:rsidDel="00000000" w:rsidR="00000000" w:rsidRPr="00000000">
        <w:rPr>
          <w:rFonts w:ascii="IBM Plex Sans" w:cs="IBM Plex Sans" w:eastAsia="IBM Plex Sans" w:hAnsi="IBM Plex Sans"/>
          <w:b w:val="1"/>
          <w:color w:val="ffffff"/>
          <w:sz w:val="36"/>
          <w:szCs w:val="36"/>
          <w:highlight w:val="black"/>
          <w:rtl w:val="0"/>
        </w:rPr>
        <w:t xml:space="preserve">Startup Innovation Lab</w:t>
      </w:r>
      <w:r w:rsidDel="00000000" w:rsidR="00000000" w:rsidRPr="00000000">
        <w:rPr>
          <w:rtl w:val="0"/>
        </w:rPr>
      </w:r>
    </w:p>
    <w:p w:rsidR="00000000" w:rsidDel="00000000" w:rsidP="00000000" w:rsidRDefault="00000000" w:rsidRPr="00000000" w14:paraId="00000002">
      <w:pPr>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A 3 day primer on HCD ideal for a startup or product development team hoping to better understand their users and how to meet their needs.</w:t>
      </w:r>
    </w:p>
    <w:p w:rsidR="00000000" w:rsidDel="00000000" w:rsidP="00000000" w:rsidRDefault="00000000" w:rsidRPr="00000000" w14:paraId="00000003">
      <w:pPr>
        <w:rPr>
          <w:rFonts w:ascii="IBM Plex Sans" w:cs="IBM Plex Sans" w:eastAsia="IBM Plex Sans" w:hAnsi="IBM Plex Sans"/>
          <w:sz w:val="16"/>
          <w:szCs w:val="16"/>
          <w:highlight w:val="white"/>
        </w:rPr>
      </w:pPr>
      <w:r w:rsidDel="00000000" w:rsidR="00000000" w:rsidRPr="00000000">
        <w:rPr>
          <w:rtl w:val="0"/>
        </w:rPr>
      </w:r>
    </w:p>
    <w:tbl>
      <w:tblPr>
        <w:tblStyle w:val="Table1"/>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05"/>
        <w:gridCol w:w="3435"/>
        <w:tblGridChange w:id="0">
          <w:tblGrid>
            <w:gridCol w:w="1380"/>
            <w:gridCol w:w="7605"/>
            <w:gridCol w:w="3435"/>
          </w:tblGrid>
        </w:tblGridChange>
      </w:tblGrid>
      <w:tr>
        <w:trPr>
          <w:trHeight w:val="280" w:hRule="atLeast"/>
        </w:trP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Day 1 | Frame the problem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08:30 - 09:00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TEA / COFFEE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09:00 - 09:20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Introduction to the event</w:t>
            </w:r>
          </w:p>
          <w:p w:rsidR="00000000" w:rsidDel="00000000" w:rsidP="00000000" w:rsidRDefault="00000000" w:rsidRPr="00000000" w14:paraId="0000000C">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Share the objectives and broad agenda for the next 3 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09:20 - 9:50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Introduction to HCD</w:t>
            </w:r>
          </w:p>
          <w:p w:rsidR="00000000" w:rsidDel="00000000" w:rsidP="00000000" w:rsidRDefault="00000000" w:rsidRPr="00000000" w14:paraId="00000010">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participants are introduced to the use of HCD to create products that better meet their users’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Intro to HCD Facilitation Deck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9:50-10:00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Short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10:00 - 11:00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Startup Journey Review</w:t>
            </w:r>
            <w:r w:rsidDel="00000000" w:rsidR="00000000" w:rsidRPr="00000000">
              <w:rPr>
                <w:rtl w:val="0"/>
              </w:rPr>
            </w:r>
          </w:p>
          <w:p w:rsidR="00000000" w:rsidDel="00000000" w:rsidP="00000000" w:rsidRDefault="00000000" w:rsidRPr="00000000" w14:paraId="00000017">
            <w:pPr>
              <w:spacing w:line="276" w:lineRule="auto"/>
              <w:ind w:left="0" w:firstLine="0"/>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participants will now detail their own startup’s activity using the Startup Canvas. This will help them and the facilitators understand where there is the most and least clarity regarding their current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Startup Canvas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11:00-12:30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Startup Pains</w:t>
            </w:r>
            <w:r w:rsidDel="00000000" w:rsidR="00000000" w:rsidRPr="00000000">
              <w:rPr>
                <w:rtl w:val="0"/>
              </w:rPr>
            </w:r>
          </w:p>
          <w:p w:rsidR="00000000" w:rsidDel="00000000" w:rsidP="00000000" w:rsidRDefault="00000000" w:rsidRPr="00000000" w14:paraId="0000001B">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Building on the previous exercise, a set of activities should be organised to share challenges, fears, milestones the various startups are working around.</w:t>
            </w:r>
          </w:p>
          <w:p w:rsidR="00000000" w:rsidDel="00000000" w:rsidP="00000000" w:rsidRDefault="00000000" w:rsidRPr="00000000" w14:paraId="0000001C">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This can be done through a fun Speed Dating exercise in pairs or an Affinity Mapping in groups of 10-15 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Speed Dating</w:t>
            </w:r>
          </w:p>
          <w:p w:rsidR="00000000" w:rsidDel="00000000" w:rsidP="00000000" w:rsidRDefault="00000000" w:rsidRPr="00000000" w14:paraId="0000001E">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Affinity Mapping</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12:30 - 13:30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LUNCH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13:30 - 14:30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Understand the Challenges</w:t>
            </w:r>
          </w:p>
          <w:p w:rsidR="00000000" w:rsidDel="00000000" w:rsidP="00000000" w:rsidRDefault="00000000" w:rsidRPr="00000000" w14:paraId="00000024">
            <w:pPr>
              <w:spacing w:line="276" w:lineRule="auto"/>
              <w:ind w:left="0" w:firstLine="0"/>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After lunch, participants will be asked to challenge and unpack their own understanding of the problem through to exercises (both can be used one after the other), 30 minutes should be dedicated to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Problem Tree + 5 Whys</w:t>
            </w:r>
          </w:p>
          <w:p w:rsidR="00000000" w:rsidDel="00000000" w:rsidP="00000000" w:rsidRDefault="00000000" w:rsidRPr="00000000" w14:paraId="00000026">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Stakeholder Mapping</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15:30 - 16:00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BREAK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16:00 - 17:30</w:t>
            </w:r>
          </w:p>
        </w:tc>
        <w:tc>
          <w:tcPr>
            <w:tcMar>
              <w:top w:w="100.0" w:type="dxa"/>
              <w:left w:w="100.0" w:type="dxa"/>
              <w:bottom w:w="100.0" w:type="dxa"/>
              <w:right w:w="100.0" w:type="dxa"/>
            </w:tcMar>
            <w:vAlign w:val="top"/>
          </w:tcPr>
          <w:p w:rsidR="00000000" w:rsidDel="00000000" w:rsidP="00000000" w:rsidRDefault="00000000" w:rsidRPr="00000000" w14:paraId="0000002B">
            <w:pPr>
              <w:spacing w:line="276" w:lineRule="auto"/>
              <w:rPr>
                <w:rFonts w:ascii="IBM Plex Sans" w:cs="IBM Plex Sans" w:eastAsia="IBM Plex Sans" w:hAnsi="IBM Plex Sans"/>
                <w:sz w:val="18"/>
                <w:szCs w:val="18"/>
              </w:rPr>
            </w:pPr>
            <w:r w:rsidDel="00000000" w:rsidR="00000000" w:rsidRPr="00000000">
              <w:rPr>
                <w:rFonts w:ascii="IBM Plex Sans" w:cs="IBM Plex Sans" w:eastAsia="IBM Plex Sans" w:hAnsi="IBM Plex Sans"/>
                <w:b w:val="1"/>
                <w:sz w:val="18"/>
                <w:szCs w:val="18"/>
                <w:rtl w:val="0"/>
              </w:rPr>
              <w:t xml:space="preserve">Contextualise the Challenges</w:t>
            </w:r>
            <w:r w:rsidDel="00000000" w:rsidR="00000000" w:rsidRPr="00000000">
              <w:rPr>
                <w:rtl w:val="0"/>
              </w:rPr>
            </w:r>
          </w:p>
          <w:p w:rsidR="00000000" w:rsidDel="00000000" w:rsidP="00000000" w:rsidRDefault="00000000" w:rsidRPr="00000000" w14:paraId="0000002C">
            <w:pPr>
              <w:spacing w:line="276"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sz w:val="18"/>
                <w:szCs w:val="18"/>
                <w:rtl w:val="0"/>
              </w:rPr>
              <w:t xml:space="preserve">The final exercise of the day will be to understand how the problems and stakeholders identified in the previous activities fit in a typical User’s Journey.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rFonts w:ascii="IBM Plex Sans" w:cs="IBM Plex Sans" w:eastAsia="IBM Plex Sans" w:hAnsi="IBM Plex Sans"/>
                <w:sz w:val="18"/>
                <w:szCs w:val="18"/>
              </w:rPr>
            </w:pPr>
            <w:r w:rsidDel="00000000" w:rsidR="00000000" w:rsidRPr="00000000">
              <w:rPr>
                <w:rFonts w:ascii="IBM Plex Sans" w:cs="IBM Plex Sans" w:eastAsia="IBM Plex Sans" w:hAnsi="IBM Plex Sans"/>
                <w:sz w:val="18"/>
                <w:szCs w:val="18"/>
                <w:rtl w:val="0"/>
              </w:rPr>
              <w:t xml:space="preserve">Journey Mapping</w:t>
            </w:r>
          </w:p>
        </w:tc>
      </w:tr>
      <w:tr>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17:30 - 18:00</w:t>
            </w:r>
          </w:p>
        </w:tc>
        <w:tc>
          <w:tcP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Close of Day one</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IBM Plex Sans" w:cs="IBM Plex Sans" w:eastAsia="IBM Plex Sans" w:hAnsi="IBM Plex Sans"/>
                <w:b w:val="1"/>
                <w:sz w:val="18"/>
                <w:szCs w:val="18"/>
              </w:rPr>
            </w:pPr>
            <w:r w:rsidDel="00000000" w:rsidR="00000000" w:rsidRPr="00000000">
              <w:rPr>
                <w:rtl w:val="0"/>
              </w:rPr>
            </w:r>
          </w:p>
        </w:tc>
      </w:tr>
      <w:tr>
        <w:trPr>
          <w:trHeight w:val="380" w:hRule="atLeast"/>
        </w:trPr>
        <w:tc>
          <w:tcPr>
            <w:gridSpan w:val="3"/>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IBM Plex Sans" w:cs="IBM Plex Sans" w:eastAsia="IBM Plex Sans" w:hAnsi="IBM Plex Sans"/>
                <w:b w:val="1"/>
                <w:sz w:val="18"/>
                <w:szCs w:val="18"/>
              </w:rPr>
            </w:pPr>
            <w:r w:rsidDel="00000000" w:rsidR="00000000" w:rsidRPr="00000000">
              <w:rPr>
                <w:rtl w:val="0"/>
              </w:rPr>
            </w:r>
          </w:p>
        </w:tc>
      </w:tr>
      <w:t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rFonts w:ascii="IBM Plex Sans" w:cs="IBM Plex Sans" w:eastAsia="IBM Plex Sans" w:hAnsi="IBM Plex Sans"/>
                <w:b w:val="1"/>
                <w:color w:val="ffffff"/>
                <w:sz w:val="18"/>
                <w:szCs w:val="18"/>
              </w:rPr>
            </w:pPr>
            <w:r w:rsidDel="00000000" w:rsidR="00000000" w:rsidRPr="00000000">
              <w:rPr>
                <w:rFonts w:ascii="IBM Plex Sans" w:cs="IBM Plex Sans" w:eastAsia="IBM Plex Sans" w:hAnsi="IBM Plex Sans"/>
                <w:b w:val="1"/>
                <w:color w:val="ffffff"/>
                <w:sz w:val="18"/>
                <w:szCs w:val="18"/>
                <w:rtl w:val="0"/>
              </w:rPr>
              <w:t xml:space="preserve">Day 2 | Discover user needs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rFonts w:ascii="IBM Plex Sans" w:cs="IBM Plex Sans" w:eastAsia="IBM Plex Sans" w:hAnsi="IBM Plex Sans"/>
                <w:b w:val="1"/>
                <w:color w:val="ffffff"/>
                <w:sz w:val="18"/>
                <w:szCs w:val="18"/>
              </w:rPr>
            </w:pPr>
            <w:r w:rsidDel="00000000" w:rsidR="00000000" w:rsidRPr="00000000">
              <w:rPr>
                <w:rFonts w:ascii="IBM Plex Sans" w:cs="IBM Plex Sans" w:eastAsia="IBM Plex Sans" w:hAnsi="IBM Plex Sans"/>
                <w:b w:val="1"/>
                <w:color w:val="ffffff"/>
                <w:sz w:val="18"/>
                <w:szCs w:val="18"/>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08:30 - 09:00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TEA / COFFEE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09:00 - 09:20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Introduction to User Research</w:t>
            </w:r>
          </w:p>
          <w:p w:rsidR="00000000" w:rsidDel="00000000" w:rsidP="00000000" w:rsidRDefault="00000000" w:rsidRPr="00000000" w14:paraId="0000003C">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Provide an overview of research methods and how research can inform product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Research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09:20 - 10:20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HCD warm-up</w:t>
            </w:r>
          </w:p>
          <w:p w:rsidR="00000000" w:rsidDel="00000000" w:rsidP="00000000" w:rsidRDefault="00000000" w:rsidRPr="00000000" w14:paraId="00000040">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 simple hour-long exercise to run through the motions of user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HCD Exercise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10:20 - 12:30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Research Plan</w:t>
            </w:r>
          </w:p>
          <w:p w:rsidR="00000000" w:rsidDel="00000000" w:rsidP="00000000" w:rsidRDefault="00000000" w:rsidRPr="00000000" w14:paraId="00000044">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team will review  all the discussions that led up to this point and decide on a few lines of inquiry, themes or painpoints to learn more about through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Research Plan</w:t>
            </w:r>
          </w:p>
          <w:p w:rsidR="00000000" w:rsidDel="00000000" w:rsidP="00000000" w:rsidRDefault="00000000" w:rsidRPr="00000000" w14:paraId="00000046">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Secondary Research</w:t>
            </w:r>
          </w:p>
          <w:p w:rsidR="00000000" w:rsidDel="00000000" w:rsidP="00000000" w:rsidRDefault="00000000" w:rsidRPr="00000000" w14:paraId="00000047">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User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12:30 - 13:30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LUNCH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13:30 - 16:00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Conduct research</w:t>
            </w:r>
          </w:p>
          <w:p w:rsidR="00000000" w:rsidDel="00000000" w:rsidP="00000000" w:rsidRDefault="00000000" w:rsidRPr="00000000" w14:paraId="0000004D">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Participants will be given the afternoon to conduct a trial run of the research plan they’ve created and start speaking to potential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rPr>
          <w:trHeight w:val="3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rFonts w:ascii="IBM Plex Sans" w:cs="IBM Plex Sans" w:eastAsia="IBM Plex Sans" w:hAnsi="IBM Plex Sans"/>
                <w:b w:val="1"/>
                <w:color w:val="ffffff"/>
                <w:sz w:val="18"/>
                <w:szCs w:val="18"/>
              </w:rPr>
            </w:pPr>
            <w:r w:rsidDel="00000000" w:rsidR="00000000" w:rsidRPr="00000000">
              <w:rPr>
                <w:rFonts w:ascii="IBM Plex Sans" w:cs="IBM Plex Sans" w:eastAsia="IBM Plex Sans" w:hAnsi="IBM Plex Sans"/>
                <w:b w:val="1"/>
                <w:color w:val="ffffff"/>
                <w:sz w:val="18"/>
                <w:szCs w:val="18"/>
                <w:rtl w:val="0"/>
              </w:rPr>
              <w:t xml:space="preserve">Day 3 | Explore possible solutions</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rFonts w:ascii="IBM Plex Sans" w:cs="IBM Plex Sans" w:eastAsia="IBM Plex Sans" w:hAnsi="IBM Plex Sans"/>
                <w:b w:val="1"/>
                <w:color w:val="ffffff"/>
                <w:sz w:val="18"/>
                <w:szCs w:val="18"/>
              </w:rPr>
            </w:pPr>
            <w:r w:rsidDel="00000000" w:rsidR="00000000" w:rsidRPr="00000000">
              <w:rPr>
                <w:rFonts w:ascii="IBM Plex Sans" w:cs="IBM Plex Sans" w:eastAsia="IBM Plex Sans" w:hAnsi="IBM Plex Sans"/>
                <w:b w:val="1"/>
                <w:color w:val="ffffff"/>
                <w:sz w:val="18"/>
                <w:szCs w:val="18"/>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08:30 - 09:00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TEA / COFFEE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09:00 - 09:20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Share the Research Experience</w:t>
            </w:r>
          </w:p>
          <w:p w:rsidR="00000000" w:rsidDel="00000000" w:rsidP="00000000" w:rsidRDefault="00000000" w:rsidRPr="00000000" w14:paraId="0000005A">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Participants can spend a bit of time sharing their respective experiences conducting research in plenary: What worked? What didn’t?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09:20 - 11:00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Research Download</w:t>
            </w:r>
          </w:p>
          <w:p w:rsidR="00000000" w:rsidDel="00000000" w:rsidP="00000000" w:rsidRDefault="00000000" w:rsidRPr="00000000" w14:paraId="0000005E">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participants will review notes from their interviews and secondary research and organise the information to identify key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Problem Tree (can be reintroduced)</w:t>
            </w:r>
          </w:p>
          <w:p w:rsidR="00000000" w:rsidDel="00000000" w:rsidP="00000000" w:rsidRDefault="00000000" w:rsidRPr="00000000" w14:paraId="00000060">
            <w:pPr>
              <w:widowControl w:val="0"/>
              <w:spacing w:line="276" w:lineRule="auto"/>
              <w:ind w:right="-15"/>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Stakeholder Mapping (can be reintroduced)</w:t>
            </w:r>
          </w:p>
          <w:p w:rsidR="00000000" w:rsidDel="00000000" w:rsidP="00000000" w:rsidRDefault="00000000" w:rsidRPr="00000000" w14:paraId="00000061">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Affinity Mapping</w:t>
            </w:r>
          </w:p>
          <w:p w:rsidR="00000000" w:rsidDel="00000000" w:rsidP="00000000" w:rsidRDefault="00000000" w:rsidRPr="00000000" w14:paraId="00000062">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ERAF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11:00 - 12:00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Identify Insights</w:t>
            </w:r>
            <w:r w:rsidDel="00000000" w:rsidR="00000000" w:rsidRPr="00000000">
              <w:rPr>
                <w:rtl w:val="0"/>
              </w:rPr>
            </w:r>
          </w:p>
          <w:p w:rsidR="00000000" w:rsidDel="00000000" w:rsidP="00000000" w:rsidRDefault="00000000" w:rsidRPr="00000000" w14:paraId="00000065">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participants will then review the key findings and discuss how this new information changes their existing understanding of the situation. The idea is to highlight both information that validates assumptions and some that challenge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Insights and Opportunities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12:00-12:30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Design Principles</w:t>
            </w:r>
            <w:r w:rsidDel="00000000" w:rsidR="00000000" w:rsidRPr="00000000">
              <w:rPr>
                <w:rtl w:val="0"/>
              </w:rPr>
            </w:r>
          </w:p>
          <w:p w:rsidR="00000000" w:rsidDel="00000000" w:rsidP="00000000" w:rsidRDefault="00000000" w:rsidRPr="00000000" w14:paraId="00000069">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final activity for the morning will be to define broad guidelines for what the solutions taken forward should and shouldn’t be by defining Design Principles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Design Principles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12:30 - 13:30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LUNCH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13:30 - 14:30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Ideation</w:t>
            </w:r>
          </w:p>
          <w:p w:rsidR="00000000" w:rsidDel="00000000" w:rsidP="00000000" w:rsidRDefault="00000000" w:rsidRPr="00000000" w14:paraId="00000070">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After lunch, participants will be asked to come up with new solutions that would meet the needs of the users they met and improve the experience provided by their product. The participants can then be challenged to quickly storyboard their best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What if</w:t>
            </w:r>
          </w:p>
          <w:p w:rsidR="00000000" w:rsidDel="00000000" w:rsidP="00000000" w:rsidRDefault="00000000" w:rsidRPr="00000000" w14:paraId="00000072">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SCAMPER</w:t>
            </w:r>
          </w:p>
          <w:p w:rsidR="00000000" w:rsidDel="00000000" w:rsidP="00000000" w:rsidRDefault="00000000" w:rsidRPr="00000000" w14:paraId="00000073">
            <w:pPr>
              <w:widowControl w:val="0"/>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Storyboarding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14:30-15:30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Prototyping</w:t>
            </w:r>
          </w:p>
          <w:p w:rsidR="00000000" w:rsidDel="00000000" w:rsidP="00000000" w:rsidRDefault="00000000" w:rsidRPr="00000000" w14:paraId="00000076">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ideas will be shared in plenary and acted out as to get feedback on the core value of the prototype and its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rFonts w:ascii="IBM Plex Sans" w:cs="IBM Plex Sans" w:eastAsia="IBM Plex Sans" w:hAnsi="IBM Plex Sans"/>
                <w:sz w:val="18"/>
                <w:szCs w:val="18"/>
                <w:highlight w:val="white"/>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15:30-17:00</w:t>
            </w:r>
          </w:p>
        </w:tc>
        <w:tc>
          <w:tcPr>
            <w:tcMar>
              <w:top w:w="100.0" w:type="dxa"/>
              <w:left w:w="100.0" w:type="dxa"/>
              <w:bottom w:w="100.0" w:type="dxa"/>
              <w:right w:w="100.0" w:type="dxa"/>
            </w:tcMar>
            <w:vAlign w:val="top"/>
          </w:tcPr>
          <w:p w:rsidR="00000000" w:rsidDel="00000000" w:rsidP="00000000" w:rsidRDefault="00000000" w:rsidRPr="00000000" w14:paraId="00000079">
            <w:pPr>
              <w:spacing w:line="276" w:lineRule="auto"/>
              <w:rPr>
                <w:rFonts w:ascii="IBM Plex Sans" w:cs="IBM Plex Sans" w:eastAsia="IBM Plex Sans" w:hAnsi="IBM Plex Sans"/>
                <w:sz w:val="18"/>
                <w:szCs w:val="18"/>
              </w:rPr>
            </w:pPr>
            <w:r w:rsidDel="00000000" w:rsidR="00000000" w:rsidRPr="00000000">
              <w:rPr>
                <w:rFonts w:ascii="IBM Plex Sans" w:cs="IBM Plex Sans" w:eastAsia="IBM Plex Sans" w:hAnsi="IBM Plex Sans"/>
                <w:b w:val="1"/>
                <w:sz w:val="18"/>
                <w:szCs w:val="18"/>
                <w:rtl w:val="0"/>
              </w:rPr>
              <w:t xml:space="preserve">Theory of Change</w:t>
            </w:r>
            <w:r w:rsidDel="00000000" w:rsidR="00000000" w:rsidRPr="00000000">
              <w:rPr>
                <w:rtl w:val="0"/>
              </w:rPr>
            </w:r>
          </w:p>
          <w:p w:rsidR="00000000" w:rsidDel="00000000" w:rsidP="00000000" w:rsidRDefault="00000000" w:rsidRPr="00000000" w14:paraId="0000007A">
            <w:pPr>
              <w:spacing w:line="276"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sz w:val="18"/>
                <w:szCs w:val="18"/>
                <w:rtl w:val="0"/>
              </w:rPr>
              <w:t xml:space="preserve">Finally participants will use a Theory of Change Framework to assess how successful their current idea might be and better understand how what they are trying to build will drive impact and improve the lives of the users targeted.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ind w:right="-825"/>
              <w:rPr>
                <w:rFonts w:ascii="IBM Plex Sans" w:cs="IBM Plex Sans" w:eastAsia="IBM Plex Sans" w:hAnsi="IBM Plex Sans"/>
                <w:sz w:val="18"/>
                <w:szCs w:val="18"/>
              </w:rPr>
            </w:pPr>
            <w:r w:rsidDel="00000000" w:rsidR="00000000" w:rsidRPr="00000000">
              <w:rPr>
                <w:rFonts w:ascii="IBM Plex Sans" w:cs="IBM Plex Sans" w:eastAsia="IBM Plex Sans" w:hAnsi="IBM Plex Sans"/>
                <w:sz w:val="18"/>
                <w:szCs w:val="18"/>
                <w:rtl w:val="0"/>
              </w:rPr>
              <w:t xml:space="preserve">Theory of Change Framework</w:t>
            </w:r>
          </w:p>
        </w:tc>
      </w:tr>
      <w:t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17:00 - 17:30</w:t>
            </w:r>
          </w:p>
        </w:tc>
        <w:tc>
          <w:tcPr>
            <w:tcMar>
              <w:top w:w="100.0" w:type="dxa"/>
              <w:left w:w="100.0" w:type="dxa"/>
              <w:bottom w:w="100.0" w:type="dxa"/>
              <w:right w:w="100.0" w:type="dxa"/>
            </w:tcMar>
            <w:vAlign w:val="top"/>
          </w:tcPr>
          <w:p w:rsidR="00000000" w:rsidDel="00000000" w:rsidP="00000000" w:rsidRDefault="00000000" w:rsidRPr="00000000" w14:paraId="0000007D">
            <w:pPr>
              <w:spacing w:line="276" w:lineRule="auto"/>
              <w:rPr>
                <w:rFonts w:ascii="IBM Plex Sans" w:cs="IBM Plex Sans" w:eastAsia="IBM Plex Sans" w:hAnsi="IBM Plex Sans"/>
                <w:sz w:val="18"/>
                <w:szCs w:val="18"/>
              </w:rPr>
            </w:pPr>
            <w:r w:rsidDel="00000000" w:rsidR="00000000" w:rsidRPr="00000000">
              <w:rPr>
                <w:rFonts w:ascii="IBM Plex Sans" w:cs="IBM Plex Sans" w:eastAsia="IBM Plex Sans" w:hAnsi="IBM Plex Sans"/>
                <w:b w:val="1"/>
                <w:sz w:val="18"/>
                <w:szCs w:val="18"/>
                <w:rtl w:val="0"/>
              </w:rPr>
              <w:t xml:space="preserve">SMART Goals</w:t>
            </w:r>
            <w:r w:rsidDel="00000000" w:rsidR="00000000" w:rsidRPr="00000000">
              <w:rPr>
                <w:rtl w:val="0"/>
              </w:rPr>
            </w:r>
          </w:p>
          <w:p w:rsidR="00000000" w:rsidDel="00000000" w:rsidP="00000000" w:rsidRDefault="00000000" w:rsidRPr="00000000" w14:paraId="0000007E">
            <w:pPr>
              <w:spacing w:line="276"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sz w:val="18"/>
                <w:szCs w:val="18"/>
                <w:rtl w:val="0"/>
              </w:rPr>
              <w:t xml:space="preserve">The final exercise of the bootcamp will be to discuss and set realistic and actionable goals on how to use HCD in the startup’s activity.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rFonts w:ascii="IBM Plex Sans" w:cs="IBM Plex Sans" w:eastAsia="IBM Plex Sans" w:hAnsi="IBM Plex Sans"/>
                <w:sz w:val="18"/>
                <w:szCs w:val="18"/>
              </w:rPr>
            </w:pPr>
            <w:r w:rsidDel="00000000" w:rsidR="00000000" w:rsidRPr="00000000">
              <w:rPr>
                <w:rFonts w:ascii="IBM Plex Sans" w:cs="IBM Plex Sans" w:eastAsia="IBM Plex Sans" w:hAnsi="IBM Plex Sans"/>
                <w:sz w:val="18"/>
                <w:szCs w:val="18"/>
                <w:rtl w:val="0"/>
              </w:rPr>
              <w:t xml:space="preserve">SMART Goals</w:t>
            </w:r>
          </w:p>
        </w:tc>
      </w:tr>
      <w:t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17:30 - 18:00</w:t>
            </w:r>
          </w:p>
        </w:tc>
        <w:tc>
          <w:tcPr>
            <w:tcMar>
              <w:top w:w="100.0" w:type="dxa"/>
              <w:left w:w="100.0" w:type="dxa"/>
              <w:bottom w:w="100.0" w:type="dxa"/>
              <w:right w:w="100.0" w:type="dxa"/>
            </w:tcMar>
            <w:vAlign w:val="top"/>
          </w:tcPr>
          <w:p w:rsidR="00000000" w:rsidDel="00000000" w:rsidP="00000000" w:rsidRDefault="00000000" w:rsidRPr="00000000" w14:paraId="00000081">
            <w:pPr>
              <w:spacing w:line="276"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Close of Day one</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rFonts w:ascii="IBM Plex Sans" w:cs="IBM Plex Sans" w:eastAsia="IBM Plex Sans" w:hAnsi="IBM Plex Sans"/>
                <w:b w:val="1"/>
                <w:sz w:val="18"/>
                <w:szCs w:val="18"/>
              </w:rPr>
            </w:pPr>
            <w:r w:rsidDel="00000000" w:rsidR="00000000" w:rsidRPr="00000000">
              <w:rPr>
                <w:rtl w:val="0"/>
              </w:rPr>
            </w:r>
          </w:p>
        </w:tc>
      </w:tr>
    </w:tbl>
    <w:p w:rsidR="00000000" w:rsidDel="00000000" w:rsidP="00000000" w:rsidRDefault="00000000" w:rsidRPr="00000000" w14:paraId="00000083">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footerReference r:id="rId6" w:type="default"/>
      <w:pgSz w:h="12240" w:w="15840"/>
      <w:pgMar w:bottom="1080" w:top="1080" w:left="1080" w:right="1080" w:header="720"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drawing>
        <wp:inline distB="114300" distT="114300" distL="114300" distR="114300">
          <wp:extent cx="1366838" cy="475422"/>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6838" cy="475422"/>
                  </a:xfrm>
                  <a:prstGeom prst="rect"/>
                  <a:ln/>
                </pic:spPr>
              </pic:pic>
            </a:graphicData>
          </a:graphic>
        </wp:inline>
      </w:drawing>
    </w:r>
    <w:r w:rsidDel="00000000" w:rsidR="00000000" w:rsidRPr="00000000">
      <w:rPr/>
      <w:drawing>
        <wp:inline distB="114300" distT="114300" distL="114300" distR="114300">
          <wp:extent cx="395288" cy="430581"/>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95288" cy="430581"/>
                  </a:xfrm>
                  <a:prstGeom prst="rect"/>
                  <a:ln/>
                </pic:spPr>
              </pic:pic>
            </a:graphicData>
          </a:graphic>
        </wp:inline>
      </w:drawing>
    </w:r>
    <w:r w:rsidDel="00000000" w:rsidR="00000000" w:rsidRPr="00000000">
      <w:rPr>
        <w:rtl w:val="0"/>
      </w:rPr>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