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PRESUPUESTO Y TESORERIA
</w:t>
      </w:r>
    </w:p>
    <w:p>
      <w:pPr>
        <w:ind w:left="5392.8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648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000021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Lugar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IVO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2023-10-30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FINLEY GUERRA MENDOZA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Por Concepto 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Aranceles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de Notas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50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Pago Historicos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130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</w:pPr>
            <w:r>
              <w:rPr/>
              <w:t xml:space="preserve">ENTREGA CONFORME</w:t>
            </w:r>
          </w:p>
        </w:tc>
      </w:tr>
    </w:tbl>
    <w:p>
      <w:pPr/>
      <w:r>
        <w:rPr/>
        <w:t xml:space="preserve">
</w:t>
      </w:r>
    </w:p>
    <w:p>
      <w:pPr>
        <w:jc w:val="right"/>
      </w:pPr>
      <w:r>
        <w:rPr>
          <w:rFonts w:ascii="Agency FB" w:hAnsi="Agency FB" w:eastAsia="Agency FB" w:cs="Agency FB"/>
          <w:color w:val="&#9;#0000FF"/>
          <w:sz w:val="16"/>
          <w:szCs w:val="16"/>
        </w:rPr>
        <w:t xml:space="preserve">usuario erikabr20@hotmail.com</w:t>
      </w:r>
    </w:p>
    <w:sectPr>
      <w:headerReference w:type="default" r:id="rId8"/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Chiller" w:hAnsi="Chiller" w:eastAsia="Chiller" w:cs="Chiller"/>
        <w:color w:val="FF0000"/>
        <w:sz w:val="150"/>
        <w:szCs w:val="150"/>
      </w:rPr>
      <w:t xml:space="preserve">ANULADO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documentProtection w:enforcement="1" w:edit="forms" w:cryptProviderType="rsaFull" w:cryptAlgorithmClass="hash" w:cryptAlgorithmType="typeAny" w:cryptAlgorithmSid="4" w:cryptSpinCount="100000" w:hash="+Cw2fSBgh1Qa4WGbxCWxmVFZdJ4=" w:salt="Z8ocNTfK4k/EQo/q2mwFFg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2023-10-30T20:58:40+00:00</dcterms:created>
  <dcterms:modified xsi:type="dcterms:W3CDTF">2023-10-30T20:58:40+00:00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