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color w:val="0A0A0A"/>
          <w:sz w:val="52"/>
        </w:rPr>
        <w:t>About FinMark.ai</w:t>
      </w:r>
    </w:p>
    <w:p>
      <w:pPr>
        <w:spacing w:after="360"/>
      </w:pPr>
      <w:r>
        <w:rPr>
          <w:rFonts w:ascii="Arial" w:hAnsi="Arial"/>
          <w:b/>
          <w:i/>
          <w:color w:val="444444"/>
          <w:sz w:val="26"/>
        </w:rPr>
        <w:t>Financial automation built for enterprise finance teams.</w:t>
      </w:r>
    </w:p>
    <w:p>
      <w:pPr>
        <w:spacing w:before="280" w:after="120"/>
      </w:pPr>
      <w:r>
        <w:rPr>
          <w:rFonts w:ascii="Arial" w:hAnsi="Arial"/>
          <w:b/>
          <w:color w:val="1A1A1A"/>
          <w:sz w:val="30"/>
        </w:rPr>
        <w:t>The problem we saw</w:t>
      </w:r>
    </w:p>
    <w:p>
      <w:pPr>
        <w:spacing w:after="160" w:line="336" w:lineRule="auto"/>
      </w:pPr>
      <w:r>
        <w:rPr>
          <w:rFonts w:ascii="Arial" w:hAnsi="Arial"/>
          <w:b w:val="0"/>
          <w:i w:val="0"/>
          <w:sz w:val="22"/>
        </w:rPr>
        <w:t>FinMark.ai started because one problem refused to go away: large enterprises running ERP had nowhere to turn for financial automation that actually understood their finance team's reality. Existing tools were built for tax regimes and workflows that did not match how local finance teams operate — with no real grasp of regional withholding tax rules, compliance requirements, or the way complex vendor invoices really move through an enterprise's approval chain. Enterprises running ERP were stuck with two options — handle it all by hand, or bend foreign tools into shapes they were never designed to take.</w:t>
      </w:r>
    </w:p>
    <w:p>
      <w:pPr>
        <w:spacing w:after="160" w:line="336" w:lineRule="auto"/>
      </w:pPr>
      <w:r>
        <w:rPr>
          <w:rFonts w:ascii="Arial" w:hAnsi="Arial"/>
          <w:b w:val="0"/>
          <w:i w:val="0"/>
          <w:sz w:val="22"/>
        </w:rPr>
        <w:t>Neither option was a product. Both were workarounds. So we built the product that was missing.</w:t>
      </w:r>
    </w:p>
    <w:p>
      <w:pPr>
        <w:spacing w:before="280" w:after="120"/>
      </w:pPr>
      <w:r>
        <w:rPr>
          <w:rFonts w:ascii="Arial" w:hAnsi="Arial"/>
          <w:b/>
          <w:color w:val="1A1A1A"/>
          <w:sz w:val="30"/>
        </w:rPr>
        <w:t>How we built it</w:t>
      </w:r>
    </w:p>
    <w:p>
      <w:pPr>
        <w:spacing w:after="160" w:line="336" w:lineRule="auto"/>
      </w:pPr>
      <w:r>
        <w:rPr>
          <w:rFonts w:ascii="Arial" w:hAnsi="Arial"/>
          <w:b w:val="0"/>
          <w:i w:val="0"/>
          <w:sz w:val="22"/>
        </w:rPr>
        <w:t>We didn't start with code. We started in the seat next to the finance controller. For months, we sat with finance teams at enterprises — watching invoices arrive in dozens of different formats, listening to how purchase order and goods-received matching breaks down for services and marketing categories, tracking how withholding tax certificates actually get generated and filed, and studying how finance managers really use their ERP day to day.</w:t>
      </w:r>
    </w:p>
    <w:p>
      <w:pPr>
        <w:spacing w:after="160" w:line="336" w:lineRule="auto"/>
      </w:pPr>
      <w:r>
        <w:rPr>
          <w:rFonts w:ascii="Arial" w:hAnsi="Arial"/>
          <w:b w:val="0"/>
          <w:i w:val="0"/>
          <w:sz w:val="22"/>
        </w:rPr>
        <w:t>What we learned shaped every design decision. Matching logic had to be category-aware. Withholding tax couldn't be an afterthought. Sanity checks had to catch the edge cases that AI alone misses. And the whole system had to end where the finance team's job does — with approved, audit-ready entries posted back into the ERP.</w:t>
      </w:r>
    </w:p>
    <w:p>
      <w:pPr>
        <w:spacing w:before="280" w:after="120"/>
      </w:pPr>
      <w:r>
        <w:rPr>
          <w:rFonts w:ascii="Arial" w:hAnsi="Arial"/>
          <w:b/>
          <w:color w:val="1A1A1A"/>
          <w:sz w:val="30"/>
        </w:rPr>
        <w:t>What FinMark.ai does today</w:t>
      </w:r>
    </w:p>
    <w:p>
      <w:pPr>
        <w:spacing w:after="160" w:line="336" w:lineRule="auto"/>
      </w:pPr>
      <w:r>
        <w:rPr>
          <w:rFonts w:ascii="Arial" w:hAnsi="Arial"/>
          <w:b w:val="0"/>
          <w:i w:val="0"/>
          <w:sz w:val="22"/>
        </w:rPr>
        <w:t>FinMark.ai runs the full invoice-to-ERP workflow end to end. AI captures invoices in any format. Matching happens against live ERP data. Withholding tax is computed automatically against current regulations. Sanity checks catch what AI alone would miss. Approved invoices post back into the ERP, audit-ready. What used to take finance teams days now takes minutes.</w:t>
      </w:r>
    </w:p>
    <w:p>
      <w:pPr>
        <w:spacing w:after="160" w:line="336" w:lineRule="auto"/>
      </w:pPr>
      <w:r>
        <w:rPr>
          <w:rFonts w:ascii="Arial" w:hAnsi="Arial"/>
          <w:b w:val="0"/>
          <w:i w:val="0"/>
          <w:sz w:val="22"/>
        </w:rPr>
        <w:t>Today we process [X,000+] vendor invoices a month across [N] enterprises in production.</w:t>
      </w:r>
    </w:p>
    <w:p>
      <w:pPr>
        <w:spacing w:after="200" w:line="324" w:lineRule="auto"/>
      </w:pPr>
      <w:r>
        <w:rPr>
          <w:rFonts w:ascii="Arial" w:hAnsi="Arial"/>
          <w:i/>
          <w:color w:val="885500"/>
          <w:sz w:val="20"/>
        </w:rPr>
        <w:t>[Placeholder: replace with real invoice volume, transaction value, or a named reference you have permission to cite. Don't leave 'many companies in production' — it reads as a trust hole to an enterprise buyer.]</w:t>
      </w:r>
    </w:p>
    <w:p>
      <w:pPr>
        <w:spacing w:before="280" w:after="120"/>
      </w:pPr>
      <w:r>
        <w:rPr>
          <w:rFonts w:ascii="Arial" w:hAnsi="Arial"/>
          <w:b/>
          <w:color w:val="1A1A1A"/>
          <w:sz w:val="30"/>
        </w:rPr>
        <w:t>What we believe</w:t>
      </w:r>
    </w:p>
    <w:p>
      <w:pPr>
        <w:spacing w:after="160" w:line="336" w:lineRule="auto"/>
      </w:pPr>
      <w:r>
        <w:rPr>
          <w:rFonts w:ascii="Arial" w:hAnsi="Arial"/>
          <w:b w:val="0"/>
          <w:i w:val="0"/>
          <w:sz w:val="22"/>
        </w:rPr>
        <w:t>FinMark.ai is the beginning of a broader financial automation platform built for enterprise. Our first product tackles the most painful workflow in enterprise finance — but it will not be the last.</w:t>
      </w:r>
    </w:p>
    <w:p>
      <w:pPr>
        <w:spacing w:after="160" w:line="336" w:lineRule="auto"/>
      </w:pPr>
      <w:r>
        <w:rPr>
          <w:rFonts w:ascii="Arial" w:hAnsi="Arial"/>
          <w:b w:val="0"/>
          <w:i w:val="0"/>
          <w:sz w:val="22"/>
        </w:rPr>
        <w:t>We have one rule about how this expansion happens: each new product will ship only after it is real, running, and proven at a paying customer. We will not launch something that has not already earned its place in a finance team's workflow. That discipline is how we earned the trust of the enterprises running FinMark.ai today, and it is how we plan to earn the next one.</w:t>
      </w:r>
    </w:p>
    <w:p>
      <w:pPr>
        <w:spacing w:before="280" w:after="120"/>
      </w:pPr>
      <w:r>
        <w:rPr>
          <w:rFonts w:ascii="Arial" w:hAnsi="Arial"/>
          <w:b/>
          <w:color w:val="1A1A1A"/>
          <w:sz w:val="30"/>
        </w:rPr>
        <w:t>Who we are</w:t>
      </w:r>
    </w:p>
    <w:p>
      <w:pPr>
        <w:spacing w:after="160" w:line="336" w:lineRule="auto"/>
      </w:pPr>
      <w:r>
        <w:rPr>
          <w:rFonts w:ascii="Arial" w:hAnsi="Arial"/>
          <w:b w:val="0"/>
          <w:i w:val="0"/>
          <w:sz w:val="22"/>
        </w:rPr>
        <w:t>FinMark.ai is built by [Founder 1 Name], [Role — e.g., CEO] and [Founder 2 Name], [Role — e.g., CTO]. [One line per founder on relevant background — especially ERP, enterprise software, or enterprise finance experience. Two sentences at most per person.]</w:t>
      </w:r>
    </w:p>
    <w:p>
      <w:pPr>
        <w:spacing w:after="200" w:line="324" w:lineRule="auto"/>
      </w:pPr>
      <w:r>
        <w:rPr>
          <w:rFonts w:ascii="Arial" w:hAnsi="Arial"/>
          <w:i/>
          <w:color w:val="885500"/>
          <w:sz w:val="20"/>
        </w:rPr>
        <w:t>[Placeholder: fill in founder names, titles, and a one-line background that tells a buyer why this team is qualified to touch their ERP.]</w:t>
      </w:r>
    </w:p>
    <w:p>
      <w:pPr>
        <w:spacing w:after="160" w:line="336" w:lineRule="auto"/>
      </w:pPr>
      <w:r>
        <w:rPr>
          <w:rFonts w:ascii="Arial" w:hAnsi="Arial"/>
          <w:b w:val="0"/>
          <w:i w:val="0"/>
          <w:sz w:val="22"/>
        </w:rPr>
        <w:t>We are a small team, working in close contact with every customer. Every roadmap decision is still made with a finance team on the other end of a call.</w:t>
      </w:r>
    </w:p>
    <w:p>
      <w:pPr>
        <w:spacing w:before="280" w:after="120"/>
      </w:pPr>
      <w:r>
        <w:rPr>
          <w:rFonts w:ascii="Arial" w:hAnsi="Arial"/>
          <w:b/>
          <w:color w:val="1A1A1A"/>
          <w:sz w:val="30"/>
        </w:rPr>
        <w:t>Let's talk</w:t>
      </w:r>
    </w:p>
    <w:p>
      <w:pPr>
        <w:spacing w:after="160" w:line="336" w:lineRule="auto"/>
      </w:pPr>
      <w:r>
        <w:rPr>
          <w:rFonts w:ascii="Arial" w:hAnsi="Arial"/>
          <w:b w:val="0"/>
          <w:i w:val="0"/>
          <w:sz w:val="22"/>
        </w:rPr>
        <w:t>If you run ERP at an enterprise and any of what you just read sounds like your finance team's life, we would like to meet them.</w:t>
      </w:r>
    </w:p>
    <w:p>
      <w:pPr>
        <w:spacing w:after="160" w:line="336" w:lineRule="auto"/>
      </w:pPr>
      <w:r>
        <w:rPr>
          <w:rFonts w:ascii="Arial" w:hAnsi="Arial"/>
          <w:b/>
          <w:i w:val="0"/>
          <w:sz w:val="22"/>
        </w:rPr>
        <w:t>Book a 30-minute walkthrough → [link]</w:t>
      </w:r>
    </w:p>
    <w:p/>
    <w:p>
      <w:r>
        <w:rPr>
          <w:color w:val="CCCCCC"/>
          <w:sz w:val="20"/>
        </w:rPr>
        <w:t>————————————————————————————————————————</w:t>
      </w:r>
    </w:p>
    <w:p>
      <w:pPr>
        <w:spacing w:before="160" w:after="120"/>
      </w:pPr>
      <w:r>
        <w:rPr>
          <w:rFonts w:ascii="Arial" w:hAnsi="Arial"/>
          <w:b/>
          <w:color w:val="885500"/>
          <w:sz w:val="22"/>
        </w:rPr>
        <w:t>Editor's notes (remove before publishing)</w:t>
      </w:r>
    </w:p>
    <w:p>
      <w:pPr>
        <w:pStyle w:val="ListBullet"/>
        <w:spacing w:after="80" w:line="312" w:lineRule="auto"/>
      </w:pPr>
      <w:r>
        <w:rPr>
          <w:rFonts w:ascii="Arial" w:hAnsi="Arial"/>
          <w:i/>
          <w:color w:val="666666"/>
          <w:sz w:val="20"/>
        </w:rPr>
        <w:t>This version is intentionally general — no specific ERP product, no country, no tax authority named, no product category label. Use this as the public-facing baseline. For targeted sales conversations, product-page content, or regional landing pages, swap in the specifics that match the buyer.</w:t>
      </w:r>
    </w:p>
    <w:p>
      <w:pPr>
        <w:pStyle w:val="ListBullet"/>
        <w:spacing w:after="80" w:line="312" w:lineRule="auto"/>
      </w:pPr>
      <w:r>
        <w:rPr>
          <w:rFonts w:ascii="Arial" w:hAnsi="Arial"/>
          <w:i/>
          <w:color w:val="666666"/>
          <w:sz w:val="20"/>
        </w:rPr>
        <w:t>Proof points: the invoice volume line is the single biggest credibility lever on the page. Fill it in before going live. If you have zero references you can name publicly, lead with a number — invoices processed, transaction value, or hours saved — rather than adjectives.</w:t>
      </w:r>
    </w:p>
    <w:p>
      <w:pPr>
        <w:pStyle w:val="ListBullet"/>
        <w:spacing w:after="80" w:line="312" w:lineRule="auto"/>
      </w:pPr>
      <w:r>
        <w:rPr>
          <w:rFonts w:ascii="Arial" w:hAnsi="Arial"/>
          <w:i/>
          <w:color w:val="666666"/>
          <w:sz w:val="20"/>
        </w:rPr>
        <w:t>Founder block: enterprise buyers want to know who is behind the software that touches their ERP. If the team has prior enterprise software, finance, or audit experience, name it. It matters.</w:t>
      </w:r>
    </w:p>
    <w:p>
      <w:pPr>
        <w:pStyle w:val="ListBullet"/>
        <w:spacing w:after="80" w:line="312" w:lineRule="auto"/>
      </w:pPr>
      <w:r>
        <w:rPr>
          <w:rFonts w:ascii="Arial" w:hAnsi="Arial"/>
          <w:i/>
          <w:color w:val="666666"/>
          <w:sz w:val="20"/>
        </w:rPr>
        <w:t>CTA: 'Book a 30-minute walkthrough' outperforms 'we should talk' because it sets a specific, low-commitment next step. Pair with a calendar booking link.</w:t>
      </w:r>
    </w:p>
    <w:p>
      <w:pPr>
        <w:pStyle w:val="ListBullet"/>
        <w:spacing w:after="80" w:line="312" w:lineRule="auto"/>
      </w:pPr>
      <w:r>
        <w:rPr>
          <w:rFonts w:ascii="Arial" w:hAnsi="Arial"/>
          <w:i/>
          <w:color w:val="666666"/>
          <w:sz w:val="20"/>
        </w:rPr>
        <w:t>Link out, don't dump: the product paragraph is intentionally short. Put the full feature breakdown on the product page, not here.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