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Duty, Policy and Statute: The Modern Law of Negligence in Australia</w:t>
      </w:r>
    </w:p>
    <w:p>
      <w:r>
        <w:t>The modern law of negligence traces its origins to Lord Atkin's neighbour principle.</w:t>
      </w:r>
      <w:r>
        <w:rPr>
          <w:rStyle w:val="FootnoteReference"/>
        </w:rPr>
        <w:footnoteReference w:id="1"/>
      </w:r>
      <w:r>
        <w:t xml:space="preserve"> In Australia, however, the High Court has repeatedly cautioned against treating reasonable foreseeability as sufficient to establish a duty of care.</w:t>
      </w:r>
      <w:r>
        <w:rPr>
          <w:rStyle w:val="FootnoteReference"/>
        </w:rPr>
        <w:footnoteReference w:id="2"/>
      </w:r>
      <w:r>
        <w:t xml:space="preserve"> The Court has instead emphasised the need for coherence with other legal obligations.</w:t>
      </w:r>
      <w:r>
        <w:rPr>
          <w:rStyle w:val="FootnoteReference"/>
        </w:rPr>
        <w:footnoteReference w:id="3"/>
      </w:r>
    </w:p>
    <w:p>
      <w:r>
        <w:t>The rejection of a single unifying test was made explicit in the context of pure economic loss.</w:t>
      </w:r>
      <w:r>
        <w:rPr>
          <w:rStyle w:val="FootnoteReference"/>
        </w:rPr>
        <w:footnoteReference w:id="4"/>
      </w:r>
      <w:r>
        <w:t xml:space="preserve"> Even so, the neighbour principle continues to be invoked,</w:t>
      </w:r>
      <w:r>
        <w:rPr>
          <w:rStyle w:val="FootnoteReference"/>
        </w:rPr>
        <w:footnoteReference w:id="5"/>
      </w:r>
      <w:r>
        <w:t xml:space="preserve"> and its influence remains visible in the statutory reforms that followed the insurance crisis of the early 2000s.</w:t>
      </w:r>
    </w:p>
    <w:p>
      <w:r>
        <w:t>Those reforms now largely govern the breach inquiry. The New South Wales provisions restate the common law calculus of negligence,</w:t>
      </w:r>
      <w:r>
        <w:rPr>
          <w:rStyle w:val="FootnoteReference"/>
        </w:rPr>
        <w:footnoteReference w:id="6"/>
      </w:r>
      <w:r>
        <w:t xml:space="preserve"> while also setting out the factors a court must consider.</w:t>
      </w:r>
      <w:r>
        <w:rPr>
          <w:rStyle w:val="FootnoteReference"/>
        </w:rPr>
        <w:footnoteReference w:id="7"/>
      </w:r>
      <w:r>
        <w:t xml:space="preserve"> Other jurisdictions adopted similar, though not identical, provisions.</w:t>
      </w:r>
      <w:r>
        <w:rPr>
          <w:rStyle w:val="FootnoteReference"/>
        </w:rPr>
        <w:footnoteReference w:id="8"/>
      </w:r>
      <w:r>
        <w:t xml:space="preserve"> The reforms were driven by the recommendations of the Ipp Panel.</w:t>
      </w:r>
      <w:r>
        <w:rPr>
          <w:rStyle w:val="FootnoteReference"/>
        </w:rPr>
        <w:footnoteReference w:id="9"/>
      </w:r>
    </w:p>
    <w:p>
      <w:r>
        <w:t>The vulnerability of the plaintiff has emerged as an important consideration.</w:t>
      </w:r>
      <w:r>
        <w:rPr>
          <w:rStyle w:val="FootnoteReference"/>
        </w:rPr>
        <w:footnoteReference w:id="10"/>
      </w:r>
      <w:r>
        <w:t xml:space="preserve"> Commentators have long observed that the law of torts resists reduction to a single principle,</w:t>
      </w:r>
      <w:r>
        <w:rPr>
          <w:rStyle w:val="FootnoteReference"/>
        </w:rPr>
        <w:footnoteReference w:id="11"/>
      </w:r>
      <w:r>
        <w:t xml:space="preserve"> and the High Court has continued to decide cases on their own facts.</w:t>
      </w:r>
      <w:r>
        <w:rPr>
          <w:rStyle w:val="FootnoteReference"/>
        </w:rPr>
        <w:footnoteReference w:id="12"/>
      </w:r>
      <w:r>
        <w:t xml:space="preserve"> Some theorists would go further and deny that legal reasoning can be separated from moral reasoning at all.</w:t>
      </w:r>
      <w:r>
        <w:rPr>
          <w:rStyle w:val="FootnoteReference"/>
        </w:rPr>
        <w:footnoteReference w:id="13"/>
      </w:r>
      <w:r>
        <w:t xml:space="preserve"> Others remain sceptical.</w:t>
      </w:r>
      <w:r>
        <w:rPr>
          <w:rStyle w:val="FootnoteReference"/>
        </w:rPr>
        <w:footnoteReference w:id="14"/>
      </w:r>
    </w:p>
    <w:p>
      <w:r>
        <w:t>Beyond private law, questions of duty increasingly intersect with privacy,</w:t>
      </w:r>
      <w:r>
        <w:rPr>
          <w:rStyle w:val="FootnoteReference"/>
        </w:rPr>
        <w:footnoteReference w:id="15"/>
      </w:r>
      <w:r>
        <w:t xml:space="preserve"> constitutional limits on legislative power,</w:t>
      </w:r>
      <w:r>
        <w:rPr>
          <w:rStyle w:val="FootnoteReference"/>
        </w:rPr>
        <w:footnoteReference w:id="16"/>
      </w:r>
      <w:r>
        <w:t xml:space="preserve"> and Australia's international obligations.</w:t>
      </w:r>
      <w:r>
        <w:rPr>
          <w:rStyle w:val="FootnoteReference"/>
        </w:rPr>
        <w:footnoteReference w:id="17"/>
      </w:r>
      <w:r>
        <w:t xml:space="preserve"> Whether judges reason morally when resolving such questions remains contested.</w:t>
      </w:r>
      <w:r>
        <w:rPr>
          <w:rStyle w:val="FootnoteReference"/>
        </w:rPr>
        <w:footnoteReference w:id="18"/>
      </w:r>
    </w:p>
    <w:p>
      <w:r>
        <w:t>Public commentary on the Court has intensified since the appointment of its first female Chief Justice,</w:t>
      </w:r>
      <w:r>
        <w:rPr>
          <w:rStyle w:val="FootnoteReference"/>
        </w:rPr>
        <w:footnoteReference w:id="19"/>
      </w:r>
      <w:r>
        <w:t xml:space="preserve"> and the Court now publishes detailed biographical material about its members.</w:t>
      </w:r>
      <w:r>
        <w:rPr>
          <w:rStyle w:val="FootnoteReference"/>
        </w:rPr>
        <w:footnoteReference w:id="20"/>
      </w:r>
      <w:r>
        <w:t xml:space="preserve"> The central cases nonetheless continue to be read together.</w:t>
      </w:r>
      <w:r>
        <w:rPr>
          <w:rStyle w:val="FootnoteReference"/>
        </w:rPr>
        <w:footnoteReference w:id="21"/>
      </w:r>
      <w:r>
        <w:t xml:space="preserve"> The statutory test, too, remains the starting point.</w:t>
      </w:r>
      <w:r>
        <w:rPr>
          <w:rStyle w:val="FootnoteReference"/>
        </w:rPr>
        <w:footnoteReference w:id="22"/>
      </w:r>
    </w:p>
    <w:p>
      <w:r>
        <w:t>Ultimately, the enduring lesson is the one drawn in Sullivan: duties must cohere with the wider legal system.</w:t>
      </w:r>
      <w:r>
        <w:rPr>
          <w:rStyle w:val="FootnoteReference"/>
        </w:rPr>
        <w:footnoteReference w:id="23"/>
      </w:r>
      <w:r>
        <w:t xml:space="preserve"> Leading texts continue to organise the law around that insight.</w:t>
      </w:r>
      <w:r>
        <w:rPr>
          <w:rStyle w:val="FootnoteReference"/>
        </w:rPr>
        <w:footnoteReference w:id="24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Donoghue v. Stevenson [1932] A.C. 562 at 580 per Lord Atkin.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Sullivan v Moody</w:t>
      </w:r>
      <w:r>
        <w:t xml:space="preserve"> (2001) 207 C.L.R. 562 at [42].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Ibid. at [50]-[53].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See: Perre v. Apand Pty. Ltd. (1999) 198 C.L.R. 180 (hereafter "Perre").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Donoghue v Stevenson</w:t>
      </w:r>
      <w:r>
        <w:t xml:space="preserve">, supra n 1, p. 599.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Civil Liability Act 2002 (N.S.W.), section 5B(1).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Ibid, s. 5B(2).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also </w:t>
      </w:r>
      <w:r>
        <w:rPr>
          <w:i/>
          <w:iCs/>
        </w:rPr>
        <w:t xml:space="preserve">Wrongs Act 1958</w:t>
      </w:r>
      <w:r>
        <w:t xml:space="preserve"> (Vic.) s 48; cf. Civil Liability Act 2003 (Qld) s 9.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Review of the Law of Negligence: Final Report (September 2002) at 25-27.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Perre, above n 4, at 225 per McHugh J.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Harold Luntz, "A Personal Journey through the Law of Torts" (2005) 27(3) Sydney Law Review 393, at 400.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Kuhl v Zurich Financial Services Australia Ltd [2011] HCA 11 at para 20.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a strong statement of this view, see Ronald Dworkin, </w:t>
      </w:r>
      <w:r>
        <w:rPr>
          <w:i/>
          <w:iCs/>
        </w:rPr>
        <w:t xml:space="preserve">Justice for Hedgehogs</w:t>
      </w:r>
      <w:r>
        <w:t xml:space="preserve"> (Belknap Press 2011) p 10.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Luntz, op cit, 402.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Australian Law Reform Commission, For Your Information: Australian Privacy Law and Practice, Report No. 108 (May 2008) vol 1 at 339.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Commonwealth Constitution s.51(xxix).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International Covenant on Civil and Political Rights, opened for signature 16 December 1966, 999 U.N.T.S. 171 (entered into force 23 March 1976), article 14.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Jeremy Waldron, 'Do Judges Reason Morally?', in G Huscroft (ed.), </w:t>
      </w:r>
      <w:r>
        <w:rPr>
          <w:i/>
          <w:iCs/>
        </w:rPr>
        <w:t xml:space="preserve">Expounding the Constitution: Essays in Constitutional Theory</w:t>
      </w:r>
      <w:r>
        <w:t xml:space="preserve">, Cambridge University Press, 2008, p. 38.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Stephanie Peatling, "Female Chief Justice Rewrites the Script", The Age (Melbourne), 31 January 2017, p. 6.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High Court of Australia, "James Edelman", http://www.hcourt.gov.au/justices/current/justice-james-edelman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Sullivan v Moody, above n 2, [62]; Perre, above n 4, 253 (Gummow J).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Civil Liability Act 2002 (NSW) s 5B.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majority emphasised coherence with other legal duties: Sullivan, above n 2, at [55]-[60].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Fleming's The Law of Torts, ed C Sappideen &amp; P Vines, 10th edn, Lawbook Co., 2011, pp. 150-155.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</w:style>
  <w:style w:type="character" w:styleId="FootnoteReference">
    <w:name w:val="footnote reference"/>
    <w:basedOn w:val="DefaultParagraphFont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