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7E09" w14:textId="77777777" w:rsidR="00FD694E" w:rsidRP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0"/>
          <w:szCs w:val="20"/>
          <w:lang w:val="en-US"/>
        </w:rPr>
      </w:pPr>
      <w:r w:rsidRPr="00FD694E">
        <w:rPr>
          <w:rFonts w:ascii="Times" w:hAnsi="Times" w:cs="Calibri"/>
          <w:b/>
          <w:bCs/>
          <w:i/>
          <w:iCs/>
          <w:sz w:val="20"/>
          <w:szCs w:val="20"/>
          <w:lang w:val="en-US"/>
        </w:rPr>
        <w:t xml:space="preserve">Political inequality </w:t>
      </w:r>
    </w:p>
    <w:p w14:paraId="1D6C0600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A long tradition of Marxian and other left-wing critiques of pluralism, for</w:t>
      </w:r>
    </w:p>
    <w:p w14:paraId="542EE299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instance, has explored the extent to which wealth confers political privilege.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16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Welfare</w:t>
      </w:r>
      <w:proofErr w:type="gramEnd"/>
    </w:p>
    <w:p w14:paraId="25B7F50E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state scholars have studied how economic privilege can increase political influence,</w:t>
      </w:r>
    </w:p>
    <w:p w14:paraId="1D40DC06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a view that sits comfortably with the power-resources tradition of welfare state</w:t>
      </w:r>
    </w:p>
    <w:p w14:paraId="5C45A606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research.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17 </w:t>
      </w:r>
      <w:r>
        <w:rPr>
          <w:rFonts w:ascii="Times" w:hAnsi="Times" w:cs="Calibri"/>
          <w:i/>
          <w:iCs/>
          <w:sz w:val="15"/>
          <w:szCs w:val="15"/>
          <w:lang w:val="en-GB"/>
        </w:rPr>
        <w:t>Most important, perhaps, has been work on disfunctions of democracy in</w:t>
      </w:r>
    </w:p>
    <w:p w14:paraId="76FF17D5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the United States. Pioneering studies by Martin </w:t>
      </w:r>
      <w:proofErr w:type="spellStart"/>
      <w:r>
        <w:rPr>
          <w:rFonts w:ascii="Times" w:hAnsi="Times" w:cs="Calibri"/>
          <w:i/>
          <w:iCs/>
          <w:sz w:val="15"/>
          <w:szCs w:val="15"/>
          <w:lang w:val="en-GB"/>
        </w:rPr>
        <w:t>Gilens</w:t>
      </w:r>
      <w:proofErr w:type="spellEnd"/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, Larry Bartels, and others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find</w:t>
      </w:r>
      <w:proofErr w:type="gramEnd"/>
    </w:p>
    <w:p w14:paraId="3342368C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evidence that the attitudes of the wealthiest citizens are more reflected in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subsequent</w:t>
      </w:r>
      <w:proofErr w:type="gramEnd"/>
    </w:p>
    <w:p w14:paraId="0E336F8E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policy shifts than the attitudes of median or poorer citizens.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18 </w:t>
      </w:r>
      <w:r>
        <w:rPr>
          <w:rFonts w:ascii="Times" w:hAnsi="Times" w:cs="Calibri"/>
          <w:i/>
          <w:iCs/>
          <w:sz w:val="15"/>
          <w:szCs w:val="15"/>
          <w:lang w:val="en-GB"/>
        </w:rPr>
        <w:t>Here we see that the rich</w:t>
      </w:r>
    </w:p>
    <w:p w14:paraId="664B5421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(e.g., the ninetieth percentile of the income distribution) get their way more than the</w:t>
      </w:r>
    </w:p>
    <w:p w14:paraId="72E76302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poor (e.g., the tenth percentile) or middle-class citizens (e.g., the fiftieth percentile) in</w:t>
      </w:r>
    </w:p>
    <w:p w14:paraId="31CE2895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many policy areas, including social policy. The sources of such inequality can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be</w:t>
      </w:r>
      <w:proofErr w:type="gramEnd"/>
    </w:p>
    <w:p w14:paraId="4CF7A27C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structural or instrumental.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19 </w:t>
      </w:r>
      <w:r>
        <w:rPr>
          <w:rFonts w:ascii="Times" w:hAnsi="Times" w:cs="Calibri"/>
          <w:i/>
          <w:iCs/>
          <w:sz w:val="15"/>
          <w:szCs w:val="15"/>
          <w:lang w:val="en-GB"/>
        </w:rPr>
        <w:t>They include money in electoral politics;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20 </w:t>
      </w: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the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breakdown</w:t>
      </w:r>
      <w:proofErr w:type="gramEnd"/>
    </w:p>
    <w:p w14:paraId="53215E64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of organized public interests, particularly unions;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21 </w:t>
      </w: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and underrepresentation of </w:t>
      </w:r>
      <w:proofErr w:type="spellStart"/>
      <w:r>
        <w:rPr>
          <w:rFonts w:ascii="Times" w:hAnsi="Times" w:cs="Calibri"/>
          <w:i/>
          <w:iCs/>
          <w:sz w:val="15"/>
          <w:szCs w:val="15"/>
          <w:lang w:val="en-GB"/>
        </w:rPr>
        <w:t>lowerclass</w:t>
      </w:r>
      <w:proofErr w:type="spellEnd"/>
    </w:p>
    <w:p w14:paraId="422EF905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interests in political office and elite positions.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22 </w:t>
      </w: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Other scholars have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found</w:t>
      </w:r>
      <w:proofErr w:type="gramEnd"/>
    </w:p>
    <w:p w14:paraId="1F1414BA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income-based inequalities in representation in cross-national contexts, although the</w:t>
      </w:r>
    </w:p>
    <w:p w14:paraId="606BEA3A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>evidence is still scarce.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 xml:space="preserve">23 </w:t>
      </w: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Recent work has explored how attitudes across the </w:t>
      </w: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income</w:t>
      </w:r>
      <w:proofErr w:type="gramEnd"/>
    </w:p>
    <w:p w14:paraId="270597ED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15"/>
          <w:szCs w:val="15"/>
          <w:lang w:val="en-GB"/>
        </w:rPr>
      </w:pPr>
      <w:proofErr w:type="gramStart"/>
      <w:r>
        <w:rPr>
          <w:rFonts w:ascii="Times" w:hAnsi="Times" w:cs="Calibri"/>
          <w:i/>
          <w:iCs/>
          <w:sz w:val="15"/>
          <w:szCs w:val="15"/>
          <w:lang w:val="en-GB"/>
        </w:rPr>
        <w:t>spectrum</w:t>
      </w:r>
      <w:proofErr w:type="gramEnd"/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 relate to subsequent changes in welfare state spending, revealing in a </w:t>
      </w:r>
      <w:proofErr w:type="spellStart"/>
      <w:r>
        <w:rPr>
          <w:rFonts w:ascii="Times" w:hAnsi="Times" w:cs="Calibri"/>
          <w:i/>
          <w:iCs/>
          <w:sz w:val="15"/>
          <w:szCs w:val="15"/>
          <w:lang w:val="en-GB"/>
        </w:rPr>
        <w:t>crosssection</w:t>
      </w:r>
      <w:proofErr w:type="spellEnd"/>
    </w:p>
    <w:p w14:paraId="1CA2254F" w14:textId="77777777" w:rsidR="00FD694E" w:rsidRDefault="00FD694E" w:rsidP="00FD694E">
      <w:pPr>
        <w:pStyle w:val="NormalWeb"/>
        <w:spacing w:before="0" w:beforeAutospacing="0" w:after="0" w:afterAutospacing="0"/>
        <w:rPr>
          <w:rFonts w:ascii="Times" w:hAnsi="Times" w:cs="Calibri"/>
          <w:sz w:val="22"/>
          <w:szCs w:val="22"/>
          <w:lang w:val="en-GB"/>
        </w:rPr>
      </w:pPr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of countries modest skews in </w:t>
      </w:r>
      <w:proofErr w:type="spellStart"/>
      <w:r>
        <w:rPr>
          <w:rFonts w:ascii="Times" w:hAnsi="Times" w:cs="Calibri"/>
          <w:i/>
          <w:iCs/>
          <w:sz w:val="15"/>
          <w:szCs w:val="15"/>
          <w:lang w:val="en-GB"/>
        </w:rPr>
        <w:t>favor</w:t>
      </w:r>
      <w:proofErr w:type="spellEnd"/>
      <w:r>
        <w:rPr>
          <w:rFonts w:ascii="Times" w:hAnsi="Times" w:cs="Calibri"/>
          <w:i/>
          <w:iCs/>
          <w:sz w:val="15"/>
          <w:szCs w:val="15"/>
          <w:lang w:val="en-GB"/>
        </w:rPr>
        <w:t xml:space="preserve"> of the wealthiest citizens.</w:t>
      </w:r>
      <w:r w:rsidRPr="00FD694E">
        <w:rPr>
          <w:rFonts w:ascii="Times" w:hAnsi="Times" w:cs="Calibri"/>
          <w:i/>
          <w:iCs/>
          <w:sz w:val="10"/>
          <w:szCs w:val="10"/>
          <w:lang w:val="en-US"/>
        </w:rPr>
        <w:t>24</w:t>
      </w:r>
    </w:p>
    <w:p w14:paraId="35AEE305" w14:textId="6419BA8C" w:rsidR="004844E6" w:rsidRDefault="00FD694E">
      <w:pPr>
        <w:rPr>
          <w:lang w:val="en-GB"/>
        </w:rPr>
      </w:pPr>
      <w:r>
        <w:rPr>
          <w:lang w:val="en-GB"/>
        </w:rPr>
        <w:br/>
      </w:r>
      <w:proofErr w:type="spellStart"/>
      <w:r>
        <w:rPr>
          <w:lang w:val="en-GB"/>
        </w:rPr>
        <w:t>Schakel</w:t>
      </w:r>
      <w:proofErr w:type="spellEnd"/>
      <w:r>
        <w:rPr>
          <w:lang w:val="en-GB"/>
        </w:rPr>
        <w:t xml:space="preserve"> Real but Welfare Reform </w:t>
      </w:r>
      <w:r w:rsidR="004844E6">
        <w:rPr>
          <w:lang w:val="en-GB"/>
        </w:rPr>
        <w:br w:type="page"/>
      </w:r>
    </w:p>
    <w:p w14:paraId="128BE789" w14:textId="3506E205" w:rsidR="004844E6" w:rsidRPr="004844E6" w:rsidRDefault="004844E6" w:rsidP="004844E6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GB"/>
        </w:rPr>
      </w:pPr>
      <w:r>
        <w:rPr>
          <w:rFonts w:ascii="Calibri Light" w:hAnsi="Calibri Light" w:cs="Calibri Light"/>
          <w:i/>
          <w:iCs/>
          <w:sz w:val="40"/>
          <w:szCs w:val="40"/>
          <w:lang w:val="en-GB"/>
        </w:rPr>
        <w:lastRenderedPageBreak/>
        <w:t>Understanding unequal representation</w:t>
      </w:r>
      <w:r>
        <w:rPr>
          <w:rFonts w:ascii="Calibri Light" w:hAnsi="Calibri Light" w:cs="Calibri Light"/>
          <w:i/>
          <w:iCs/>
          <w:sz w:val="40"/>
          <w:szCs w:val="40"/>
          <w:lang w:val="en-GB"/>
        </w:rPr>
        <w:t xml:space="preserve"> </w:t>
      </w:r>
      <w:proofErr w:type="spellStart"/>
      <w:r>
        <w:rPr>
          <w:rFonts w:ascii="Calibri Light" w:hAnsi="Calibri Light" w:cs="Calibri Light"/>
          <w:i/>
          <w:iCs/>
          <w:sz w:val="40"/>
          <w:szCs w:val="40"/>
          <w:lang w:val="en-GB"/>
        </w:rPr>
        <w:t>Schakel</w:t>
      </w:r>
      <w:proofErr w:type="spellEnd"/>
      <w:r>
        <w:rPr>
          <w:rFonts w:ascii="Calibri Light" w:hAnsi="Calibri Light" w:cs="Calibri Light"/>
          <w:i/>
          <w:iCs/>
          <w:sz w:val="40"/>
          <w:szCs w:val="40"/>
          <w:lang w:val="en-GB"/>
        </w:rPr>
        <w:t xml:space="preserve"> </w:t>
      </w:r>
    </w:p>
    <w:p w14:paraId="187C674E" w14:textId="77777777" w:rsidR="00FD694E" w:rsidRDefault="00FD694E">
      <w:pPr>
        <w:rPr>
          <w:lang w:val="en-GB"/>
        </w:rPr>
      </w:pPr>
    </w:p>
    <w:p w14:paraId="7F491283" w14:textId="01FA4B29" w:rsidR="00FD694E" w:rsidRPr="00FD694E" w:rsidRDefault="00FD694E">
      <w:pPr>
        <w:rPr>
          <w:lang w:val="en-GB"/>
        </w:rPr>
      </w:pPr>
      <w:r>
        <w:rPr>
          <w:lang w:val="en-GB"/>
        </w:rPr>
        <w:t xml:space="preserve">Look for </w:t>
      </w:r>
      <w:proofErr w:type="gramStart"/>
      <w:r>
        <w:rPr>
          <w:lang w:val="en-GB"/>
        </w:rPr>
        <w:t>other</w:t>
      </w:r>
      <w:proofErr w:type="gramEnd"/>
      <w:r>
        <w:rPr>
          <w:lang w:val="en-GB"/>
        </w:rPr>
        <w:t xml:space="preserve"> research to make a </w:t>
      </w:r>
    </w:p>
    <w:sectPr w:rsidR="00FD694E" w:rsidRPr="00FD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5F"/>
    <w:rsid w:val="004842BA"/>
    <w:rsid w:val="004844E6"/>
    <w:rsid w:val="009860ED"/>
    <w:rsid w:val="00A31BC8"/>
    <w:rsid w:val="00A7330D"/>
    <w:rsid w:val="00BF2B5F"/>
    <w:rsid w:val="00FD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0E277F"/>
  <w15:chartTrackingRefBased/>
  <w15:docId w15:val="{10F3C8C1-7CCE-794D-9CBA-948555C0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694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4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Krüger</dc:creator>
  <cp:keywords/>
  <dc:description/>
  <cp:lastModifiedBy>Finn Krüger</cp:lastModifiedBy>
  <cp:revision>3</cp:revision>
  <dcterms:created xsi:type="dcterms:W3CDTF">2023-05-04T09:24:00Z</dcterms:created>
  <dcterms:modified xsi:type="dcterms:W3CDTF">2023-05-04T09:25:00Z</dcterms:modified>
</cp:coreProperties>
</file>