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3EEF833"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proofErr w:type="gramStart"/>
      <w:r w:rsidR="008E004F">
        <w:rPr>
          <w:rFonts w:ascii="Times New Roman" w:hAnsi="Times New Roman" w:cs="Times New Roman"/>
          <w:lang w:val="en-GB"/>
        </w:rPr>
        <w:t>that</w:t>
      </w:r>
      <w:proofErr w:type="gramEnd"/>
    </w:p>
    <w:p w14:paraId="7F45754D" w14:textId="325FB4FE"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characteristics, the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0FC386EE"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w:t>
      </w:r>
      <w:proofErr w:type="spellStart"/>
      <w:r w:rsidR="007F708A">
        <w:rPr>
          <w:rFonts w:ascii="Times New Roman" w:hAnsi="Times New Roman" w:cs="Times New Roman"/>
          <w:lang w:val="en-GB"/>
        </w:rPr>
        <w:t>the</w:t>
      </w:r>
      <w:proofErr w:type="spellEnd"/>
      <w:r w:rsidR="007F708A">
        <w:rPr>
          <w:rFonts w:ascii="Times New Roman" w:hAnsi="Times New Roman" w:cs="Times New Roman"/>
          <w:lang w:val="en-GB"/>
        </w:rPr>
        <w:t xml:space="preserv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6FF85F75" w14:textId="0445F895" w:rsidR="00C37921" w:rsidRDefault="0045108E" w:rsidP="00561767">
      <w:pPr>
        <w:rPr>
          <w:rFonts w:ascii="Times New Roman" w:hAnsi="Times New Roman" w:cs="Times New Roman"/>
          <w:lang w:val="en-GB"/>
        </w:rPr>
      </w:pPr>
      <w:r>
        <w:rPr>
          <w:rFonts w:ascii="Times New Roman" w:hAnsi="Times New Roman" w:cs="Times New Roman"/>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5459E0" w:rsidRPr="005459E0">
        <w:rPr>
          <w:rFonts w:ascii="Times New Roman" w:hAnsi="Times New Roman" w:cs="Times New Roman"/>
          <w:lang w:val="en-GB"/>
        </w:rPr>
        <w:t>(</w:t>
      </w:r>
      <w:proofErr w:type="spellStart"/>
      <w:r w:rsidR="005459E0" w:rsidRPr="005459E0">
        <w:rPr>
          <w:rFonts w:ascii="Times New Roman" w:hAnsi="Times New Roman" w:cs="Times New Roman"/>
          <w:lang w:val="en-GB"/>
        </w:rPr>
        <w:t>Elkjær</w:t>
      </w:r>
      <w:proofErr w:type="spellEnd"/>
      <w:r w:rsidR="005459E0" w:rsidRPr="005459E0">
        <w:rPr>
          <w:rFonts w:ascii="Times New Roman" w:hAnsi="Times New Roman" w:cs="Times New Roman"/>
          <w:lang w:val="en-GB"/>
        </w:rPr>
        <w:t xml:space="preserve"> &amp; Iversen, </w:t>
      </w:r>
      <w:r w:rsidR="005459E0">
        <w:rPr>
          <w:rFonts w:ascii="Times New Roman" w:hAnsi="Times New Roman" w:cs="Times New Roman"/>
          <w:lang w:val="en-GB"/>
        </w:rPr>
        <w:t xml:space="preserve">2020; </w:t>
      </w:r>
      <w:proofErr w:type="spellStart"/>
      <w:r w:rsidR="005459E0" w:rsidRPr="005459E0">
        <w:rPr>
          <w:rFonts w:ascii="Times New Roman" w:hAnsi="Times New Roman" w:cs="Times New Roman"/>
          <w:lang w:val="en-GB"/>
        </w:rPr>
        <w:t>Elkjær</w:t>
      </w:r>
      <w:proofErr w:type="spellEnd"/>
      <w:r w:rsidR="005459E0" w:rsidRPr="005459E0">
        <w:rPr>
          <w:rFonts w:ascii="Times New Roman" w:hAnsi="Times New Roman" w:cs="Times New Roman"/>
          <w:lang w:val="en-GB"/>
        </w:rPr>
        <w:t>, 2020</w:t>
      </w:r>
      <w:r w:rsidR="005459E0" w:rsidRPr="005459E0">
        <w:rPr>
          <w:rFonts w:ascii="Times New Roman" w:hAnsi="Times New Roman" w:cs="Times New Roman"/>
          <w:lang w:val="en-GB"/>
        </w:rPr>
        <w:t>)</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420D4659"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proofErr w:type="gramStart"/>
      <w:r w:rsidR="00487789" w:rsidRPr="0065508F">
        <w:rPr>
          <w:rFonts w:ascii="Times New Roman" w:hAnsi="Times New Roman" w:cs="Times New Roman"/>
          <w:lang w:val="en-GB"/>
        </w:rPr>
        <w:t>Proponents</w:t>
      </w:r>
      <w:proofErr w:type="gramEnd"/>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 of a causal mechanism higher income of citizens with more power as many scholars do claim.</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shown how political outcomes are also much more aligned to the preferences of the highly educated </w:t>
      </w:r>
      <w:r w:rsidR="00487789">
        <w:rPr>
          <w:lang w:val="en-US"/>
        </w:rPr>
        <w:fldChar w:fldCharType="begin"/>
      </w:r>
      <w:r w:rsidR="00487789">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further evidence </w:t>
      </w:r>
      <w:r w:rsidR="00487789">
        <w:rPr>
          <w:lang w:val="en-GB"/>
        </w:rPr>
        <w:t>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w:t>
      </w:r>
      <w:r w:rsidR="003D0669">
        <w:rPr>
          <w:lang w:val="en-GB"/>
        </w:rPr>
        <w:lastRenderedPageBreak/>
        <w:t>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487789">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37C0173A" w14:textId="0E49E3A4" w:rsidR="00A214CA" w:rsidRDefault="00A214CA" w:rsidP="00A214CA">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r w:rsidR="00CE738F">
        <w:rPr>
          <w:rFonts w:ascii="Times New Roman" w:hAnsi="Times New Roman" w:cs="Times New Roman"/>
          <w:lang w:val="en-GB"/>
        </w:rPr>
        <w:t xml:space="preserve">Lax et al., 2019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and Burgoon, 2022). </w:t>
      </w:r>
    </w:p>
    <w:p w14:paraId="034F8903" w14:textId="56DAB7E4" w:rsidR="001D6D52" w:rsidRDefault="00997530" w:rsidP="00A214CA">
      <w:pPr>
        <w:rPr>
          <w:rFonts w:ascii="Times New Roman" w:hAnsi="Times New Roman" w:cs="Times New Roman"/>
          <w:lang w:val="en-GB"/>
        </w:rPr>
      </w:pPr>
      <w:r>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crucial factor that conditions </w:t>
      </w:r>
      <w:r w:rsidR="001D6D52">
        <w:rPr>
          <w:rFonts w:ascii="Times New Roman" w:hAnsi="Times New Roman" w:cs="Times New Roman"/>
          <w:lang w:val="en-GB"/>
        </w:rPr>
        <w:t>which specific policies are being implemented</w:t>
      </w:r>
      <w:r>
        <w:rPr>
          <w:rFonts w:ascii="Times New Roman" w:hAnsi="Times New Roman" w:cs="Times New Roman"/>
          <w:lang w:val="en-GB"/>
        </w:rPr>
        <w:t>. Specifically,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1D6D52">
        <w:rPr>
          <w:rFonts w:ascii="Times New Roman" w:hAnsi="Times New Roman" w:cs="Times New Roman"/>
          <w:lang w:val="en-GB"/>
        </w:rPr>
        <w:t>can be</w:t>
      </w:r>
      <w:r w:rsidR="001D6D52" w:rsidRPr="001D6D52">
        <w:rPr>
          <w:rFonts w:ascii="Times New Roman" w:hAnsi="Times New Roman" w:cs="Times New Roman"/>
          <w:lang w:val="en-GB"/>
        </w:rPr>
        <w:t xml:space="preserve"> defined as risk-exposed wage-earners with relatively low incomes</w:t>
      </w:r>
      <w:r w:rsidR="001D6D52">
        <w:rPr>
          <w:rFonts w:ascii="Times New Roman" w:hAnsi="Times New Roman" w:cs="Times New Roman"/>
          <w:lang w:val="en-GB"/>
        </w:rPr>
        <w:t xml:space="preserve"> (Garret, 1998). Questioning the influence of income on political power,</w:t>
      </w:r>
    </w:p>
    <w:p w14:paraId="04359B58" w14:textId="61F260D9" w:rsidR="00CE738F" w:rsidRDefault="009A0FEE" w:rsidP="00A214CA">
      <w:pPr>
        <w:rPr>
          <w:rFonts w:ascii="Times New Roman" w:hAnsi="Times New Roman" w:cs="Times New Roman"/>
          <w:lang w:val="en-GB"/>
        </w:rPr>
      </w:pPr>
      <w:r>
        <w:rPr>
          <w:rFonts w:ascii="Times New Roman" w:hAnsi="Times New Roman" w:cs="Times New Roman"/>
          <w:lang w:val="en-GB"/>
        </w:rPr>
        <w:t xml:space="preserve">Lax et al. (2019) </w:t>
      </w:r>
      <w:r w:rsidRPr="009A0FEE">
        <w:rPr>
          <w:rFonts w:ascii="Times New Roman" w:hAnsi="Times New Roman" w:cs="Times New Roman"/>
          <w:lang w:val="en-GB"/>
        </w:rPr>
        <w:t xml:space="preserve">discover that wealthy influence is overestimated and dependent on partisanship—when senators must choose sides, party trumps the </w:t>
      </w:r>
      <w:r w:rsidR="000C35D8" w:rsidRPr="009A0FEE">
        <w:rPr>
          <w:rFonts w:ascii="Times New Roman" w:hAnsi="Times New Roman" w:cs="Times New Roman"/>
          <w:lang w:val="en-GB"/>
        </w:rPr>
        <w:t>wallet</w:t>
      </w:r>
      <w:r w:rsidRPr="009A0FEE">
        <w:rPr>
          <w:rFonts w:ascii="Times New Roman" w:hAnsi="Times New Roman" w:cs="Times New Roman"/>
          <w:lang w:val="en-GB"/>
        </w:rPr>
        <w:t>. Democrats are more likely to give the impoverished what they want. Republicans are more likely to give the wealthy what they want, but only if Republican people support the wealthy. As a result, partisanship generates, modifies, and constrains rich influence</w:t>
      </w:r>
      <w:r>
        <w:rPr>
          <w:rFonts w:ascii="Times New Roman" w:hAnsi="Times New Roman" w:cs="Times New Roman"/>
          <w:lang w:val="en-GB"/>
        </w:rPr>
        <w:t xml:space="preserve"> (Lax et al., 2019). </w:t>
      </w:r>
    </w:p>
    <w:p w14:paraId="2D8FE7CA" w14:textId="77777777" w:rsidR="001D6D52" w:rsidRDefault="001D6D52" w:rsidP="00A214CA">
      <w:pPr>
        <w:rPr>
          <w:rFonts w:ascii="Times New Roman" w:hAnsi="Times New Roman" w:cs="Times New Roman"/>
          <w:lang w:val="en-GB"/>
        </w:rPr>
      </w:pPr>
    </w:p>
    <w:p w14:paraId="1F1D13A6" w14:textId="77777777" w:rsidR="009A0FEE" w:rsidRDefault="009A0FEE" w:rsidP="00A214CA">
      <w:pPr>
        <w:rPr>
          <w:rFonts w:ascii="Times New Roman" w:hAnsi="Times New Roman" w:cs="Times New Roman"/>
          <w:lang w:val="en-GB"/>
        </w:rPr>
      </w:pPr>
    </w:p>
    <w:p w14:paraId="20161E75" w14:textId="77777777" w:rsidR="009A0FEE" w:rsidRDefault="009A0FEE" w:rsidP="00A214CA">
      <w:pPr>
        <w:rPr>
          <w:rFonts w:ascii="Times New Roman" w:hAnsi="Times New Roman" w:cs="Times New Roman"/>
          <w:lang w:val="en-GB"/>
        </w:rPr>
      </w:pPr>
    </w:p>
    <w:p w14:paraId="632C7A3F" w14:textId="77777777" w:rsidR="00A214CA" w:rsidRDefault="00A214CA" w:rsidP="00A214CA">
      <w:pPr>
        <w:rPr>
          <w:rFonts w:ascii="Times New Roman" w:hAnsi="Times New Roman" w:cs="Times New Roman"/>
          <w:lang w:val="en-GB"/>
        </w:rPr>
      </w:pPr>
    </w:p>
    <w:p w14:paraId="2D54B34A" w14:textId="5F47DE6A" w:rsidR="00A214CA" w:rsidRDefault="00A214CA" w:rsidP="00A214CA">
      <w:pPr>
        <w:rPr>
          <w:lang w:val="en-GB"/>
        </w:rPr>
      </w:pPr>
      <w:r>
        <w:rPr>
          <w:rFonts w:ascii="Times New Roman" w:hAnsi="Times New Roman" w:cs="Times New Roman"/>
          <w:lang w:val="en-GB"/>
        </w:rPr>
        <w:t xml:space="preserve"> explaining why policy outcomes</w:t>
      </w:r>
    </w:p>
    <w:p w14:paraId="75E4E182" w14:textId="77777777" w:rsidR="00B749F3" w:rsidRDefault="00B749F3" w:rsidP="003D0669">
      <w:pPr>
        <w:pStyle w:val="NormalWeb"/>
        <w:rPr>
          <w:lang w:val="en-GB"/>
        </w:rPr>
      </w:pPr>
    </w:p>
    <w:p w14:paraId="2F688374" w14:textId="77777777" w:rsidR="00B749F3" w:rsidRDefault="00B749F3" w:rsidP="003D0669">
      <w:pPr>
        <w:pStyle w:val="NormalWeb"/>
        <w:rPr>
          <w:lang w:val="en-GB"/>
        </w:rPr>
      </w:pPr>
    </w:p>
    <w:p w14:paraId="003BE46A" w14:textId="77777777" w:rsidR="00B749F3" w:rsidRDefault="00B749F3" w:rsidP="003D0669">
      <w:pPr>
        <w:pStyle w:val="NormalWeb"/>
        <w:rPr>
          <w:lang w:val="en-GB"/>
        </w:rPr>
      </w:pPr>
    </w:p>
    <w:p w14:paraId="78D3904D" w14:textId="6AF626D0" w:rsidR="006C0FFB" w:rsidRDefault="006C0FFB" w:rsidP="003D0669">
      <w:pPr>
        <w:pStyle w:val="NormalWeb"/>
        <w:rPr>
          <w:lang w:val="en-GB"/>
        </w:rPr>
      </w:pPr>
      <w:r>
        <w:rPr>
          <w:lang w:val="en-GB"/>
        </w:rPr>
        <w:t xml:space="preserve">One significant </w:t>
      </w:r>
    </w:p>
    <w:p w14:paraId="2C0CEB71" w14:textId="6A018B2D" w:rsidR="006C0FFB" w:rsidRDefault="006C0FFB" w:rsidP="003D0669">
      <w:pPr>
        <w:pStyle w:val="NormalWeb"/>
        <w:rPr>
          <w:lang w:val="en-GB"/>
        </w:rPr>
      </w:pPr>
      <w:r>
        <w:rPr>
          <w:lang w:val="en-GB"/>
        </w:rPr>
        <w:t xml:space="preserve">The role of parties, given that </w:t>
      </w:r>
    </w:p>
    <w:p w14:paraId="6E18B84A" w14:textId="77777777" w:rsidR="006C0FFB" w:rsidRDefault="006C0FFB" w:rsidP="003D0669">
      <w:pPr>
        <w:pStyle w:val="NormalWeb"/>
        <w:rPr>
          <w:lang w:val="en-GB"/>
        </w:rPr>
      </w:pPr>
    </w:p>
    <w:p w14:paraId="7A9E48CF" w14:textId="21E692FF" w:rsidR="006C0FFB" w:rsidRDefault="006C0FFB" w:rsidP="003D0669">
      <w:pPr>
        <w:pStyle w:val="NormalWeb"/>
        <w:rPr>
          <w:lang w:val="en-GB"/>
        </w:rPr>
      </w:pPr>
      <w:r>
        <w:rPr>
          <w:lang w:val="en-GB"/>
        </w:rPr>
        <w:t xml:space="preserve">Other studies that point towards </w:t>
      </w:r>
    </w:p>
    <w:p w14:paraId="1000A102" w14:textId="77777777" w:rsidR="00B749F3" w:rsidRDefault="00B749F3" w:rsidP="003D0669">
      <w:pPr>
        <w:pStyle w:val="NormalWeb"/>
        <w:rPr>
          <w:lang w:val="en-GB"/>
        </w:rPr>
      </w:pPr>
    </w:p>
    <w:p w14:paraId="61662E7F" w14:textId="77777777" w:rsidR="00B749F3" w:rsidRDefault="00B749F3" w:rsidP="00B749F3">
      <w:pPr>
        <w:autoSpaceDE w:val="0"/>
        <w:autoSpaceDN w:val="0"/>
        <w:adjustRightInd w:val="0"/>
        <w:rPr>
          <w:rFonts w:ascii="Times New Roman" w:hAnsi="Times New Roman" w:cs="Times New Roman"/>
          <w:i/>
          <w:iCs/>
          <w:sz w:val="23"/>
          <w:szCs w:val="23"/>
          <w:lang w:val="en-GB"/>
        </w:rPr>
      </w:pPr>
      <w:r>
        <w:rPr>
          <w:rFonts w:ascii="Times New Roman" w:hAnsi="Times New Roman" w:cs="Times New Roman"/>
          <w:i/>
          <w:iCs/>
          <w:sz w:val="23"/>
          <w:szCs w:val="23"/>
          <w:lang w:val="en-GB"/>
        </w:rPr>
        <w:t>class.</w:t>
      </w:r>
      <w:r>
        <w:rPr>
          <w:rFonts w:ascii="Times New Roman" w:hAnsi="Times New Roman" w:cs="Times New Roman"/>
          <w:i/>
          <w:iCs/>
          <w:sz w:val="13"/>
          <w:szCs w:val="13"/>
          <w:lang w:val="en-GB"/>
        </w:rPr>
        <w:t xml:space="preserve">19 </w:t>
      </w:r>
      <w:r>
        <w:rPr>
          <w:rFonts w:ascii="Times New Roman" w:hAnsi="Times New Roman" w:cs="Times New Roman"/>
          <w:i/>
          <w:iCs/>
          <w:sz w:val="23"/>
          <w:szCs w:val="23"/>
          <w:lang w:val="en-GB"/>
        </w:rPr>
        <w:t xml:space="preserve">Jeffrey Lax, Justin Phillips, and Adam </w:t>
      </w:r>
      <w:proofErr w:type="spellStart"/>
      <w:r>
        <w:rPr>
          <w:rFonts w:ascii="Times New Roman" w:hAnsi="Times New Roman" w:cs="Times New Roman"/>
          <w:i/>
          <w:iCs/>
          <w:sz w:val="23"/>
          <w:szCs w:val="23"/>
          <w:lang w:val="en-GB"/>
        </w:rPr>
        <w:t>Zelizer</w:t>
      </w:r>
      <w:proofErr w:type="spellEnd"/>
      <w:r>
        <w:rPr>
          <w:rFonts w:ascii="Times New Roman" w:hAnsi="Times New Roman" w:cs="Times New Roman"/>
          <w:i/>
          <w:iCs/>
          <w:sz w:val="23"/>
          <w:szCs w:val="23"/>
          <w:lang w:val="en-GB"/>
        </w:rPr>
        <w:t xml:space="preserve"> further</w:t>
      </w:r>
    </w:p>
    <w:p w14:paraId="01C1B5BB" w14:textId="65A7FBF3" w:rsidR="00B749F3" w:rsidRPr="00B749F3" w:rsidRDefault="00B749F3" w:rsidP="00B749F3">
      <w:pPr>
        <w:autoSpaceDE w:val="0"/>
        <w:autoSpaceDN w:val="0"/>
        <w:adjustRightInd w:val="0"/>
        <w:rPr>
          <w:rFonts w:ascii="Times New Roman" w:hAnsi="Times New Roman" w:cs="Times New Roman"/>
          <w:i/>
          <w:iCs/>
          <w:sz w:val="23"/>
          <w:szCs w:val="23"/>
          <w:lang w:val="en-GB"/>
        </w:rPr>
      </w:pPr>
      <w:r>
        <w:rPr>
          <w:rFonts w:ascii="Times New Roman" w:hAnsi="Times New Roman" w:cs="Times New Roman"/>
          <w:i/>
          <w:iCs/>
          <w:sz w:val="23"/>
          <w:szCs w:val="23"/>
          <w:lang w:val="en-GB"/>
        </w:rPr>
        <w:t xml:space="preserve">nuance the </w:t>
      </w:r>
      <w:proofErr w:type="spellStart"/>
      <w:r>
        <w:rPr>
          <w:rFonts w:ascii="Times New Roman" w:hAnsi="Times New Roman" w:cs="Times New Roman"/>
          <w:i/>
          <w:iCs/>
          <w:sz w:val="16"/>
          <w:szCs w:val="16"/>
          <w:lang w:val="en-GB"/>
        </w:rPr>
        <w:t>sdm</w:t>
      </w:r>
      <w:proofErr w:type="spellEnd"/>
      <w:r>
        <w:rPr>
          <w:rFonts w:ascii="Times New Roman" w:hAnsi="Times New Roman" w:cs="Times New Roman"/>
          <w:i/>
          <w:iCs/>
          <w:sz w:val="16"/>
          <w:szCs w:val="16"/>
          <w:lang w:val="en-GB"/>
        </w:rPr>
        <w:t xml:space="preserve"> </w:t>
      </w:r>
      <w:r>
        <w:rPr>
          <w:rFonts w:ascii="Times New Roman" w:hAnsi="Times New Roman" w:cs="Times New Roman"/>
          <w:i/>
          <w:iCs/>
          <w:sz w:val="23"/>
          <w:szCs w:val="23"/>
          <w:lang w:val="en-GB"/>
        </w:rPr>
        <w:t>story, showing that in the US Senate, class influence</w:t>
      </w:r>
      <w:r>
        <w:rPr>
          <w:rFonts w:ascii="Times New Roman" w:hAnsi="Times New Roman" w:cs="Times New Roman"/>
          <w:i/>
          <w:iCs/>
          <w:sz w:val="23"/>
          <w:szCs w:val="23"/>
          <w:lang w:val="en-GB"/>
        </w:rPr>
        <w:t xml:space="preserve"> </w:t>
      </w:r>
      <w:r>
        <w:rPr>
          <w:rFonts w:ascii="Times New Roman" w:hAnsi="Times New Roman" w:cs="Times New Roman"/>
          <w:i/>
          <w:iCs/>
          <w:sz w:val="23"/>
          <w:szCs w:val="23"/>
          <w:lang w:val="en-GB"/>
        </w:rPr>
        <w:t>is highly conditional on partisanship.</w:t>
      </w:r>
      <w:r>
        <w:rPr>
          <w:rFonts w:ascii="Times New Roman" w:hAnsi="Times New Roman" w:cs="Times New Roman"/>
          <w:i/>
          <w:iCs/>
          <w:sz w:val="13"/>
          <w:szCs w:val="13"/>
          <w:lang w:val="en-GB"/>
        </w:rPr>
        <w:t>20</w:t>
      </w:r>
    </w:p>
    <w:p w14:paraId="075A2DE4" w14:textId="77777777" w:rsidR="00307A2C" w:rsidRDefault="00307A2C" w:rsidP="003D0669">
      <w:pPr>
        <w:pStyle w:val="NormalWeb"/>
        <w:rPr>
          <w:lang w:val="en-GB"/>
        </w:rPr>
      </w:pPr>
    </w:p>
    <w:p w14:paraId="5A842F3E" w14:textId="77777777" w:rsidR="00307A2C" w:rsidRDefault="00307A2C" w:rsidP="003D0669">
      <w:pPr>
        <w:pStyle w:val="NormalWeb"/>
        <w:rPr>
          <w:lang w:val="en-GB"/>
        </w:rPr>
      </w:pP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lastRenderedPageBreak/>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Pr="008E004F"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sectPr w:rsidR="00CE74C4" w:rsidRPr="008E0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C5E3" w14:textId="77777777" w:rsidR="003661A2" w:rsidRDefault="003661A2" w:rsidP="00861A35">
      <w:r>
        <w:separator/>
      </w:r>
    </w:p>
  </w:endnote>
  <w:endnote w:type="continuationSeparator" w:id="0">
    <w:p w14:paraId="43D4A436" w14:textId="77777777" w:rsidR="003661A2" w:rsidRDefault="003661A2"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274C" w14:textId="77777777" w:rsidR="003661A2" w:rsidRDefault="003661A2" w:rsidP="00861A35">
      <w:r>
        <w:separator/>
      </w:r>
    </w:p>
  </w:footnote>
  <w:footnote w:type="continuationSeparator" w:id="0">
    <w:p w14:paraId="7E8EBA7D" w14:textId="77777777" w:rsidR="003661A2" w:rsidRDefault="003661A2" w:rsidP="00861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2678C"/>
    <w:rsid w:val="00067A42"/>
    <w:rsid w:val="00094550"/>
    <w:rsid w:val="000C35D8"/>
    <w:rsid w:val="000C51F6"/>
    <w:rsid w:val="000D004F"/>
    <w:rsid w:val="000D2B69"/>
    <w:rsid w:val="00121A92"/>
    <w:rsid w:val="00194FB6"/>
    <w:rsid w:val="001A39E1"/>
    <w:rsid w:val="001D6D52"/>
    <w:rsid w:val="001E28C7"/>
    <w:rsid w:val="00210689"/>
    <w:rsid w:val="002474B3"/>
    <w:rsid w:val="0026389E"/>
    <w:rsid w:val="00276A83"/>
    <w:rsid w:val="00295DFF"/>
    <w:rsid w:val="002A7422"/>
    <w:rsid w:val="002B1C6C"/>
    <w:rsid w:val="002E031F"/>
    <w:rsid w:val="002E067E"/>
    <w:rsid w:val="002E34D8"/>
    <w:rsid w:val="00307A2C"/>
    <w:rsid w:val="00341DC3"/>
    <w:rsid w:val="0036224C"/>
    <w:rsid w:val="003661A2"/>
    <w:rsid w:val="00383B0E"/>
    <w:rsid w:val="003A3E93"/>
    <w:rsid w:val="003D0669"/>
    <w:rsid w:val="00407AFC"/>
    <w:rsid w:val="00423BA4"/>
    <w:rsid w:val="0045108E"/>
    <w:rsid w:val="004842BA"/>
    <w:rsid w:val="00487789"/>
    <w:rsid w:val="005150CB"/>
    <w:rsid w:val="005459E0"/>
    <w:rsid w:val="00561767"/>
    <w:rsid w:val="0058205E"/>
    <w:rsid w:val="0059589E"/>
    <w:rsid w:val="005C524F"/>
    <w:rsid w:val="005D2281"/>
    <w:rsid w:val="005E093F"/>
    <w:rsid w:val="005F6358"/>
    <w:rsid w:val="00606F2A"/>
    <w:rsid w:val="00617785"/>
    <w:rsid w:val="00624FFE"/>
    <w:rsid w:val="00634C27"/>
    <w:rsid w:val="00647E17"/>
    <w:rsid w:val="0065508F"/>
    <w:rsid w:val="006B0D5B"/>
    <w:rsid w:val="006C0FFB"/>
    <w:rsid w:val="006C52CA"/>
    <w:rsid w:val="006F7B16"/>
    <w:rsid w:val="00707E61"/>
    <w:rsid w:val="00716A2C"/>
    <w:rsid w:val="00750C0D"/>
    <w:rsid w:val="007717D4"/>
    <w:rsid w:val="00782399"/>
    <w:rsid w:val="00785F07"/>
    <w:rsid w:val="007A620F"/>
    <w:rsid w:val="007D5EA7"/>
    <w:rsid w:val="007D7727"/>
    <w:rsid w:val="007F708A"/>
    <w:rsid w:val="007F790A"/>
    <w:rsid w:val="00861A35"/>
    <w:rsid w:val="00872611"/>
    <w:rsid w:val="00896CED"/>
    <w:rsid w:val="008A6084"/>
    <w:rsid w:val="008D11A7"/>
    <w:rsid w:val="008E004F"/>
    <w:rsid w:val="0095546E"/>
    <w:rsid w:val="00957936"/>
    <w:rsid w:val="009870B2"/>
    <w:rsid w:val="00997530"/>
    <w:rsid w:val="009A0FEE"/>
    <w:rsid w:val="009B4221"/>
    <w:rsid w:val="009C107F"/>
    <w:rsid w:val="00A214CA"/>
    <w:rsid w:val="00A31BC8"/>
    <w:rsid w:val="00A669E5"/>
    <w:rsid w:val="00A73075"/>
    <w:rsid w:val="00AE6AF3"/>
    <w:rsid w:val="00B37C21"/>
    <w:rsid w:val="00B6530E"/>
    <w:rsid w:val="00B749F3"/>
    <w:rsid w:val="00B74FB8"/>
    <w:rsid w:val="00B77355"/>
    <w:rsid w:val="00BA3914"/>
    <w:rsid w:val="00BC6395"/>
    <w:rsid w:val="00C13A3F"/>
    <w:rsid w:val="00C25AF2"/>
    <w:rsid w:val="00C30739"/>
    <w:rsid w:val="00C37921"/>
    <w:rsid w:val="00C512C5"/>
    <w:rsid w:val="00CA54AD"/>
    <w:rsid w:val="00CC3FC8"/>
    <w:rsid w:val="00CE738F"/>
    <w:rsid w:val="00CE74C4"/>
    <w:rsid w:val="00D5783F"/>
    <w:rsid w:val="00D6382F"/>
    <w:rsid w:val="00D953C2"/>
    <w:rsid w:val="00DF50DB"/>
    <w:rsid w:val="00E0568A"/>
    <w:rsid w:val="00E1051A"/>
    <w:rsid w:val="00E128B4"/>
    <w:rsid w:val="00E256D5"/>
    <w:rsid w:val="00E27264"/>
    <w:rsid w:val="00E9319B"/>
    <w:rsid w:val="00EF512D"/>
    <w:rsid w:val="00F43B45"/>
    <w:rsid w:val="00F55ED9"/>
    <w:rsid w:val="00F6711E"/>
    <w:rsid w:val="00F81431"/>
    <w:rsid w:val="00F84AA9"/>
    <w:rsid w:val="00FF21BD"/>
    <w:rsid w:val="00FF44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B4"/>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6</Pages>
  <Words>7312</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37</cp:revision>
  <dcterms:created xsi:type="dcterms:W3CDTF">2023-04-24T14:07:00Z</dcterms:created>
  <dcterms:modified xsi:type="dcterms:W3CDTF">2023-05-10T14:32:00Z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