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72ECCC36"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policymakers</w:t>
      </w:r>
      <w:r w:rsidR="00CF0C86">
        <w:rPr>
          <w:lang w:val="en-US"/>
        </w:rPr>
        <w:t>’</w:t>
      </w:r>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319C4B27"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E6799D">
        <w:rPr>
          <w:lang w:val="en-US"/>
        </w:rPr>
        <w:t xml:space="preserve"> divided by its GDP</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02402E">
      <w:pPr>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70D6B300" w:rsidR="00596C15" w:rsidRDefault="00697B26" w:rsidP="00A94E98">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 xml:space="preserve">the preferences of different income groups within a country at a given year towards </w:t>
      </w:r>
      <w:r w:rsidR="001B4B92">
        <w:rPr>
          <w:lang w:val="en-US"/>
        </w:rPr>
        <w:t>the</w:t>
      </w:r>
      <w:r>
        <w:rPr>
          <w:lang w:val="en-US"/>
        </w:rPr>
        <w:t xml:space="preserve"> specific welfare policy</w:t>
      </w:r>
      <w:r w:rsidRPr="003B486C">
        <w:rPr>
          <w:lang w:val="en-US"/>
        </w:rPr>
        <w:t xml:space="preserve"> as</w:t>
      </w:r>
      <w:r>
        <w:rPr>
          <w:lang w:val="en-US"/>
        </w:rPr>
        <w:t xml:space="preserve"> well as the</w:t>
      </w:r>
      <w:r w:rsidRPr="003B486C">
        <w:rPr>
          <w:lang w:val="en-US"/>
        </w:rPr>
        <w:t xml:space="preserve"> changes in the </w:t>
      </w:r>
      <w:r w:rsidR="00114F8F" w:rsidRPr="003B486C">
        <w:rPr>
          <w:lang w:val="en-US"/>
        </w:rPr>
        <w:t>welfare</w:t>
      </w:r>
      <w:r w:rsidRPr="003B486C">
        <w:rPr>
          <w:lang w:val="en-US"/>
        </w:rPr>
        <w:t xml:space="preserve"> sectors, namely unemployment, pension, and health care</w:t>
      </w:r>
      <w:r w:rsidR="00AF0E35">
        <w:rPr>
          <w:rStyle w:val="FootnoteReference"/>
          <w:lang w:val="en-US"/>
        </w:rPr>
        <w:footnoteReference w:id="1"/>
      </w:r>
      <w:r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77777777" w:rsidR="00B62F51" w:rsidRDefault="00B62F51" w:rsidP="00596C15">
      <w:pPr>
        <w:rPr>
          <w:lang w:val="en-US"/>
        </w:rPr>
      </w:pPr>
    </w:p>
    <w:p w14:paraId="78AE4A38" w14:textId="46C8D50B" w:rsidR="00A94E98" w:rsidRDefault="00A94E98" w:rsidP="00596C15">
      <w:pPr>
        <w:rPr>
          <w:lang w:val="en-US"/>
        </w:rPr>
      </w:pPr>
    </w:p>
    <w:p w14:paraId="3EAFC345" w14:textId="4763FC9B" w:rsidR="00A94E98" w:rsidRDefault="00D83E11" w:rsidP="00596C15">
      <w:pPr>
        <w:rPr>
          <w:lang w:val="en-US"/>
        </w:rPr>
      </w:pPr>
      <w:r>
        <w:rPr>
          <w:noProof/>
          <w:lang w:val="en-US"/>
        </w:rPr>
        <w:drawing>
          <wp:inline distT="0" distB="0" distL="0" distR="0" wp14:anchorId="61DE944F" wp14:editId="73341571">
            <wp:extent cx="5731329" cy="3212364"/>
            <wp:effectExtent l="0" t="0" r="0" b="1270"/>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061" cy="3221181"/>
                    </a:xfrm>
                    <a:prstGeom prst="rect">
                      <a:avLst/>
                    </a:prstGeom>
                  </pic:spPr>
                </pic:pic>
              </a:graphicData>
            </a:graphic>
          </wp:inline>
        </w:drawing>
      </w: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01631A7F"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Prior to logging, the variable is transformed to a factor in which 100 percent of capital mobility relative to GDP is equal to capital mobility of 1</w:t>
      </w:r>
      <w:r w:rsidR="00CF0C86">
        <w:rPr>
          <w:rStyle w:val="FootnoteReference"/>
          <w:lang w:val="en-US"/>
        </w:rPr>
        <w:footnoteReference w:id="2"/>
      </w:r>
      <w:r w:rsidR="00D502D2">
        <w:rPr>
          <w:lang w:val="en-US"/>
        </w:rPr>
        <w:t xml:space="preserve">.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222"/>
        <w:gridCol w:w="451"/>
        <w:gridCol w:w="708"/>
        <w:gridCol w:w="733"/>
        <w:gridCol w:w="492"/>
        <w:gridCol w:w="761"/>
        <w:gridCol w:w="942"/>
        <w:gridCol w:w="561"/>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574A5F63" w:rsidR="00F7396F" w:rsidRPr="00E67F09" w:rsidRDefault="00F7396F" w:rsidP="00E67F09">
            <w:pPr>
              <w:rPr>
                <w:rFonts w:ascii="Open Sans" w:hAnsi="Open Sans" w:cs="Open Sans"/>
                <w:sz w:val="13"/>
                <w:szCs w:val="13"/>
              </w:rPr>
            </w:pPr>
            <w:r w:rsidRPr="00E67F09">
              <w:rPr>
                <w:rFonts w:ascii="Open Sans" w:hAnsi="Open Sans" w:cs="Open Sans"/>
                <w:sz w:val="13"/>
                <w:szCs w:val="13"/>
              </w:rPr>
              <w:t xml:space="preserve">Net international investment Position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5AF615D5"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23807A05" w:rsidR="00F7396F" w:rsidRPr="00E67F09" w:rsidRDefault="0082778A" w:rsidP="00E67F09">
            <w:pPr>
              <w:jc w:val="right"/>
              <w:rPr>
                <w:rFonts w:ascii="Open Sans" w:hAnsi="Open Sans" w:cs="Open Sans"/>
                <w:sz w:val="13"/>
                <w:szCs w:val="13"/>
              </w:rPr>
            </w:pPr>
            <w:r>
              <w:rPr>
                <w:rFonts w:ascii="Open Sans" w:hAnsi="Open Sans" w:cs="Open Sans"/>
                <w:sz w:val="13"/>
                <w:szCs w:val="13"/>
                <w:lang w:val="de-DE"/>
              </w:rPr>
              <w:t>0.</w:t>
            </w:r>
            <w:r w:rsidR="00F7396F"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1E1840D9"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6581AAAA"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2995EC28" w:rsidR="00F7396F" w:rsidRPr="00E67F09" w:rsidRDefault="0082778A" w:rsidP="00E67F09">
            <w:pPr>
              <w:jc w:val="right"/>
              <w:rPr>
                <w:rFonts w:ascii="Open Sans" w:hAnsi="Open Sans" w:cs="Open Sans"/>
                <w:sz w:val="13"/>
                <w:szCs w:val="13"/>
              </w:rPr>
            </w:pPr>
            <w:r>
              <w:rPr>
                <w:rFonts w:ascii="Open Sans" w:hAnsi="Open Sans" w:cs="Open Sans"/>
                <w:sz w:val="13"/>
                <w:szCs w:val="13"/>
              </w:rPr>
              <w:t>0.</w:t>
            </w:r>
            <w:r w:rsidR="00F7396F"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110626F"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w:t>
            </w:r>
            <w:r w:rsidR="0082778A">
              <w:rPr>
                <w:rFonts w:ascii="Open Sans" w:hAnsi="Open Sans" w:cs="Open Sans"/>
                <w:sz w:val="13"/>
                <w:szCs w:val="13"/>
                <w:lang w:val="de-DE"/>
              </w:rPr>
              <w:t>.</w:t>
            </w:r>
            <w:r w:rsidRPr="00E67F09">
              <w:rPr>
                <w:rFonts w:ascii="Open Sans" w:hAnsi="Open Sans" w:cs="Open Sans"/>
                <w:sz w:val="13"/>
                <w:szCs w:val="13"/>
              </w:rPr>
              <w:t>3</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might result in a decline 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w:t>
      </w:r>
      <w:r w:rsidRPr="00752771">
        <w:rPr>
          <w:lang w:val="en-US"/>
        </w:rPr>
        <w:lastRenderedPageBreak/>
        <w:t xml:space="preserve">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5B083F">
      <w:pPr>
        <w:ind w:left="720" w:hanging="720"/>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3E0198CF"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w:t>
      </w:r>
      <w:r w:rsidR="0082778A">
        <w:rPr>
          <w:lang w:val="en-US"/>
        </w:rPr>
        <w:t>)</w:t>
      </w:r>
      <w:r w:rsidR="007350A9">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01B972C1" w14:textId="6245E890" w:rsidR="007350A9" w:rsidRDefault="005B083F" w:rsidP="00D83E11">
      <w:pPr>
        <w:rPr>
          <w:lang w:val="en-US"/>
        </w:rPr>
      </w:pPr>
      <w:r>
        <w:rPr>
          <w:lang w:val="en-US"/>
        </w:rPr>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w:t>
      </w:r>
      <w:r>
        <w:rPr>
          <w:lang w:val="en-US"/>
        </w:rPr>
        <w:lastRenderedPageBreak/>
        <w:t xml:space="preserve">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this paper adopts cluster robust standard errors to account for multiple observations per country.</w:t>
      </w:r>
    </w:p>
    <w:p w14:paraId="3C848090" w14:textId="4C30A868" w:rsidR="00D83E11" w:rsidRDefault="005B083F" w:rsidP="00D83E11">
      <w:pPr>
        <w:rPr>
          <w:lang w:val="en-GB"/>
        </w:rPr>
      </w:pP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0CA58EDF" w14:textId="5E50068D" w:rsidR="00881CEF" w:rsidRDefault="00D83E11" w:rsidP="00CA6338">
      <w:pPr>
        <w:pStyle w:val="Default"/>
        <w:ind w:left="720" w:hanging="720"/>
        <w:rPr>
          <w:lang w:val="en-US"/>
        </w:rPr>
      </w:pPr>
      <w:r w:rsidRPr="00D83E11">
        <w:rPr>
          <w:lang w:val="en-US"/>
        </w:rPr>
        <w:t>(2020), one can observe how the authors included a substantial outlier that exerts</w:t>
      </w:r>
      <w:r w:rsidR="00CA6338">
        <w:rPr>
          <w:lang w:val="en-US"/>
        </w:rPr>
        <w:t xml:space="preserve"> </w:t>
      </w:r>
      <w:r w:rsidR="00327AEC" w:rsidRPr="00D83E11">
        <w:rPr>
          <w:lang w:val="en-US"/>
        </w:rPr>
        <w:t xml:space="preserve">disproportionate influence on the results and therefore is likely to bias the estimates. </w:t>
      </w:r>
      <w:r w:rsidR="00327AEC">
        <w:rPr>
          <w:lang w:val="en-US"/>
        </w:rPr>
        <w:t>T</w:t>
      </w:r>
      <w:r w:rsidR="00327AEC" w:rsidRPr="00D83E11">
        <w:rPr>
          <w:lang w:val="en-US"/>
        </w:rPr>
        <w:t>he appendix of this paper</w:t>
      </w:r>
      <w:r w:rsidR="00327AEC">
        <w:rPr>
          <w:lang w:val="en-US"/>
        </w:rPr>
        <w:t xml:space="preserve"> incorporates an </w:t>
      </w:r>
      <w:r w:rsidR="00327AEC" w:rsidRPr="00D83E11">
        <w:rPr>
          <w:lang w:val="en-US"/>
        </w:rPr>
        <w:t xml:space="preserve">outlier analysis that </w:t>
      </w:r>
      <w:r w:rsidR="00327AEC">
        <w:rPr>
          <w:lang w:val="en-US"/>
        </w:rPr>
        <w:t xml:space="preserve">demonstrates the magnitude of </w:t>
      </w:r>
      <w:r w:rsidR="00327AEC" w:rsidRPr="00D83E11">
        <w:rPr>
          <w:lang w:val="en-US"/>
        </w:rPr>
        <w:t>the</w:t>
      </w:r>
      <w:r w:rsidR="00327AEC">
        <w:rPr>
          <w:lang w:val="en-US"/>
        </w:rPr>
        <w:t xml:space="preserve"> outlier</w:t>
      </w:r>
      <w:r w:rsidR="00327AEC"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sidR="00327AEC">
        <w:rPr>
          <w:lang w:val="en-US"/>
        </w:rPr>
        <w:t xml:space="preserve"> of the observed coefficients.</w:t>
      </w:r>
      <w:r w:rsidR="00327AEC">
        <w:rPr>
          <w:rStyle w:val="FootnoteReference"/>
          <w:lang w:val="en-US"/>
        </w:rPr>
        <w:footnoteReference w:id="3"/>
      </w:r>
      <w:r w:rsidR="00327AEC">
        <w:rPr>
          <w:lang w:val="en-US"/>
        </w:rPr>
        <w:br/>
      </w:r>
      <w:r w:rsidR="00327AEC">
        <w:rPr>
          <w:lang w:val="en-US"/>
        </w:rPr>
        <w:br/>
      </w:r>
      <w:r w:rsidR="004424F1">
        <w:rPr>
          <w:lang w:val="en-US"/>
        </w:rPr>
        <w:t>Table 2</w:t>
      </w:r>
      <w:r w:rsidR="00327AEC">
        <w:rPr>
          <w:lang w:val="en-US"/>
        </w:rPr>
        <w:t xml:space="preserve"> displays</w:t>
      </w:r>
      <w:r w:rsidR="00F61FE1">
        <w:rPr>
          <w:lang w:val="en-US"/>
        </w:rPr>
        <w:t xml:space="preserve"> </w:t>
      </w:r>
      <w:r w:rsidR="00327AEC">
        <w:rPr>
          <w:lang w:val="en-US"/>
        </w:rPr>
        <w:t>the random intercept models that regress</w:t>
      </w:r>
      <w:r w:rsidR="00F63361">
        <w:rPr>
          <w:lang w:val="en-US"/>
        </w:rPr>
        <w:t xml:space="preserve"> the</w:t>
      </w:r>
      <w:r w:rsidR="00327AEC">
        <w:rPr>
          <w:lang w:val="en-US"/>
        </w:rPr>
        <w:t xml:space="preserve"> average change in welfare on the preferences of the three income groups interacted with capital mobility. Due to the interaction effect between capital mobility logged and the preferences of citizens, the preferences coefficients can be interpreted as the change in average welfare</w:t>
      </w:r>
      <w:r w:rsidR="003B4FAD">
        <w:rPr>
          <w:lang w:val="en-US"/>
        </w:rPr>
        <w:t xml:space="preserve"> when one additional percent of an income group favors more welfare spending</w:t>
      </w:r>
      <w:r w:rsidR="00327AEC">
        <w:rPr>
          <w:lang w:val="en-US"/>
        </w:rPr>
        <w:t xml:space="preserve">, </w:t>
      </w:r>
      <w:r w:rsidR="000118A2">
        <w:rPr>
          <w:lang w:val="en-US"/>
        </w:rPr>
        <w:t>whilst</w:t>
      </w:r>
      <w:r w:rsidR="00327AEC">
        <w:rPr>
          <w:lang w:val="en-US"/>
        </w:rPr>
        <w:t xml:space="preserve"> logged capital mobility is held constant zero. Conveniently, the logged capital mobility of zero equates to capital mobility with a factor of </w:t>
      </w:r>
      <w:r w:rsidR="00F61FE1">
        <w:rPr>
          <w:lang w:val="en-US"/>
        </w:rPr>
        <w:t>one</w:t>
      </w:r>
      <w:r w:rsidR="000118A2">
        <w:rPr>
          <w:lang w:val="en-US"/>
        </w:rPr>
        <w:t xml:space="preserve"> (100%</w:t>
      </w:r>
      <w:r w:rsidR="00F61FE1">
        <w:rPr>
          <w:lang w:val="en-US"/>
        </w:rPr>
        <w:t>. Of GDP</w:t>
      </w:r>
      <w:r w:rsidR="000118A2">
        <w:rPr>
          <w:lang w:val="en-US"/>
        </w:rPr>
        <w:t>)</w:t>
      </w:r>
      <w:r w:rsidR="00327AEC">
        <w:rPr>
          <w:lang w:val="en-US"/>
        </w:rPr>
        <w:t xml:space="preserve">, </w:t>
      </w:r>
      <w:r w:rsidR="00327AEC">
        <w:rPr>
          <w:lang w:val="en-US"/>
        </w:rPr>
        <w:t>in which the sum of capital in- and outflows is e</w:t>
      </w:r>
      <w:r w:rsidR="003B4FAD">
        <w:rPr>
          <w:lang w:val="en-US"/>
        </w:rPr>
        <w:t xml:space="preserve">xactly as large as a countries GDP. </w:t>
      </w:r>
      <w:r w:rsidR="00F63361">
        <w:rPr>
          <w:lang w:val="en-US"/>
        </w:rPr>
        <w:t xml:space="preserve">As depicted in figure 2, countries with capital flows the size of their GDP are well below the median of capital flows (220%), and therefore can still be considered as relatively sheltered from large capital streams. Within such economies, this paper finds </w:t>
      </w:r>
      <w:r w:rsidR="0063562F">
        <w:rPr>
          <w:lang w:val="en-US"/>
        </w:rPr>
        <w:t xml:space="preserve">that </w:t>
      </w:r>
      <w:r w:rsidR="00327AEC">
        <w:rPr>
          <w:lang w:val="en-US"/>
        </w:rPr>
        <w:t xml:space="preserve">the preferences of the rich and the median </w:t>
      </w:r>
      <w:r w:rsidR="0063562F">
        <w:rPr>
          <w:lang w:val="en-US"/>
        </w:rPr>
        <w:t>are</w:t>
      </w:r>
      <w:r w:rsidR="00327AEC">
        <w:rPr>
          <w:lang w:val="en-US"/>
        </w:rPr>
        <w:t xml:space="preserve"> significant in deciding to what extend welfare generosity changes. </w:t>
      </w:r>
      <w:r w:rsidR="0063562F">
        <w:rPr>
          <w:lang w:val="en-US"/>
        </w:rPr>
        <w:t xml:space="preserve">The models show </w:t>
      </w:r>
      <w:r w:rsidR="00327AEC">
        <w:rPr>
          <w:lang w:val="en-US"/>
        </w:rPr>
        <w:t>when an additional one percent of the rich favor more welfare spending this translates into a 0.04 increase in average welfare generosity. In comparison when an additional one percent of citizens with median income favors more welfare spending, this translates into an increase of 0.037 average change in welfare. The difference between the influence of the middle class</w:t>
      </w:r>
      <w:r w:rsidR="0063562F">
        <w:rPr>
          <w:lang w:val="en-US"/>
        </w:rPr>
        <w:t xml:space="preserve"> </w:t>
      </w:r>
      <w:r w:rsidR="0063562F">
        <w:rPr>
          <w:lang w:val="en-US"/>
        </w:rPr>
        <w:t>in deciding welfare outcomes</w:t>
      </w:r>
      <w:r w:rsidR="00327AEC">
        <w:rPr>
          <w:lang w:val="en-US"/>
        </w:rPr>
        <w:t xml:space="preserve"> in comparison to the rich does not appear to be as </w:t>
      </w:r>
      <w:r w:rsidR="0063562F">
        <w:rPr>
          <w:lang w:val="en-US"/>
        </w:rPr>
        <w:t xml:space="preserve">pronounced when economies are not exposed to large streams of capital. </w:t>
      </w:r>
      <w:r w:rsidR="0063562F">
        <w:rPr>
          <w:lang w:val="en-US"/>
        </w:rPr>
        <w:t xml:space="preserve">However, </w:t>
      </w:r>
      <w:r w:rsidR="0063562F" w:rsidRPr="00881CEF">
        <w:rPr>
          <w:lang w:val="en-US"/>
        </w:rPr>
        <w:t>the preferences of the median are only</w:t>
      </w:r>
      <w:r w:rsidR="00381CE0">
        <w:rPr>
          <w:lang w:val="en-US"/>
        </w:rPr>
        <w:t xml:space="preserve"> moderately</w:t>
      </w:r>
      <w:r w:rsidR="0063562F" w:rsidRPr="00881CEF">
        <w:rPr>
          <w:lang w:val="en-US"/>
        </w:rPr>
        <w:t xml:space="preserve"> significant at a significance level of 90%</w:t>
      </w:r>
      <w:r w:rsidR="0063562F">
        <w:rPr>
          <w:lang w:val="en-US"/>
        </w:rPr>
        <w:t xml:space="preserve">, whereas the preferences of the rich </w:t>
      </w:r>
      <w:r w:rsidR="0063562F" w:rsidRPr="00881CEF">
        <w:rPr>
          <w:lang w:val="en-US"/>
        </w:rPr>
        <w:t xml:space="preserve">are </w:t>
      </w:r>
      <w:r w:rsidR="0063562F">
        <w:rPr>
          <w:lang w:val="en-US"/>
        </w:rPr>
        <w:t>also</w:t>
      </w:r>
      <w:r w:rsidR="0063562F" w:rsidRPr="00881CEF">
        <w:rPr>
          <w:lang w:val="en-US"/>
        </w:rPr>
        <w:t xml:space="preserve"> statistically significant at a significance level of 9</w:t>
      </w:r>
      <w:r w:rsidR="0063562F">
        <w:rPr>
          <w:lang w:val="en-US"/>
        </w:rPr>
        <w:t>5</w:t>
      </w:r>
      <w:r w:rsidR="0063562F" w:rsidRPr="00881CEF">
        <w:rPr>
          <w:lang w:val="en-US"/>
        </w:rPr>
        <w:t>%</w:t>
      </w:r>
      <w:r w:rsidR="0063562F">
        <w:rPr>
          <w:lang w:val="en-US"/>
        </w:rPr>
        <w:t>.</w:t>
      </w:r>
      <w:r w:rsidR="00F61FE1">
        <w:rPr>
          <w:lang w:val="en-US"/>
        </w:rPr>
        <w:br/>
      </w: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lastRenderedPageBreak/>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61362AD0" w:rsidR="00366650" w:rsidRPr="00387916" w:rsidRDefault="00E6799D"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Pr>
                <w:rFonts w:ascii="Helvetica" w:eastAsia="Helvetica" w:hAnsi="Helvetica" w:cs="Helvetica"/>
                <w:color w:val="000000"/>
                <w:sz w:val="10"/>
                <w:szCs w:val="10"/>
                <w:lang w:val="de-DE"/>
              </w:rPr>
              <w:t>25.203</w:t>
            </w:r>
            <w:r w:rsidR="00366650" w:rsidRPr="00387916">
              <w:rPr>
                <w:rFonts w:ascii="Helvetica" w:eastAsia="Helvetica" w:hAnsi="Helvetica" w:cs="Helvetica"/>
                <w:color w:val="000000"/>
                <w:sz w:val="10"/>
                <w:szCs w:val="10"/>
              </w:rPr>
              <w:t>*</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5C987743" w14:textId="77777777" w:rsidR="00CA6338" w:rsidRDefault="00CA6338" w:rsidP="00CA6338">
      <w:pPr>
        <w:pStyle w:val="Default"/>
        <w:rPr>
          <w:lang w:val="en-US"/>
        </w:rPr>
      </w:pPr>
    </w:p>
    <w:p w14:paraId="1D7C7365" w14:textId="00C8158F" w:rsidR="00CC3CD0" w:rsidRDefault="00CA6338" w:rsidP="00CC3CD0">
      <w:pPr>
        <w:pStyle w:val="Default"/>
        <w:rPr>
          <w:lang w:val="en-US"/>
        </w:rPr>
      </w:pPr>
      <w:r>
        <w:rPr>
          <w:lang w:val="en-US"/>
        </w:rPr>
        <w:t>To assess whether rising capital mobility has increased the influence of the rich in comparison to the poor and the median,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the poor (and the median) would be negative. Contrary to what this paper hypothesis, the models show that the</w:t>
      </w:r>
      <w:r w:rsidR="006A2F47">
        <w:rPr>
          <w:lang w:val="en-US"/>
        </w:rPr>
        <w:t xml:space="preserve"> coefficient of the</w:t>
      </w:r>
      <w:r>
        <w:rPr>
          <w:lang w:val="en-US"/>
        </w:rPr>
        <w:t xml:space="preserve"> preferences of the affluent</w:t>
      </w:r>
      <w:r w:rsidR="006A2F47">
        <w:rPr>
          <w:lang w:val="en-US"/>
        </w:rPr>
        <w:t xml:space="preserve"> does not increase whenever capital mobility increases.</w:t>
      </w:r>
      <w:r w:rsidR="001B0846">
        <w:rPr>
          <w:lang w:val="en-US"/>
        </w:rPr>
        <w:t xml:space="preserve"> The interaction term between the preferences of the richest 5 percent and capital mobility is insignificant. Therefore,</w:t>
      </w:r>
      <w:r w:rsidR="006A2F47">
        <w:rPr>
          <w:lang w:val="en-US"/>
        </w:rPr>
        <w:t xml:space="preserve"> </w:t>
      </w:r>
      <w:r w:rsidR="001B0846">
        <w:rPr>
          <w:lang w:val="en-US"/>
        </w:rPr>
        <w:t>t</w:t>
      </w:r>
      <w:r w:rsidR="006A2F47">
        <w:rPr>
          <w:lang w:val="en-US"/>
        </w:rPr>
        <w:t xml:space="preserve">he political influence </w:t>
      </w:r>
      <w:r w:rsidR="006D2B22">
        <w:rPr>
          <w:lang w:val="en-US"/>
        </w:rPr>
        <w:t xml:space="preserve">of the rich in determining welfare generosity </w:t>
      </w:r>
      <w:r w:rsidR="001B0846">
        <w:rPr>
          <w:lang w:val="en-US"/>
        </w:rPr>
        <w:t xml:space="preserve">in the assessed sectors of </w:t>
      </w:r>
      <w:r w:rsidR="006D2B22">
        <w:rPr>
          <w:lang w:val="en-US"/>
        </w:rPr>
        <w:t>unemployment, health care or pensions does not increase</w:t>
      </w:r>
      <w:r w:rsidR="001B0846">
        <w:rPr>
          <w:lang w:val="en-US"/>
        </w:rPr>
        <w:t xml:space="preserve"> whenever capital mobility increases.</w:t>
      </w:r>
      <w:r w:rsidR="002E1158">
        <w:rPr>
          <w:lang w:val="en-US"/>
        </w:rPr>
        <w:t xml:space="preserve"> The same holds for the political influence of the median, as the interaction term of the preferences of the median and capital mobility is also insignificant. </w:t>
      </w:r>
      <w:r w:rsidR="00381CE0">
        <w:rPr>
          <w:lang w:val="en-US"/>
        </w:rPr>
        <w:t xml:space="preserve">Besides the difference in significance levels, </w:t>
      </w:r>
      <w:r w:rsidR="0070732C">
        <w:rPr>
          <w:lang w:val="en-US"/>
        </w:rPr>
        <w:t xml:space="preserve">this paper </w:t>
      </w:r>
      <w:r w:rsidR="00381CE0">
        <w:rPr>
          <w:lang w:val="en-US"/>
        </w:rPr>
        <w:t xml:space="preserve">finds limited evidence for a </w:t>
      </w:r>
      <w:r w:rsidR="0070732C">
        <w:rPr>
          <w:lang w:val="en-US"/>
        </w:rPr>
        <w:t>substantial difference in the</w:t>
      </w:r>
      <w:r w:rsidR="00381CE0">
        <w:rPr>
          <w:lang w:val="en-US"/>
        </w:rPr>
        <w:t xml:space="preserve"> </w:t>
      </w:r>
      <w:r w:rsidR="0070732C">
        <w:rPr>
          <w:lang w:val="en-US"/>
        </w:rPr>
        <w:t>influence of the rich relatively to the median</w:t>
      </w:r>
      <w:r w:rsidR="00381CE0">
        <w:rPr>
          <w:lang w:val="en-US"/>
        </w:rPr>
        <w:t xml:space="preserve"> </w:t>
      </w:r>
      <w:r w:rsidR="00381CE0">
        <w:rPr>
          <w:lang w:val="en-US"/>
        </w:rPr>
        <w:t>in deciding welfare policies</w:t>
      </w:r>
      <w:r w:rsidR="00381CE0">
        <w:rPr>
          <w:lang w:val="en-US"/>
        </w:rPr>
        <w:t xml:space="preserve"> at various levels of capital mobility. </w:t>
      </w:r>
      <w:r w:rsidR="0052513D">
        <w:rPr>
          <w:lang w:val="en-US"/>
        </w:rPr>
        <w:br/>
      </w:r>
      <w:r w:rsidR="0052513D">
        <w:rPr>
          <w:lang w:val="en-US"/>
        </w:rPr>
        <w:br/>
        <w:t xml:space="preserve">Unlike anticipated, </w:t>
      </w:r>
      <w:r w:rsidR="00793FCF">
        <w:rPr>
          <w:lang w:val="en-US"/>
        </w:rPr>
        <w:t xml:space="preserve">the </w:t>
      </w:r>
      <w:r w:rsidR="002B1967">
        <w:rPr>
          <w:lang w:val="en-US"/>
        </w:rPr>
        <w:t>influence</w:t>
      </w:r>
      <w:r w:rsidR="00793FCF">
        <w:rPr>
          <w:lang w:val="en-US"/>
        </w:rPr>
        <w:t xml:space="preserve"> of the </w:t>
      </w:r>
      <w:r w:rsidR="002B1967">
        <w:rPr>
          <w:lang w:val="en-US"/>
        </w:rPr>
        <w:t xml:space="preserve">poor in deciding welfare reform </w:t>
      </w:r>
      <w:proofErr w:type="gramStart"/>
      <w:r w:rsidR="002B1967">
        <w:rPr>
          <w:lang w:val="en-US"/>
        </w:rPr>
        <w:t>actually grows</w:t>
      </w:r>
      <w:proofErr w:type="gramEnd"/>
      <w:r w:rsidR="002B1967">
        <w:rPr>
          <w:lang w:val="en-US"/>
        </w:rPr>
        <w:t xml:space="preserve"> when capital mobility increases. </w:t>
      </w:r>
      <w:r w:rsidR="002B1967" w:rsidRPr="002B1967">
        <w:rPr>
          <w:lang w:val="en-US"/>
        </w:rPr>
        <w:t xml:space="preserve">While the coefficient </w:t>
      </w:r>
      <w:r w:rsidR="009F3FCC">
        <w:rPr>
          <w:lang w:val="en-US"/>
        </w:rPr>
        <w:t xml:space="preserve">of the poorest five percent </w:t>
      </w:r>
      <w:r w:rsidR="002B1967" w:rsidRPr="002B1967">
        <w:rPr>
          <w:lang w:val="en-US"/>
        </w:rPr>
        <w:t>does not show</w:t>
      </w:r>
      <w:r w:rsidR="009F3FCC">
        <w:rPr>
          <w:lang w:val="en-US"/>
        </w:rPr>
        <w:t xml:space="preserve"> any</w:t>
      </w:r>
      <w:r w:rsidR="002B1967" w:rsidRPr="002B1967">
        <w:rPr>
          <w:lang w:val="en-US"/>
        </w:rPr>
        <w:t xml:space="preserve"> statistical significance, the interaction </w:t>
      </w:r>
      <w:r w:rsidR="00E47D00">
        <w:rPr>
          <w:lang w:val="en-US"/>
        </w:rPr>
        <w:t>of the</w:t>
      </w:r>
      <w:r w:rsidR="002B1967" w:rsidRPr="002B1967">
        <w:rPr>
          <w:lang w:val="en-US"/>
        </w:rPr>
        <w:t xml:space="preserve"> </w:t>
      </w:r>
      <w:r w:rsidR="00E47D00" w:rsidRPr="002B1967">
        <w:rPr>
          <w:lang w:val="en-US"/>
        </w:rPr>
        <w:t xml:space="preserve">preferences </w:t>
      </w:r>
      <w:r w:rsidR="00E47D00">
        <w:rPr>
          <w:lang w:val="en-US"/>
        </w:rPr>
        <w:t xml:space="preserve">and </w:t>
      </w:r>
      <w:r w:rsidR="002B1967" w:rsidRPr="002B1967">
        <w:rPr>
          <w:lang w:val="en-US"/>
        </w:rPr>
        <w:t>capital mobility is statistically significant at a 95% confidence level.</w:t>
      </w:r>
      <w:r w:rsidR="002B1967">
        <w:rPr>
          <w:lang w:val="en-US"/>
        </w:rPr>
        <w:t xml:space="preserve"> The model shows that the </w:t>
      </w:r>
      <w:r w:rsidR="000D7533">
        <w:rPr>
          <w:lang w:val="en-US"/>
        </w:rPr>
        <w:t xml:space="preserve">effect </w:t>
      </w:r>
      <w:r w:rsidR="002B1967">
        <w:rPr>
          <w:lang w:val="en-US"/>
        </w:rPr>
        <w:t>of capital mobility</w:t>
      </w:r>
      <w:r w:rsidR="000D7533">
        <w:rPr>
          <w:lang w:val="en-US"/>
        </w:rPr>
        <w:t xml:space="preserve"> on the influence of different income groups to decide welfare state outcomes is </w:t>
      </w:r>
      <w:r w:rsidR="002B1967">
        <w:rPr>
          <w:lang w:val="en-US"/>
        </w:rPr>
        <w:t xml:space="preserve">only relevant </w:t>
      </w:r>
      <w:r w:rsidR="009F3FCC">
        <w:rPr>
          <w:lang w:val="en-US"/>
        </w:rPr>
        <w:t>for the least affluent citizens. Specifically, for every unit change in logged capital mobility, the coefficient</w:t>
      </w:r>
      <w:r w:rsidR="001123E8">
        <w:rPr>
          <w:lang w:val="en-US"/>
        </w:rPr>
        <w:t xml:space="preserve"> of the poor (0.012) grows by an additional (0.021). </w:t>
      </w:r>
      <w:r w:rsidR="00CC3CD0" w:rsidRPr="001035BA">
        <w:rPr>
          <w:lang w:val="en-US"/>
        </w:rPr>
        <w:t xml:space="preserve">Contrary to expectations, as capital mobility rises, the proportional impact of the poor in altering welfare generosity rises relative to that of the affluent and the median. </w:t>
      </w:r>
    </w:p>
    <w:p w14:paraId="5B74B339" w14:textId="4A6399CC" w:rsidR="00CC3CD0" w:rsidRDefault="00CC3CD0" w:rsidP="001123E8">
      <w:pPr>
        <w:pStyle w:val="Default"/>
        <w:rPr>
          <w:lang w:val="en-US"/>
        </w:rPr>
      </w:pPr>
    </w:p>
    <w:p w14:paraId="22C5E8B0" w14:textId="77777777" w:rsidR="00CC3CD0" w:rsidRDefault="00CC3CD0" w:rsidP="001123E8">
      <w:pPr>
        <w:pStyle w:val="Default"/>
        <w:rPr>
          <w:lang w:val="en-US"/>
        </w:rPr>
      </w:pPr>
    </w:p>
    <w:p w14:paraId="73B34586" w14:textId="77777777" w:rsidR="004424F1" w:rsidRDefault="004424F1" w:rsidP="001123E8">
      <w:pPr>
        <w:pStyle w:val="Default"/>
        <w:rPr>
          <w:lang w:val="en-US"/>
        </w:rPr>
      </w:pPr>
    </w:p>
    <w:p w14:paraId="7260BF2A" w14:textId="399A33ED" w:rsidR="00354721" w:rsidRDefault="00354721" w:rsidP="001123E8">
      <w:pPr>
        <w:pStyle w:val="Default"/>
        <w:rPr>
          <w:lang w:val="en-US"/>
        </w:rPr>
      </w:pPr>
      <w:r>
        <w:rPr>
          <w:noProof/>
          <w:lang w:val="en-US"/>
        </w:rPr>
        <w:drawing>
          <wp:inline distT="0" distB="0" distL="0" distR="0" wp14:anchorId="6BC6E7EE" wp14:editId="37BA91D9">
            <wp:extent cx="5731510" cy="3223895"/>
            <wp:effectExtent l="0" t="0" r="0" b="1905"/>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B0D44B9" w14:textId="77777777" w:rsidR="00A44227" w:rsidRDefault="00A44227" w:rsidP="001123E8">
      <w:pPr>
        <w:pStyle w:val="Default"/>
        <w:rPr>
          <w:lang w:val="en-US"/>
        </w:rPr>
      </w:pPr>
    </w:p>
    <w:p w14:paraId="7E612F3C" w14:textId="77777777" w:rsidR="00CC3CD0" w:rsidRDefault="00CC3CD0" w:rsidP="000B37EF">
      <w:pPr>
        <w:pStyle w:val="Default"/>
        <w:ind w:left="720" w:hanging="720"/>
        <w:rPr>
          <w:lang w:val="en-US"/>
        </w:rPr>
      </w:pPr>
    </w:p>
    <w:p w14:paraId="42852A50" w14:textId="77777777" w:rsidR="00CC3CD0" w:rsidRDefault="00CC3CD0" w:rsidP="000B37EF">
      <w:pPr>
        <w:pStyle w:val="Default"/>
        <w:ind w:left="720" w:hanging="720"/>
        <w:rPr>
          <w:lang w:val="en-US"/>
        </w:rPr>
      </w:pPr>
    </w:p>
    <w:p w14:paraId="20145AC1" w14:textId="715E1CD6" w:rsidR="000B37EF" w:rsidRDefault="00A44227" w:rsidP="000B37EF">
      <w:pPr>
        <w:pStyle w:val="Default"/>
        <w:ind w:left="720" w:hanging="720"/>
        <w:rPr>
          <w:lang w:val="en-US"/>
        </w:rPr>
      </w:pPr>
      <w:r>
        <w:rPr>
          <w:lang w:val="en-US"/>
        </w:rPr>
        <w:lastRenderedPageBreak/>
        <w:t xml:space="preserve">To have a better understanding </w:t>
      </w:r>
      <w:r w:rsidR="000B37EF">
        <w:rPr>
          <w:lang w:val="en-US"/>
        </w:rPr>
        <w:t xml:space="preserve">of </w:t>
      </w:r>
      <w:r w:rsidR="00E47D00">
        <w:rPr>
          <w:lang w:val="en-US"/>
        </w:rPr>
        <w:t xml:space="preserve">the extent to which capital mobility impacts the </w:t>
      </w:r>
      <w:proofErr w:type="gramStart"/>
      <w:r w:rsidR="00E47D00">
        <w:rPr>
          <w:lang w:val="en-US"/>
        </w:rPr>
        <w:t>influence</w:t>
      </w:r>
      <w:proofErr w:type="gramEnd"/>
    </w:p>
    <w:p w14:paraId="5FE17DE3" w14:textId="68A75DC8" w:rsidR="000B37EF" w:rsidRDefault="00E47D00" w:rsidP="000B37EF">
      <w:pPr>
        <w:pStyle w:val="Default"/>
        <w:ind w:left="720" w:hanging="720"/>
        <w:rPr>
          <w:lang w:val="en-US"/>
        </w:rPr>
      </w:pPr>
      <w:r>
        <w:rPr>
          <w:lang w:val="en-US"/>
        </w:rPr>
        <w:t>of different income groups</w:t>
      </w:r>
      <w:r w:rsidR="000B37EF">
        <w:rPr>
          <w:lang w:val="en-US"/>
        </w:rPr>
        <w:t xml:space="preserve"> on welfare generosity, figure 3 plots the </w:t>
      </w:r>
      <w:r w:rsidR="000B37EF" w:rsidRPr="000B37EF">
        <w:rPr>
          <w:lang w:val="en-US"/>
        </w:rPr>
        <w:t>marginal</w:t>
      </w:r>
      <w:r w:rsidR="000B37EF">
        <w:rPr>
          <w:lang w:val="en-US"/>
        </w:rPr>
        <w:t xml:space="preserve"> slopes of the</w:t>
      </w:r>
    </w:p>
    <w:p w14:paraId="2F82474B" w14:textId="77777777" w:rsidR="000B37EF" w:rsidRDefault="000B37EF" w:rsidP="000B37EF">
      <w:pPr>
        <w:pStyle w:val="Default"/>
        <w:ind w:left="720" w:hanging="720"/>
        <w:rPr>
          <w:lang w:val="en-US"/>
        </w:rPr>
      </w:pPr>
      <w:r>
        <w:rPr>
          <w:lang w:val="en-US"/>
        </w:rPr>
        <w:t>preferences coefficients for various levels of capital mobility. In the plot, all other variables</w:t>
      </w:r>
    </w:p>
    <w:p w14:paraId="1B03A163" w14:textId="77777777" w:rsidR="0053439D" w:rsidRDefault="000B37EF" w:rsidP="000B37EF">
      <w:pPr>
        <w:pStyle w:val="Default"/>
        <w:ind w:left="720" w:hanging="720"/>
        <w:rPr>
          <w:lang w:val="en-US"/>
        </w:rPr>
      </w:pPr>
      <w:r>
        <w:rPr>
          <w:lang w:val="en-US"/>
        </w:rPr>
        <w:t>of the models are held constant at their mean (or mode).</w:t>
      </w:r>
      <w:r w:rsidR="00354721">
        <w:rPr>
          <w:lang w:val="en-US"/>
        </w:rPr>
        <w:t xml:space="preserve"> The shaded area resembles the</w:t>
      </w:r>
    </w:p>
    <w:p w14:paraId="54B426B1" w14:textId="4FEF3E99" w:rsidR="0053439D" w:rsidRDefault="0053439D" w:rsidP="0053439D">
      <w:pPr>
        <w:pStyle w:val="Default"/>
        <w:ind w:left="720" w:hanging="720"/>
        <w:rPr>
          <w:lang w:val="en-US"/>
        </w:rPr>
      </w:pPr>
      <w:r>
        <w:rPr>
          <w:lang w:val="en-US"/>
        </w:rPr>
        <w:t xml:space="preserve">clustered </w:t>
      </w:r>
      <w:r w:rsidR="00354721">
        <w:rPr>
          <w:lang w:val="en-US"/>
        </w:rPr>
        <w:t>95% confidence intervals. At logged capital mobility of zero,</w:t>
      </w:r>
      <w:r w:rsidR="001B5D0B">
        <w:rPr>
          <w:lang w:val="en-US"/>
        </w:rPr>
        <w:t xml:space="preserve"> the coefficients </w:t>
      </w:r>
      <w:proofErr w:type="gramStart"/>
      <w:r w:rsidR="001B5D0B">
        <w:rPr>
          <w:lang w:val="en-US"/>
        </w:rPr>
        <w:t>shown</w:t>
      </w:r>
      <w:proofErr w:type="gramEnd"/>
    </w:p>
    <w:p w14:paraId="06AF6084" w14:textId="77777777" w:rsidR="0053439D" w:rsidRDefault="001B5D0B" w:rsidP="0053439D">
      <w:pPr>
        <w:pStyle w:val="Default"/>
        <w:ind w:left="720" w:hanging="720"/>
        <w:rPr>
          <w:lang w:val="en-US"/>
        </w:rPr>
      </w:pPr>
      <w:r>
        <w:rPr>
          <w:lang w:val="en-US"/>
        </w:rPr>
        <w:t xml:space="preserve">in figure 3 </w:t>
      </w:r>
      <w:r w:rsidRPr="001B5D0B">
        <w:rPr>
          <w:lang w:val="en-US"/>
        </w:rPr>
        <w:t>are</w:t>
      </w:r>
      <w:r w:rsidR="0053439D">
        <w:rPr>
          <w:lang w:val="en-US"/>
        </w:rPr>
        <w:t xml:space="preserve"> </w:t>
      </w:r>
      <w:r w:rsidRPr="001B5D0B">
        <w:rPr>
          <w:lang w:val="en-US"/>
        </w:rPr>
        <w:t>equivalent to the non-interacted coefficients of the preferences provided in the</w:t>
      </w:r>
    </w:p>
    <w:p w14:paraId="5B2762A2" w14:textId="77777777" w:rsidR="0053439D" w:rsidRDefault="001B5D0B" w:rsidP="0053439D">
      <w:pPr>
        <w:pStyle w:val="Default"/>
        <w:ind w:left="720" w:hanging="720"/>
        <w:rPr>
          <w:lang w:val="en-US"/>
        </w:rPr>
      </w:pPr>
      <w:r w:rsidRPr="001B5D0B">
        <w:rPr>
          <w:lang w:val="en-US"/>
        </w:rPr>
        <w:t>model output</w:t>
      </w:r>
      <w:r>
        <w:rPr>
          <w:lang w:val="en-US"/>
        </w:rPr>
        <w:t>.</w:t>
      </w:r>
      <w:r w:rsidR="0053439D">
        <w:rPr>
          <w:lang w:val="en-US"/>
        </w:rPr>
        <w:t xml:space="preserve"> </w:t>
      </w:r>
      <w:r w:rsidR="0053439D">
        <w:rPr>
          <w:lang w:val="en-US"/>
        </w:rPr>
        <w:t>At such level of capital mobility</w:t>
      </w:r>
      <w:r w:rsidR="0053439D">
        <w:rPr>
          <w:lang w:val="en-US"/>
        </w:rPr>
        <w:t>, o</w:t>
      </w:r>
      <w:r>
        <w:rPr>
          <w:lang w:val="en-US"/>
        </w:rPr>
        <w:t>ne can observe how only the preferences of</w:t>
      </w:r>
    </w:p>
    <w:p w14:paraId="2D3AD478" w14:textId="77777777" w:rsidR="00320355" w:rsidRDefault="001B5D0B" w:rsidP="0053439D">
      <w:pPr>
        <w:pStyle w:val="Default"/>
        <w:ind w:left="720" w:hanging="720"/>
        <w:rPr>
          <w:lang w:val="en-US"/>
        </w:rPr>
      </w:pPr>
      <w:r>
        <w:rPr>
          <w:lang w:val="en-US"/>
        </w:rPr>
        <w:t>the richest five percent are</w:t>
      </w:r>
      <w:r w:rsidR="0053439D">
        <w:rPr>
          <w:lang w:val="en-US"/>
        </w:rPr>
        <w:t xml:space="preserve"> statistically </w:t>
      </w:r>
      <w:r w:rsidR="006E4282">
        <w:rPr>
          <w:lang w:val="en-US"/>
        </w:rPr>
        <w:t>s</w:t>
      </w:r>
      <w:r>
        <w:rPr>
          <w:lang w:val="en-US"/>
        </w:rPr>
        <w:t>ignificant at</w:t>
      </w:r>
      <w:r w:rsidR="0053439D">
        <w:rPr>
          <w:lang w:val="en-US"/>
        </w:rPr>
        <w:t xml:space="preserve"> the 95 percent significance level.</w:t>
      </w:r>
      <w:r w:rsidR="00320355">
        <w:rPr>
          <w:lang w:val="en-US"/>
        </w:rPr>
        <w:t xml:space="preserve"> As the</w:t>
      </w:r>
    </w:p>
    <w:p w14:paraId="3D078FC2" w14:textId="77777777" w:rsidR="00320355" w:rsidRDefault="00320355" w:rsidP="00320355">
      <w:pPr>
        <w:pStyle w:val="Default"/>
        <w:ind w:left="720" w:hanging="720"/>
        <w:rPr>
          <w:lang w:val="en-US"/>
        </w:rPr>
      </w:pPr>
      <w:r w:rsidRPr="00320355">
        <w:rPr>
          <w:lang w:val="en-US"/>
        </w:rPr>
        <w:t>confidence interval of the medians' preferences barely exceeds the 0.00 cutoff</w:t>
      </w:r>
      <w:r>
        <w:rPr>
          <w:lang w:val="en-US"/>
        </w:rPr>
        <w:t xml:space="preserve">, the </w:t>
      </w:r>
      <w:r w:rsidRPr="00320355">
        <w:rPr>
          <w:lang w:val="en-US"/>
        </w:rPr>
        <w:t>non</w:t>
      </w:r>
      <w:r>
        <w:rPr>
          <w:lang w:val="en-US"/>
        </w:rPr>
        <w:t>-</w:t>
      </w:r>
    </w:p>
    <w:p w14:paraId="586E7F70" w14:textId="4E8AB62B" w:rsidR="00320355" w:rsidRDefault="00320355" w:rsidP="00320355">
      <w:pPr>
        <w:pStyle w:val="Default"/>
        <w:ind w:left="720" w:hanging="720"/>
        <w:rPr>
          <w:lang w:val="en-US"/>
        </w:rPr>
      </w:pPr>
      <w:r w:rsidRPr="00320355">
        <w:rPr>
          <w:lang w:val="en-US"/>
        </w:rPr>
        <w:t>interacted coefficient is only significant at the 90% level</w:t>
      </w:r>
      <w:r>
        <w:rPr>
          <w:lang w:val="en-US"/>
        </w:rPr>
        <w:t xml:space="preserve">. </w:t>
      </w:r>
      <w:proofErr w:type="gramStart"/>
      <w:r w:rsidR="0053439D">
        <w:rPr>
          <w:lang w:val="en-US"/>
        </w:rPr>
        <w:t>Based</w:t>
      </w:r>
      <w:proofErr w:type="gramEnd"/>
      <w:r w:rsidR="0053439D">
        <w:rPr>
          <w:lang w:val="en-US"/>
        </w:rPr>
        <w:t xml:space="preserve"> on the confidence intervals,</w:t>
      </w:r>
    </w:p>
    <w:p w14:paraId="55FFB9E0" w14:textId="77777777" w:rsidR="00320355" w:rsidRDefault="0053439D" w:rsidP="00320355">
      <w:pPr>
        <w:pStyle w:val="Default"/>
        <w:ind w:left="720" w:hanging="720"/>
        <w:rPr>
          <w:lang w:val="en-US"/>
        </w:rPr>
      </w:pPr>
      <w:r>
        <w:rPr>
          <w:lang w:val="en-US"/>
        </w:rPr>
        <w:t>one can also observe how preferences of the poor</w:t>
      </w:r>
      <w:r w:rsidR="00320355">
        <w:rPr>
          <w:lang w:val="en-US"/>
        </w:rPr>
        <w:t xml:space="preserve"> </w:t>
      </w:r>
      <w:r>
        <w:rPr>
          <w:lang w:val="en-US"/>
        </w:rPr>
        <w:t xml:space="preserve">only turn significant once logged </w:t>
      </w:r>
      <w:proofErr w:type="gramStart"/>
      <w:r>
        <w:rPr>
          <w:lang w:val="en-US"/>
        </w:rPr>
        <w:t>capital</w:t>
      </w:r>
      <w:proofErr w:type="gramEnd"/>
    </w:p>
    <w:p w14:paraId="3E2FD877" w14:textId="77777777" w:rsidR="00320355" w:rsidRDefault="0053439D" w:rsidP="00320355">
      <w:pPr>
        <w:pStyle w:val="Default"/>
        <w:ind w:left="720" w:hanging="720"/>
        <w:rPr>
          <w:lang w:val="en-US"/>
        </w:rPr>
      </w:pPr>
      <w:r>
        <w:rPr>
          <w:lang w:val="en-US"/>
        </w:rPr>
        <w:t xml:space="preserve">mobility </w:t>
      </w:r>
      <w:r w:rsidR="00320355">
        <w:rPr>
          <w:lang w:val="en-US"/>
        </w:rPr>
        <w:t>exceeds</w:t>
      </w:r>
      <w:r>
        <w:rPr>
          <w:lang w:val="en-US"/>
        </w:rPr>
        <w:t xml:space="preserve"> 1.4</w:t>
      </w:r>
      <w:r w:rsidR="00320355">
        <w:rPr>
          <w:lang w:val="en-US"/>
        </w:rPr>
        <w:t xml:space="preserve"> (corresponding to </w:t>
      </w:r>
      <w:r w:rsidR="00320355" w:rsidRPr="001035BA">
        <w:rPr>
          <w:lang w:val="en-US"/>
        </w:rPr>
        <w:t>financial flows</w:t>
      </w:r>
      <w:r w:rsidR="00320355">
        <w:rPr>
          <w:lang w:val="en-US"/>
        </w:rPr>
        <w:t xml:space="preserve"> that are four times the size of a</w:t>
      </w:r>
    </w:p>
    <w:p w14:paraId="1ECF28D5" w14:textId="1D088B3A" w:rsidR="00320355" w:rsidRDefault="00320355" w:rsidP="00320355">
      <w:pPr>
        <w:pStyle w:val="Default"/>
        <w:ind w:left="720" w:hanging="720"/>
        <w:rPr>
          <w:lang w:val="en-US"/>
        </w:rPr>
      </w:pPr>
      <w:r>
        <w:rPr>
          <w:lang w:val="en-US"/>
        </w:rPr>
        <w:t>nations’ GDP)</w:t>
      </w:r>
      <w:r w:rsidR="0053439D">
        <w:rPr>
          <w:lang w:val="en-US"/>
        </w:rPr>
        <w:t>.</w:t>
      </w:r>
      <w:r>
        <w:rPr>
          <w:lang w:val="en-US"/>
        </w:rPr>
        <w:t xml:space="preserve"> Whereas we know that the effect of capital mobility on the size of coefficients </w:t>
      </w:r>
    </w:p>
    <w:p w14:paraId="02D6B0F6" w14:textId="70E7AC4B" w:rsidR="00CC3CD0" w:rsidRDefault="00320355" w:rsidP="00320355">
      <w:pPr>
        <w:pStyle w:val="Default"/>
        <w:ind w:left="720" w:hanging="720"/>
        <w:rPr>
          <w:lang w:val="en-US"/>
        </w:rPr>
      </w:pPr>
      <w:r>
        <w:rPr>
          <w:lang w:val="en-US"/>
        </w:rPr>
        <w:t xml:space="preserve"> are not significant for the median and the rich, </w:t>
      </w:r>
      <w:r w:rsidR="00BA0C75">
        <w:rPr>
          <w:lang w:val="en-US"/>
        </w:rPr>
        <w:t>capital mobility</w:t>
      </w:r>
      <w:r w:rsidR="00B3312F">
        <w:rPr>
          <w:lang w:val="en-US"/>
        </w:rPr>
        <w:t xml:space="preserve"> </w:t>
      </w:r>
      <w:proofErr w:type="spellStart"/>
      <w:r w:rsidR="00BA0C75">
        <w:rPr>
          <w:lang w:val="en-US"/>
        </w:rPr>
        <w:t>signifcantly</w:t>
      </w:r>
      <w:proofErr w:type="spellEnd"/>
      <w:r w:rsidR="00B3312F">
        <w:rPr>
          <w:lang w:val="en-US"/>
        </w:rPr>
        <w:t xml:space="preserve"> increases</w:t>
      </w:r>
      <w:r w:rsidR="00CC3CD0">
        <w:rPr>
          <w:lang w:val="en-US"/>
        </w:rPr>
        <w:t xml:space="preserve"> the</w:t>
      </w:r>
    </w:p>
    <w:p w14:paraId="4B969809" w14:textId="77777777" w:rsidR="00BA0C75" w:rsidRDefault="00CC3CD0" w:rsidP="00CC3CD0">
      <w:pPr>
        <w:pStyle w:val="Default"/>
        <w:ind w:left="720" w:hanging="720"/>
        <w:rPr>
          <w:lang w:val="en-US"/>
        </w:rPr>
      </w:pPr>
      <w:r>
        <w:rPr>
          <w:lang w:val="en-US"/>
        </w:rPr>
        <w:t>influence of the poor</w:t>
      </w:r>
      <w:r w:rsidR="00BA0C75">
        <w:rPr>
          <w:lang w:val="en-US"/>
        </w:rPr>
        <w:t xml:space="preserve"> in determining the average change in welfare </w:t>
      </w:r>
      <w:proofErr w:type="gramStart"/>
      <w:r w:rsidR="00BA0C75">
        <w:rPr>
          <w:lang w:val="en-US"/>
        </w:rPr>
        <w:t xml:space="preserve">generosity </w:t>
      </w:r>
      <w:r>
        <w:rPr>
          <w:lang w:val="en-US"/>
        </w:rPr>
        <w:t>.</w:t>
      </w:r>
      <w:proofErr w:type="gramEnd"/>
      <w:r>
        <w:rPr>
          <w:lang w:val="en-US"/>
        </w:rPr>
        <w:t xml:space="preserve"> Specifically,</w:t>
      </w:r>
    </w:p>
    <w:p w14:paraId="737979A8" w14:textId="163D0577" w:rsidR="00BA0C75" w:rsidRDefault="00CC3CD0" w:rsidP="00BA0C75">
      <w:pPr>
        <w:pStyle w:val="Default"/>
        <w:ind w:left="720" w:hanging="720"/>
        <w:rPr>
          <w:lang w:val="en-US"/>
        </w:rPr>
      </w:pPr>
      <w:r>
        <w:rPr>
          <w:lang w:val="en-US"/>
        </w:rPr>
        <w:t xml:space="preserve">as </w:t>
      </w:r>
      <w:r w:rsidRPr="001123E8">
        <w:rPr>
          <w:lang w:val="en-US"/>
        </w:rPr>
        <w:t xml:space="preserve">logged capital mobility </w:t>
      </w:r>
      <w:r>
        <w:rPr>
          <w:lang w:val="en-US"/>
        </w:rPr>
        <w:t>increases</w:t>
      </w:r>
      <w:r w:rsidRPr="001123E8">
        <w:rPr>
          <w:lang w:val="en-US"/>
        </w:rPr>
        <w:t xml:space="preserve"> from 0 to 1, the</w:t>
      </w:r>
      <w:r w:rsidR="00BA0C75">
        <w:rPr>
          <w:lang w:val="en-US"/>
        </w:rPr>
        <w:t xml:space="preserve"> </w:t>
      </w:r>
      <w:r w:rsidRPr="001123E8">
        <w:rPr>
          <w:lang w:val="en-US"/>
        </w:rPr>
        <w:t>change in welfare generosity that</w:t>
      </w:r>
    </w:p>
    <w:p w14:paraId="46D60403" w14:textId="77777777" w:rsidR="00BA0C75" w:rsidRDefault="00CC3CD0" w:rsidP="00BA0C75">
      <w:pPr>
        <w:pStyle w:val="Default"/>
        <w:ind w:left="720" w:hanging="720"/>
        <w:rPr>
          <w:lang w:val="en-US"/>
        </w:rPr>
      </w:pPr>
      <w:r w:rsidRPr="001123E8">
        <w:rPr>
          <w:lang w:val="en-US"/>
        </w:rPr>
        <w:t>results from an additional 1% of the poor favoring</w:t>
      </w:r>
      <w:r w:rsidR="00BA0C75">
        <w:rPr>
          <w:lang w:val="en-US"/>
        </w:rPr>
        <w:t xml:space="preserve"> </w:t>
      </w:r>
      <w:r w:rsidRPr="001123E8">
        <w:rPr>
          <w:lang w:val="en-US"/>
        </w:rPr>
        <w:t xml:space="preserve">more welfare expenditure </w:t>
      </w:r>
      <w:r>
        <w:rPr>
          <w:lang w:val="en-US"/>
        </w:rPr>
        <w:t>increases</w:t>
      </w:r>
      <w:r w:rsidRPr="001123E8">
        <w:rPr>
          <w:lang w:val="en-US"/>
        </w:rPr>
        <w:t xml:space="preserve"> from </w:t>
      </w:r>
    </w:p>
    <w:p w14:paraId="190FD13D" w14:textId="77777777" w:rsidR="00BA0C75" w:rsidRDefault="00CC3CD0" w:rsidP="00BA0C75">
      <w:pPr>
        <w:pStyle w:val="Default"/>
        <w:ind w:left="720" w:hanging="720"/>
        <w:rPr>
          <w:lang w:val="en-US"/>
        </w:rPr>
      </w:pPr>
      <w:r w:rsidRPr="001123E8">
        <w:rPr>
          <w:lang w:val="en-US"/>
        </w:rPr>
        <w:t>0.012 to 0.031.</w:t>
      </w:r>
      <w:r>
        <w:rPr>
          <w:lang w:val="en-US"/>
        </w:rPr>
        <w:t xml:space="preserve"> For countries in which capital</w:t>
      </w:r>
      <w:r w:rsidR="00BA0C75">
        <w:rPr>
          <w:lang w:val="en-US"/>
        </w:rPr>
        <w:t xml:space="preserve"> </w:t>
      </w:r>
      <w:r>
        <w:rPr>
          <w:lang w:val="en-US"/>
        </w:rPr>
        <w:t>streams are nearly twenty times are large as its</w:t>
      </w:r>
    </w:p>
    <w:p w14:paraId="370A81EB" w14:textId="77777777" w:rsidR="00BA0C75" w:rsidRDefault="00CC3CD0" w:rsidP="00BA0C75">
      <w:pPr>
        <w:pStyle w:val="Default"/>
        <w:ind w:left="720" w:hanging="720"/>
        <w:rPr>
          <w:lang w:val="en-US"/>
        </w:rPr>
      </w:pPr>
      <w:r>
        <w:rPr>
          <w:lang w:val="en-US"/>
        </w:rPr>
        <w:t>GDP (corresponding to logged capital</w:t>
      </w:r>
      <w:r w:rsidR="00BA0C75">
        <w:rPr>
          <w:lang w:val="en-US"/>
        </w:rPr>
        <w:t xml:space="preserve"> </w:t>
      </w:r>
      <w:r>
        <w:rPr>
          <w:lang w:val="en-US"/>
        </w:rPr>
        <w:t>mobility of 3)</w:t>
      </w:r>
      <w:r>
        <w:rPr>
          <w:rStyle w:val="FootnoteReference"/>
          <w:lang w:val="en-US"/>
        </w:rPr>
        <w:footnoteReference w:id="4"/>
      </w:r>
      <w:r>
        <w:rPr>
          <w:lang w:val="en-US"/>
        </w:rPr>
        <w:t xml:space="preserve">, the average increase in </w:t>
      </w:r>
      <w:proofErr w:type="gramStart"/>
      <w:r>
        <w:rPr>
          <w:lang w:val="en-US"/>
        </w:rPr>
        <w:t>welfare</w:t>
      </w:r>
      <w:proofErr w:type="gramEnd"/>
    </w:p>
    <w:p w14:paraId="7EFA5E63" w14:textId="77777777" w:rsidR="00BA0C75" w:rsidRDefault="00CC3CD0" w:rsidP="00BA0C75">
      <w:pPr>
        <w:pStyle w:val="Default"/>
        <w:ind w:left="720" w:hanging="720"/>
        <w:rPr>
          <w:lang w:val="en-US"/>
        </w:rPr>
      </w:pPr>
      <w:r>
        <w:rPr>
          <w:lang w:val="en-US"/>
        </w:rPr>
        <w:t>generosity resulting from a unit change in</w:t>
      </w:r>
      <w:r w:rsidR="00BA0C75">
        <w:rPr>
          <w:lang w:val="en-US"/>
        </w:rPr>
        <w:t xml:space="preserve"> </w:t>
      </w:r>
      <w:r>
        <w:rPr>
          <w:lang w:val="en-US"/>
        </w:rPr>
        <w:t xml:space="preserve">preferences rises to 0.075. </w:t>
      </w:r>
      <w:r w:rsidRPr="001035BA">
        <w:rPr>
          <w:lang w:val="en-US"/>
        </w:rPr>
        <w:t>In nations with the</w:t>
      </w:r>
    </w:p>
    <w:p w14:paraId="1040A658" w14:textId="77777777" w:rsidR="00BA0C75" w:rsidRDefault="00CC3CD0" w:rsidP="00BA0C75">
      <w:pPr>
        <w:pStyle w:val="Default"/>
        <w:ind w:left="720" w:hanging="720"/>
        <w:rPr>
          <w:lang w:val="en-US"/>
        </w:rPr>
      </w:pPr>
      <w:r w:rsidRPr="001035BA">
        <w:rPr>
          <w:lang w:val="en-US"/>
        </w:rPr>
        <w:t xml:space="preserve">highest financial flows, the impact of the </w:t>
      </w:r>
      <w:r>
        <w:rPr>
          <w:lang w:val="en-US"/>
        </w:rPr>
        <w:t>least</w:t>
      </w:r>
      <w:r w:rsidR="00BA0C75">
        <w:rPr>
          <w:lang w:val="en-US"/>
        </w:rPr>
        <w:t xml:space="preserve"> </w:t>
      </w:r>
      <w:r>
        <w:rPr>
          <w:lang w:val="en-US"/>
        </w:rPr>
        <w:t>affluent</w:t>
      </w:r>
      <w:r w:rsidRPr="001035BA">
        <w:rPr>
          <w:lang w:val="en-US"/>
        </w:rPr>
        <w:t xml:space="preserve"> is almost two times greater than </w:t>
      </w:r>
      <w:proofErr w:type="gramStart"/>
      <w:r w:rsidRPr="001035BA">
        <w:rPr>
          <w:lang w:val="en-US"/>
        </w:rPr>
        <w:t>that</w:t>
      </w:r>
      <w:proofErr w:type="gramEnd"/>
      <w:r w:rsidRPr="001035BA">
        <w:rPr>
          <w:lang w:val="en-US"/>
        </w:rPr>
        <w:t xml:space="preserve"> </w:t>
      </w:r>
    </w:p>
    <w:p w14:paraId="35CA98AB" w14:textId="0B7A042F" w:rsidR="0053439D" w:rsidRDefault="00CC3CD0" w:rsidP="00BA0C75">
      <w:pPr>
        <w:pStyle w:val="Default"/>
        <w:ind w:left="720" w:hanging="720"/>
        <w:rPr>
          <w:lang w:val="en-US"/>
        </w:rPr>
      </w:pPr>
      <w:r w:rsidRPr="001035BA">
        <w:rPr>
          <w:lang w:val="en-US"/>
        </w:rPr>
        <w:t>of their peers.</w:t>
      </w:r>
    </w:p>
    <w:p w14:paraId="12836A39" w14:textId="77777777" w:rsidR="001123E8" w:rsidRDefault="001123E8" w:rsidP="002B1967">
      <w:pPr>
        <w:pStyle w:val="Default"/>
        <w:rPr>
          <w:rStyle w:val="jss1856"/>
          <w:rFonts w:ascii="Open Sans" w:hAnsi="Open Sans" w:cs="Open Sans"/>
          <w:color w:val="252525"/>
          <w:sz w:val="21"/>
          <w:szCs w:val="21"/>
        </w:rPr>
      </w:pPr>
    </w:p>
    <w:p w14:paraId="01C8AF2B" w14:textId="77777777" w:rsidR="00354721" w:rsidRDefault="00354721" w:rsidP="00354721">
      <w:pPr>
        <w:pStyle w:val="Default"/>
        <w:rPr>
          <w:lang w:val="en-US"/>
        </w:rPr>
      </w:pPr>
      <w:r>
        <w:rPr>
          <w:lang w:val="en-US"/>
        </w:rPr>
        <w:t>Additionally, the models depicted in table 2 show several essential aspects to consider. The Net International Investment Position is only significant for the model that assesses the influence on the poorest citizens (p =</w:t>
      </w:r>
      <w:r w:rsidRPr="004E1F89">
        <w:rPr>
          <w:lang w:val="en-US"/>
        </w:rPr>
        <w:t>0.056</w:t>
      </w:r>
      <w:r>
        <w:rPr>
          <w:lang w:val="en-US"/>
        </w:rPr>
        <w:t xml:space="preserve">). When the NIIP grows from 0 to 1 (0 to 100% of its GDP), the average change in welfare grows by </w:t>
      </w:r>
      <w:r w:rsidRPr="004E1F89">
        <w:rPr>
          <w:lang w:val="en-US"/>
        </w:rPr>
        <w:t>1.383</w:t>
      </w:r>
      <w:r>
        <w:rPr>
          <w:lang w:val="en-US"/>
        </w:rPr>
        <w:t xml:space="preserve">. </w:t>
      </w:r>
      <w:r w:rsidRPr="004E1F89">
        <w:rPr>
          <w:lang w:val="en-US"/>
        </w:rPr>
        <w:t>An NIIP of 1 means that residents possess as much wealth abroad as their nation's whole GDP.</w:t>
      </w:r>
      <w:r>
        <w:rPr>
          <w:lang w:val="en-US"/>
        </w:rPr>
        <w:t xml:space="preserve"> Considering the mean of the average change in welfare is </w:t>
      </w:r>
      <w:r w:rsidRPr="002A7C87">
        <w:rPr>
          <w:lang w:val="en-US"/>
        </w:rPr>
        <w:t>0.75</w:t>
      </w:r>
      <w:r>
        <w:rPr>
          <w:lang w:val="en-US"/>
        </w:rPr>
        <w:t xml:space="preserve">, the magnitude of the NIIP coefficient is substantial. </w:t>
      </w:r>
    </w:p>
    <w:p w14:paraId="0D7D1C59" w14:textId="3AD8C4A5" w:rsidR="00222C85" w:rsidRDefault="00222C85" w:rsidP="00354721">
      <w:pPr>
        <w:pStyle w:val="Default"/>
        <w:rPr>
          <w:lang w:val="en-US"/>
        </w:rPr>
      </w:pPr>
      <w:r>
        <w:rPr>
          <w:lang w:val="en-US"/>
        </w:rPr>
        <w:t>However, the</w:t>
      </w:r>
      <w:r w:rsidR="00354721">
        <w:rPr>
          <w:lang w:val="en-US"/>
        </w:rPr>
        <w:t xml:space="preserve"> NIIP seems moderately influential (only at 90% sign.) in determining the level of welfare generosity when the change in generosity is predicted by the poorest citizens.</w:t>
      </w:r>
      <w:r w:rsidR="006A34AB">
        <w:rPr>
          <w:lang w:val="en-US"/>
        </w:rPr>
        <w:t xml:space="preserve"> </w:t>
      </w:r>
      <w:r w:rsidR="00462651">
        <w:rPr>
          <w:lang w:val="en-US"/>
        </w:rPr>
        <w:t>This effect</w:t>
      </w:r>
      <w:r w:rsidR="006A34AB">
        <w:rPr>
          <w:lang w:val="en-US"/>
        </w:rPr>
        <w:t xml:space="preserve"> vanishes when changes in welfare generosity is predicted by the </w:t>
      </w:r>
      <w:r w:rsidR="00462651">
        <w:rPr>
          <w:lang w:val="en-US"/>
        </w:rPr>
        <w:t xml:space="preserve">preferences of the </w:t>
      </w:r>
      <w:r w:rsidR="006A34AB">
        <w:rPr>
          <w:lang w:val="en-US"/>
        </w:rPr>
        <w:t xml:space="preserve">median </w:t>
      </w:r>
      <w:r w:rsidR="00462651">
        <w:rPr>
          <w:lang w:val="en-US"/>
        </w:rPr>
        <w:t>or the rich</w:t>
      </w:r>
      <w:r w:rsidR="00F5557D">
        <w:rPr>
          <w:lang w:val="en-US"/>
        </w:rPr>
        <w:t xml:space="preserve">. </w:t>
      </w:r>
      <w:r>
        <w:rPr>
          <w:lang w:val="en-US"/>
        </w:rPr>
        <w:t xml:space="preserve">In theory, to properly understand the effect of the NIIP on the relationship between the preferences of income groups and welfare outcomes, one would have to interact the preferences with the NIIP. Whilst this is beyond the scope of this paper, </w:t>
      </w:r>
      <w:r w:rsidRPr="00222C85">
        <w:rPr>
          <w:lang w:val="en-US"/>
        </w:rPr>
        <w:t xml:space="preserve">the fact that the NIIP is only relevant in the model that evaluates the </w:t>
      </w:r>
      <w:r w:rsidR="006927ED" w:rsidRPr="00222C85">
        <w:rPr>
          <w:lang w:val="en-US"/>
        </w:rPr>
        <w:t>opinions</w:t>
      </w:r>
      <w:r w:rsidRPr="00222C85">
        <w:rPr>
          <w:lang w:val="en-US"/>
        </w:rPr>
        <w:t xml:space="preserve"> of the least wealthy may suggest that a </w:t>
      </w:r>
      <w:r w:rsidR="00A64A34">
        <w:rPr>
          <w:lang w:val="en-US"/>
        </w:rPr>
        <w:t>positive</w:t>
      </w:r>
      <w:r w:rsidRPr="00222C85">
        <w:rPr>
          <w:lang w:val="en-US"/>
        </w:rPr>
        <w:t xml:space="preserve"> NIIP is more important for the underprivileged than the wealthy</w:t>
      </w:r>
      <w:r w:rsidR="00A64A34">
        <w:rPr>
          <w:lang w:val="en-US"/>
        </w:rPr>
        <w:t xml:space="preserve">. </w:t>
      </w:r>
    </w:p>
    <w:p w14:paraId="07BFE352" w14:textId="0FD2CE7A" w:rsidR="00222C85" w:rsidRDefault="00222C85" w:rsidP="006927ED">
      <w:pPr>
        <w:pStyle w:val="Default"/>
        <w:ind w:left="720" w:hanging="720"/>
        <w:rPr>
          <w:lang w:val="en-US"/>
        </w:rPr>
      </w:pPr>
    </w:p>
    <w:p w14:paraId="01D56E8E" w14:textId="77777777" w:rsidR="00A64A34" w:rsidRDefault="00A64A34" w:rsidP="00A64A34">
      <w:pPr>
        <w:pStyle w:val="Default"/>
        <w:ind w:left="720" w:hanging="720"/>
        <w:rPr>
          <w:lang w:val="en-US"/>
        </w:rPr>
      </w:pPr>
      <w:r>
        <w:rPr>
          <w:lang w:val="en-US"/>
        </w:rPr>
        <w:t xml:space="preserve">The reported R-squared marginal in table 2 </w:t>
      </w:r>
      <w:r w:rsidR="00543D6B" w:rsidRPr="00543D6B">
        <w:rPr>
          <w:lang w:val="en-DE"/>
        </w:rPr>
        <w:t>represents the proportion of variance</w:t>
      </w:r>
      <w:r w:rsidRPr="00A64A34">
        <w:rPr>
          <w:lang w:val="en-US"/>
        </w:rPr>
        <w:t xml:space="preserve"> </w:t>
      </w:r>
      <w:r>
        <w:rPr>
          <w:lang w:val="en-US"/>
        </w:rPr>
        <w:t>of the</w:t>
      </w:r>
    </w:p>
    <w:p w14:paraId="7D85EDDA" w14:textId="77777777" w:rsidR="00A64A34" w:rsidRDefault="00A64A34" w:rsidP="00A64A34">
      <w:pPr>
        <w:pStyle w:val="Default"/>
        <w:ind w:left="720" w:hanging="720"/>
        <w:rPr>
          <w:lang w:val="en-DE"/>
        </w:rPr>
      </w:pPr>
      <w:r>
        <w:rPr>
          <w:lang w:val="en-US"/>
        </w:rPr>
        <w:t xml:space="preserve">average change in welfare </w:t>
      </w:r>
      <w:r w:rsidRPr="00A64A34">
        <w:rPr>
          <w:lang w:val="en-US"/>
        </w:rPr>
        <w:t>gene</w:t>
      </w:r>
      <w:r>
        <w:rPr>
          <w:lang w:val="en-US"/>
        </w:rPr>
        <w:t xml:space="preserve">rosity </w:t>
      </w:r>
      <w:r w:rsidR="00543D6B" w:rsidRPr="00543D6B">
        <w:rPr>
          <w:lang w:val="en-DE"/>
        </w:rPr>
        <w:t>explained</w:t>
      </w:r>
      <w:r w:rsidRPr="00A64A34">
        <w:rPr>
          <w:lang w:val="en-US"/>
        </w:rPr>
        <w:t xml:space="preserve"> </w:t>
      </w:r>
      <w:r w:rsidR="00543D6B" w:rsidRPr="00543D6B">
        <w:rPr>
          <w:lang w:val="en-DE"/>
        </w:rPr>
        <w:t>by the fixed predictors alone. On the other</w:t>
      </w:r>
    </w:p>
    <w:p w14:paraId="1A0E246B" w14:textId="77777777" w:rsidR="005D0B5A" w:rsidRDefault="00543D6B" w:rsidP="00A64A34">
      <w:pPr>
        <w:pStyle w:val="Default"/>
        <w:ind w:left="720" w:hanging="720"/>
        <w:rPr>
          <w:lang w:val="en-DE"/>
        </w:rPr>
      </w:pPr>
      <w:r w:rsidRPr="00543D6B">
        <w:rPr>
          <w:lang w:val="en-DE"/>
        </w:rPr>
        <w:t xml:space="preserve">hand, </w:t>
      </w:r>
      <w:r w:rsidR="00A64A34">
        <w:rPr>
          <w:lang w:val="en-US"/>
        </w:rPr>
        <w:t xml:space="preserve">R-squared </w:t>
      </w:r>
      <w:r w:rsidRPr="00543D6B">
        <w:rPr>
          <w:lang w:val="en-DE"/>
        </w:rPr>
        <w:t>conditional takes into account both the fixed and random effects, providing</w:t>
      </w:r>
    </w:p>
    <w:p w14:paraId="0E6DA54B" w14:textId="25FEB4C1" w:rsidR="006E157F" w:rsidRDefault="00543D6B" w:rsidP="006E157F">
      <w:pPr>
        <w:pStyle w:val="Default"/>
        <w:ind w:left="720" w:hanging="720"/>
        <w:rPr>
          <w:lang w:val="en-DE"/>
        </w:rPr>
      </w:pPr>
      <w:r w:rsidRPr="00543D6B">
        <w:rPr>
          <w:lang w:val="en-DE"/>
        </w:rPr>
        <w:t>measure of the total variance explained by all predictors</w:t>
      </w:r>
      <w:r w:rsidR="006E157F" w:rsidRPr="006E157F">
        <w:rPr>
          <w:lang w:val="en-US"/>
        </w:rPr>
        <w:t>.</w:t>
      </w:r>
      <w:r w:rsidR="005D0B5A" w:rsidRPr="005D0B5A">
        <w:rPr>
          <w:lang w:val="en-US"/>
        </w:rPr>
        <w:t xml:space="preserve"> </w:t>
      </w:r>
      <w:r w:rsidR="006E157F" w:rsidRPr="006E157F">
        <w:rPr>
          <w:lang w:val="en-US"/>
        </w:rPr>
        <w:t>In comparison to</w:t>
      </w:r>
      <w:r w:rsidR="006E157F">
        <w:rPr>
          <w:lang w:val="en-US"/>
        </w:rPr>
        <w:t xml:space="preserve"> </w:t>
      </w:r>
      <w:r w:rsidR="006E157F" w:rsidRPr="006E157F">
        <w:rPr>
          <w:lang w:val="en-US"/>
        </w:rPr>
        <w:t xml:space="preserve">the other models, </w:t>
      </w:r>
    </w:p>
    <w:p w14:paraId="7C31687C" w14:textId="77777777" w:rsidR="006E157F" w:rsidRDefault="00543D6B" w:rsidP="006E157F">
      <w:pPr>
        <w:pStyle w:val="Default"/>
        <w:ind w:left="720" w:hanging="720"/>
        <w:rPr>
          <w:lang w:val="en-DE"/>
        </w:rPr>
      </w:pPr>
      <w:r w:rsidRPr="00543D6B">
        <w:rPr>
          <w:lang w:val="en-DE"/>
        </w:rPr>
        <w:t>the model that</w:t>
      </w:r>
      <w:r w:rsidR="006E157F">
        <w:rPr>
          <w:lang w:val="en-US"/>
        </w:rPr>
        <w:t xml:space="preserve"> </w:t>
      </w:r>
      <w:r w:rsidR="006E157F" w:rsidRPr="006E157F">
        <w:rPr>
          <w:lang w:val="en-US"/>
        </w:rPr>
        <w:t>regresses</w:t>
      </w:r>
      <w:r w:rsidRPr="00543D6B">
        <w:rPr>
          <w:lang w:val="en-DE"/>
        </w:rPr>
        <w:t xml:space="preserve"> the preferences of the poorest 5 percent</w:t>
      </w:r>
      <w:r w:rsidR="006E157F" w:rsidRPr="006E157F">
        <w:rPr>
          <w:lang w:val="en-US"/>
        </w:rPr>
        <w:t xml:space="preserve"> hast </w:t>
      </w:r>
      <w:r w:rsidR="006E157F">
        <w:rPr>
          <w:lang w:val="en-US"/>
        </w:rPr>
        <w:t xml:space="preserve">the lowest </w:t>
      </w:r>
      <w:r w:rsidRPr="00543D6B">
        <w:rPr>
          <w:lang w:val="en-DE"/>
        </w:rPr>
        <w:t>R2 marginal</w:t>
      </w:r>
    </w:p>
    <w:p w14:paraId="092288F2" w14:textId="77777777" w:rsidR="006E157F" w:rsidRDefault="006E157F" w:rsidP="006E157F">
      <w:pPr>
        <w:pStyle w:val="Default"/>
        <w:ind w:left="720" w:hanging="720"/>
        <w:rPr>
          <w:lang w:val="en-DE"/>
        </w:rPr>
      </w:pPr>
      <w:r w:rsidRPr="006E157F">
        <w:rPr>
          <w:lang w:val="en-US"/>
        </w:rPr>
        <w:t xml:space="preserve">which </w:t>
      </w:r>
      <w:r w:rsidR="00543D6B" w:rsidRPr="00543D6B">
        <w:rPr>
          <w:lang w:val="en-DE"/>
        </w:rPr>
        <w:t>suggests</w:t>
      </w:r>
      <w:r w:rsidRPr="006E157F">
        <w:rPr>
          <w:lang w:val="en-US"/>
        </w:rPr>
        <w:t xml:space="preserve"> that </w:t>
      </w:r>
      <w:r w:rsidR="00543D6B" w:rsidRPr="00543D6B">
        <w:rPr>
          <w:lang w:val="en-DE"/>
        </w:rPr>
        <w:t>the preferences of the poorest 5 percent</w:t>
      </w:r>
      <w:r w:rsidRPr="006E157F">
        <w:rPr>
          <w:lang w:val="en-US"/>
        </w:rPr>
        <w:t xml:space="preserve"> </w:t>
      </w:r>
      <w:r w:rsidR="00543D6B" w:rsidRPr="00543D6B">
        <w:rPr>
          <w:lang w:val="en-DE"/>
        </w:rPr>
        <w:t>contribute relatively less</w:t>
      </w:r>
      <w:r w:rsidRPr="006E157F">
        <w:rPr>
          <w:lang w:val="en-US"/>
        </w:rPr>
        <w:t xml:space="preserve"> </w:t>
      </w:r>
      <w:proofErr w:type="gramStart"/>
      <w:r w:rsidR="00543D6B" w:rsidRPr="00543D6B">
        <w:rPr>
          <w:lang w:val="en-DE"/>
        </w:rPr>
        <w:t>to</w:t>
      </w:r>
      <w:proofErr w:type="gramEnd"/>
    </w:p>
    <w:p w14:paraId="4EE49775" w14:textId="77777777" w:rsidR="006E157F" w:rsidRDefault="00543D6B" w:rsidP="006E157F">
      <w:pPr>
        <w:pStyle w:val="Default"/>
        <w:ind w:left="720" w:hanging="720"/>
        <w:rPr>
          <w:lang w:val="en-US"/>
        </w:rPr>
      </w:pPr>
      <w:r w:rsidRPr="00543D6B">
        <w:rPr>
          <w:lang w:val="en-DE"/>
        </w:rPr>
        <w:t>explain</w:t>
      </w:r>
      <w:r w:rsidR="006E157F" w:rsidRPr="006E157F">
        <w:rPr>
          <w:lang w:val="en-US"/>
        </w:rPr>
        <w:t xml:space="preserve"> </w:t>
      </w:r>
      <w:r w:rsidRPr="00543D6B">
        <w:rPr>
          <w:lang w:val="en-DE"/>
        </w:rPr>
        <w:t>the variance in</w:t>
      </w:r>
      <w:r w:rsidR="006E157F">
        <w:rPr>
          <w:lang w:val="en-US"/>
        </w:rPr>
        <w:t xml:space="preserve"> </w:t>
      </w:r>
      <w:r w:rsidRPr="00543D6B">
        <w:rPr>
          <w:lang w:val="en-DE"/>
        </w:rPr>
        <w:t xml:space="preserve">the </w:t>
      </w:r>
      <w:r w:rsidR="006E157F" w:rsidRPr="006E157F">
        <w:rPr>
          <w:lang w:val="en-US"/>
        </w:rPr>
        <w:t xml:space="preserve">change in welfare generosity. </w:t>
      </w:r>
      <w:r w:rsidRPr="00543D6B">
        <w:rPr>
          <w:lang w:val="en-DE"/>
        </w:rPr>
        <w:t>However,</w:t>
      </w:r>
      <w:r w:rsidR="006E157F" w:rsidRPr="006E157F">
        <w:rPr>
          <w:lang w:val="en-US"/>
        </w:rPr>
        <w:t xml:space="preserve"> </w:t>
      </w:r>
      <w:r w:rsidRPr="00543D6B">
        <w:rPr>
          <w:lang w:val="en-DE"/>
        </w:rPr>
        <w:t xml:space="preserve">the higher </w:t>
      </w:r>
      <w:r w:rsidR="006E157F">
        <w:rPr>
          <w:lang w:val="en-US"/>
        </w:rPr>
        <w:t xml:space="preserve">R-squared </w:t>
      </w:r>
    </w:p>
    <w:p w14:paraId="56FD64D2" w14:textId="77777777" w:rsidR="006E157F" w:rsidRDefault="006E157F" w:rsidP="006E157F">
      <w:pPr>
        <w:pStyle w:val="Default"/>
        <w:ind w:left="720" w:hanging="720"/>
        <w:rPr>
          <w:lang w:val="en-DE"/>
        </w:rPr>
      </w:pPr>
      <w:r w:rsidRPr="00543D6B">
        <w:rPr>
          <w:lang w:val="en-DE"/>
        </w:rPr>
        <w:t xml:space="preserve">conditional </w:t>
      </w:r>
      <w:r w:rsidR="00543D6B" w:rsidRPr="00543D6B">
        <w:rPr>
          <w:lang w:val="en-DE"/>
        </w:rPr>
        <w:t xml:space="preserve">indicates that when combined with the </w:t>
      </w:r>
      <w:r w:rsidRPr="006E157F">
        <w:rPr>
          <w:lang w:val="en-US"/>
        </w:rPr>
        <w:t>co</w:t>
      </w:r>
      <w:r>
        <w:rPr>
          <w:lang w:val="en-US"/>
        </w:rPr>
        <w:t xml:space="preserve">untry specific effects, </w:t>
      </w:r>
      <w:r w:rsidR="00543D6B" w:rsidRPr="00543D6B">
        <w:rPr>
          <w:lang w:val="en-DE"/>
        </w:rPr>
        <w:t>including the</w:t>
      </w:r>
    </w:p>
    <w:p w14:paraId="44A92EE8" w14:textId="538F0FD9" w:rsidR="006E157F" w:rsidRPr="006E157F" w:rsidRDefault="00543D6B" w:rsidP="006E157F">
      <w:pPr>
        <w:pStyle w:val="Default"/>
        <w:ind w:left="720" w:hanging="720"/>
        <w:rPr>
          <w:lang w:val="en-US"/>
        </w:rPr>
      </w:pPr>
      <w:r w:rsidRPr="00543D6B">
        <w:rPr>
          <w:lang w:val="en-DE"/>
        </w:rPr>
        <w:t xml:space="preserve">preferences of the poorest 5 percent </w:t>
      </w:r>
      <w:r w:rsidR="006E157F" w:rsidRPr="006E157F">
        <w:rPr>
          <w:lang w:val="en-US"/>
        </w:rPr>
        <w:t>yields the best</w:t>
      </w:r>
      <w:r w:rsidRPr="00543D6B">
        <w:rPr>
          <w:lang w:val="en-DE"/>
        </w:rPr>
        <w:t xml:space="preserve"> overall</w:t>
      </w:r>
      <w:r w:rsidR="006E157F">
        <w:rPr>
          <w:lang w:val="en-US"/>
        </w:rPr>
        <w:t xml:space="preserve"> </w:t>
      </w:r>
      <w:r w:rsidRPr="00543D6B">
        <w:rPr>
          <w:lang w:val="en-DE"/>
        </w:rPr>
        <w:t>model fit and explains</w:t>
      </w:r>
      <w:r w:rsidR="006E157F" w:rsidRPr="006E157F">
        <w:rPr>
          <w:lang w:val="en-US"/>
        </w:rPr>
        <w:t xml:space="preserve"> the</w:t>
      </w:r>
      <w:r w:rsidRPr="00543D6B">
        <w:rPr>
          <w:lang w:val="en-DE"/>
        </w:rPr>
        <w:t xml:space="preserve"> large</w:t>
      </w:r>
      <w:proofErr w:type="spellStart"/>
      <w:r w:rsidR="006E157F" w:rsidRPr="006E157F">
        <w:rPr>
          <w:lang w:val="en-US"/>
        </w:rPr>
        <w:t>st</w:t>
      </w:r>
      <w:proofErr w:type="spellEnd"/>
    </w:p>
    <w:p w14:paraId="6EEAF212" w14:textId="61D1FB55" w:rsidR="006E157F" w:rsidRDefault="00543D6B" w:rsidP="006E157F">
      <w:pPr>
        <w:pStyle w:val="Default"/>
        <w:ind w:left="720" w:hanging="720"/>
        <w:rPr>
          <w:lang w:val="en-DE"/>
        </w:rPr>
      </w:pPr>
      <w:r w:rsidRPr="00543D6B">
        <w:rPr>
          <w:lang w:val="en-DE"/>
        </w:rPr>
        <w:t>proportion of the total varianc</w:t>
      </w:r>
      <w:r w:rsidR="006E157F" w:rsidRPr="006E157F">
        <w:rPr>
          <w:lang w:val="en-US"/>
        </w:rPr>
        <w:t>e.</w:t>
      </w:r>
      <w:r w:rsidR="00837D66">
        <w:rPr>
          <w:lang w:val="en-US"/>
        </w:rPr>
        <w:t xml:space="preserve"> </w:t>
      </w:r>
      <w:r w:rsidR="006E157F">
        <w:rPr>
          <w:lang w:val="en-US"/>
        </w:rPr>
        <w:t xml:space="preserve">As the difference between </w:t>
      </w:r>
      <w:r w:rsidR="006E157F">
        <w:rPr>
          <w:lang w:val="en-US"/>
        </w:rPr>
        <w:t>R-squared marginal</w:t>
      </w:r>
      <w:r w:rsidR="006E157F">
        <w:rPr>
          <w:lang w:val="en-US"/>
        </w:rPr>
        <w:t xml:space="preserve"> and </w:t>
      </w:r>
      <w:r w:rsidR="006E157F" w:rsidRPr="00543D6B">
        <w:rPr>
          <w:lang w:val="en-DE"/>
        </w:rPr>
        <w:t xml:space="preserve"> </w:t>
      </w:r>
    </w:p>
    <w:p w14:paraId="258D8CDC" w14:textId="77777777" w:rsidR="00837D66" w:rsidRDefault="006E157F" w:rsidP="00837D66">
      <w:pPr>
        <w:pStyle w:val="Default"/>
        <w:ind w:left="720" w:hanging="720"/>
        <w:rPr>
          <w:lang w:val="en-US"/>
        </w:rPr>
      </w:pPr>
      <w:r>
        <w:rPr>
          <w:lang w:val="en-US"/>
        </w:rPr>
        <w:lastRenderedPageBreak/>
        <w:t>R-</w:t>
      </w:r>
      <w:r>
        <w:rPr>
          <w:lang w:val="en-US"/>
        </w:rPr>
        <w:t xml:space="preserve">squared </w:t>
      </w:r>
      <w:r w:rsidRPr="00543D6B">
        <w:rPr>
          <w:lang w:val="en-DE"/>
        </w:rPr>
        <w:t>conditional</w:t>
      </w:r>
      <w:r w:rsidRPr="006E157F">
        <w:rPr>
          <w:lang w:val="en-US"/>
        </w:rPr>
        <w:t xml:space="preserve"> is the large</w:t>
      </w:r>
      <w:r>
        <w:rPr>
          <w:lang w:val="en-US"/>
        </w:rPr>
        <w:t>st for</w:t>
      </w:r>
      <w:r w:rsidR="00837D66">
        <w:rPr>
          <w:lang w:val="en-US"/>
        </w:rPr>
        <w:t xml:space="preserve"> the model that focuses on the preferences of the poor,</w:t>
      </w:r>
    </w:p>
    <w:p w14:paraId="323F3FF1" w14:textId="7E87C280" w:rsidR="00F95D66" w:rsidRDefault="00837D66" w:rsidP="00F95D66">
      <w:pPr>
        <w:pStyle w:val="Default"/>
        <w:rPr>
          <w:lang w:val="en-US"/>
        </w:rPr>
      </w:pPr>
      <w:r>
        <w:rPr>
          <w:lang w:val="en-US"/>
        </w:rPr>
        <w:t xml:space="preserve">it suggests that cross country variation seems to </w:t>
      </w:r>
      <w:r w:rsidR="00F95D66">
        <w:rPr>
          <w:lang w:val="en-US"/>
        </w:rPr>
        <w:t>capture more of</w:t>
      </w:r>
    </w:p>
    <w:p w14:paraId="66C95F5A" w14:textId="77777777" w:rsidR="00F95D66" w:rsidRDefault="00F95D66" w:rsidP="00F95D66">
      <w:pPr>
        <w:pStyle w:val="Default"/>
        <w:rPr>
          <w:lang w:val="en-US"/>
        </w:rPr>
      </w:pPr>
    </w:p>
    <w:p w14:paraId="1D2E65F6" w14:textId="3F84DAC4" w:rsidR="005E3F05" w:rsidRDefault="005E3F05" w:rsidP="00F95D66">
      <w:pPr>
        <w:pStyle w:val="Default"/>
        <w:rPr>
          <w:lang w:val="en-US"/>
        </w:rPr>
      </w:pPr>
      <w:r>
        <w:rPr>
          <w:lang w:val="en-US"/>
        </w:rPr>
        <w:t>more important</w:t>
      </w:r>
      <w:r w:rsidR="00837D66">
        <w:rPr>
          <w:lang w:val="en-US"/>
        </w:rPr>
        <w:t xml:space="preserve"> to understand</w:t>
      </w:r>
      <w:r>
        <w:rPr>
          <w:lang w:val="en-US"/>
        </w:rPr>
        <w:t xml:space="preserve"> how preferences translate to policy changes for the poor in </w:t>
      </w:r>
      <w:proofErr w:type="gramStart"/>
      <w:r>
        <w:rPr>
          <w:lang w:val="en-US"/>
        </w:rPr>
        <w:t>comparison</w:t>
      </w:r>
      <w:proofErr w:type="gramEnd"/>
      <w:r>
        <w:rPr>
          <w:lang w:val="en-US"/>
        </w:rPr>
        <w:t xml:space="preserve"> </w:t>
      </w:r>
    </w:p>
    <w:p w14:paraId="5E7B36E5" w14:textId="77777777" w:rsidR="005E3F05" w:rsidRDefault="005E3F05" w:rsidP="00837D66">
      <w:pPr>
        <w:pStyle w:val="Default"/>
        <w:ind w:left="720" w:hanging="720"/>
        <w:rPr>
          <w:lang w:val="en-US"/>
        </w:rPr>
      </w:pPr>
    </w:p>
    <w:p w14:paraId="577D67D6" w14:textId="180A4EBC" w:rsidR="00837D66" w:rsidRDefault="00837D66" w:rsidP="00837D66">
      <w:pPr>
        <w:pStyle w:val="Default"/>
        <w:ind w:left="720" w:hanging="720"/>
        <w:rPr>
          <w:lang w:val="en-US"/>
        </w:rPr>
      </w:pPr>
      <w:r>
        <w:rPr>
          <w:lang w:val="en-US"/>
        </w:rPr>
        <w:t xml:space="preserve"> the influence of the preferences</w:t>
      </w:r>
      <w:r w:rsidR="005E3F05">
        <w:rPr>
          <w:lang w:val="en-US"/>
        </w:rPr>
        <w:t xml:space="preserve"> of the poor</w:t>
      </w:r>
      <w:r>
        <w:rPr>
          <w:lang w:val="en-US"/>
        </w:rPr>
        <w:t xml:space="preserve"> on welfare changes for </w:t>
      </w:r>
    </w:p>
    <w:p w14:paraId="0906895B" w14:textId="4AF44C07" w:rsidR="00837D66" w:rsidRPr="006E157F" w:rsidRDefault="00837D66" w:rsidP="00837D66">
      <w:pPr>
        <w:pStyle w:val="Default"/>
        <w:ind w:left="720" w:hanging="720"/>
        <w:rPr>
          <w:lang w:val="en-US"/>
        </w:rPr>
      </w:pPr>
      <w:r>
        <w:rPr>
          <w:lang w:val="en-US"/>
        </w:rPr>
        <w:t xml:space="preserve">The influence of </w:t>
      </w:r>
      <w:r>
        <w:rPr>
          <w:lang w:val="en-US"/>
        </w:rPr>
        <w:br/>
      </w:r>
      <w:r>
        <w:rPr>
          <w:lang w:val="en-US"/>
        </w:rPr>
        <w:br/>
        <w:t xml:space="preserve">country variation seems to play the biggest </w:t>
      </w:r>
      <w:proofErr w:type="gramStart"/>
      <w:r>
        <w:rPr>
          <w:lang w:val="en-US"/>
        </w:rPr>
        <w:t>role</w:t>
      </w:r>
      <w:proofErr w:type="gramEnd"/>
      <w:r>
        <w:rPr>
          <w:lang w:val="en-US"/>
        </w:rPr>
        <w:t xml:space="preserve"> </w:t>
      </w:r>
    </w:p>
    <w:p w14:paraId="6B22F94E" w14:textId="77777777" w:rsidR="002E1158" w:rsidRDefault="002E1158" w:rsidP="00CA6338">
      <w:pPr>
        <w:pStyle w:val="Default"/>
        <w:rPr>
          <w:lang w:val="en-US"/>
        </w:rPr>
      </w:pPr>
    </w:p>
    <w:p w14:paraId="549AEFD8" w14:textId="62C33C3B" w:rsidR="002E1158" w:rsidRDefault="002E1158" w:rsidP="00CA6338">
      <w:pPr>
        <w:pStyle w:val="Default"/>
        <w:rPr>
          <w:lang w:val="en-US"/>
        </w:rPr>
      </w:pPr>
      <w:r>
        <w:rPr>
          <w:lang w:val="en-US"/>
        </w:rPr>
        <w:t xml:space="preserve">How is it possible that influence of the poorest 5 percent </w:t>
      </w:r>
      <w:proofErr w:type="gramStart"/>
      <w:r>
        <w:rPr>
          <w:lang w:val="en-US"/>
        </w:rPr>
        <w:t>grows, when</w:t>
      </w:r>
      <w:proofErr w:type="gramEnd"/>
      <w:r>
        <w:rPr>
          <w:lang w:val="en-US"/>
        </w:rPr>
        <w:t xml:space="preserve"> capital mobility rises? </w:t>
      </w:r>
      <w:r w:rsidR="00B9345C">
        <w:rPr>
          <w:lang w:val="en-US"/>
        </w:rPr>
        <w:t xml:space="preserve">The literature is </w:t>
      </w:r>
      <w:proofErr w:type="gramStart"/>
      <w:r w:rsidR="00B9345C">
        <w:rPr>
          <w:lang w:val="en-US"/>
        </w:rPr>
        <w:t>quite frank</w:t>
      </w:r>
      <w:proofErr w:type="gramEnd"/>
      <w:r w:rsidR="00B9345C">
        <w:rPr>
          <w:lang w:val="en-US"/>
        </w:rPr>
        <w:t xml:space="preserve"> about the </w:t>
      </w:r>
      <w:proofErr w:type="spellStart"/>
      <w:r w:rsidR="00B9345C">
        <w:rPr>
          <w:lang w:val="en-US"/>
        </w:rPr>
        <w:t>states</w:t>
      </w:r>
      <w:proofErr w:type="spellEnd"/>
      <w:r w:rsidR="00B9345C">
        <w:rPr>
          <w:lang w:val="en-US"/>
        </w:rPr>
        <w:t xml:space="preserve"> ability to finance welfare and we know that the poor prefer more welfare spending. </w:t>
      </w:r>
    </w:p>
    <w:p w14:paraId="262AA6AC" w14:textId="77777777" w:rsidR="00CA6338" w:rsidRDefault="00CA6338" w:rsidP="00CA6338">
      <w:pPr>
        <w:pStyle w:val="Default"/>
        <w:rPr>
          <w:lang w:val="en-US"/>
        </w:rPr>
      </w:pPr>
    </w:p>
    <w:p w14:paraId="4D48DF0A" w14:textId="77777777" w:rsidR="00CA6338" w:rsidRDefault="00CA6338" w:rsidP="00CA6338">
      <w:pPr>
        <w:pStyle w:val="Default"/>
        <w:rPr>
          <w:lang w:val="en-US"/>
        </w:rPr>
      </w:pPr>
    </w:p>
    <w:p w14:paraId="7FA15234" w14:textId="77777777" w:rsidR="00CA6338" w:rsidRDefault="00CA6338" w:rsidP="00CA6338">
      <w:pPr>
        <w:pStyle w:val="Default"/>
        <w:rPr>
          <w:lang w:val="en-US"/>
        </w:rPr>
      </w:pPr>
    </w:p>
    <w:p w14:paraId="6ADB9158" w14:textId="77777777" w:rsidR="00CA6338" w:rsidRDefault="00CA6338" w:rsidP="00CA6338">
      <w:pPr>
        <w:pStyle w:val="Default"/>
        <w:rPr>
          <w:lang w:val="en-US"/>
        </w:rPr>
      </w:pPr>
    </w:p>
    <w:p w14:paraId="0463D1F0" w14:textId="77777777" w:rsidR="00CA6338" w:rsidRDefault="00CA6338" w:rsidP="00CA6338">
      <w:pPr>
        <w:pStyle w:val="Default"/>
        <w:rPr>
          <w:lang w:val="en-US"/>
        </w:rPr>
      </w:pPr>
    </w:p>
    <w:p w14:paraId="04798622" w14:textId="77777777" w:rsidR="00CA6338" w:rsidRDefault="00CA6338" w:rsidP="00CA6338">
      <w:pPr>
        <w:pStyle w:val="Default"/>
        <w:rPr>
          <w:lang w:val="en-US"/>
        </w:rPr>
      </w:pPr>
    </w:p>
    <w:p w14:paraId="451B84B1" w14:textId="01141802" w:rsidR="00CA6338" w:rsidRDefault="00CA6338" w:rsidP="00CA6338">
      <w:pPr>
        <w:pStyle w:val="Default"/>
        <w:rPr>
          <w:lang w:val="en-US"/>
        </w:rPr>
      </w:pPr>
    </w:p>
    <w:p w14:paraId="4BBE58EF" w14:textId="77777777" w:rsidR="00CA6338" w:rsidRDefault="00CA6338" w:rsidP="00CA6338">
      <w:pPr>
        <w:pStyle w:val="Default"/>
        <w:rPr>
          <w:lang w:val="en-US"/>
        </w:rPr>
      </w:pPr>
    </w:p>
    <w:p w14:paraId="6066B279" w14:textId="77777777" w:rsidR="00CA6338" w:rsidRDefault="00CA6338" w:rsidP="00CA6338">
      <w:pPr>
        <w:pStyle w:val="Default"/>
        <w:rPr>
          <w:lang w:val="en-US"/>
        </w:rPr>
      </w:pPr>
    </w:p>
    <w:p w14:paraId="5ED9AA24" w14:textId="77777777" w:rsidR="00CA6338" w:rsidRDefault="00CA6338" w:rsidP="00CA6338">
      <w:pPr>
        <w:pStyle w:val="Default"/>
        <w:rPr>
          <w:lang w:val="en-US"/>
        </w:rPr>
      </w:pPr>
    </w:p>
    <w:p w14:paraId="5F610D47" w14:textId="77777777" w:rsidR="00CA6338" w:rsidRDefault="00CA6338" w:rsidP="00CA6338">
      <w:pPr>
        <w:pStyle w:val="Default"/>
        <w:rPr>
          <w:lang w:val="en-US"/>
        </w:rPr>
      </w:pPr>
    </w:p>
    <w:p w14:paraId="294753B5" w14:textId="77777777" w:rsidR="00CA6338" w:rsidRDefault="00CA6338" w:rsidP="00CA6338">
      <w:pPr>
        <w:pStyle w:val="Default"/>
        <w:rPr>
          <w:lang w:val="en-US"/>
        </w:rPr>
      </w:pPr>
    </w:p>
    <w:p w14:paraId="30630459" w14:textId="77777777" w:rsidR="00CA6338" w:rsidRDefault="00CA6338" w:rsidP="00CA6338">
      <w:pPr>
        <w:pStyle w:val="Default"/>
        <w:rPr>
          <w:lang w:val="en-US"/>
        </w:rPr>
      </w:pPr>
    </w:p>
    <w:p w14:paraId="61AA89A5" w14:textId="77777777" w:rsidR="00CA6338" w:rsidRDefault="00CA6338" w:rsidP="00CA6338">
      <w:pPr>
        <w:pStyle w:val="Default"/>
        <w:rPr>
          <w:lang w:val="en-US"/>
        </w:rPr>
      </w:pPr>
    </w:p>
    <w:p w14:paraId="666F6B70" w14:textId="77777777" w:rsidR="00CA6338" w:rsidRDefault="00CA6338" w:rsidP="00CA6338">
      <w:pPr>
        <w:pStyle w:val="Default"/>
        <w:rPr>
          <w:lang w:val="en-US"/>
        </w:rPr>
      </w:pPr>
    </w:p>
    <w:p w14:paraId="5B798220" w14:textId="77777777" w:rsidR="00CA6338" w:rsidRDefault="00CA6338" w:rsidP="00CA6338">
      <w:pPr>
        <w:pStyle w:val="Default"/>
        <w:rPr>
          <w:lang w:val="en-US"/>
        </w:rPr>
      </w:pPr>
    </w:p>
    <w:p w14:paraId="5F81E8AE" w14:textId="77777777" w:rsidR="00CA6338" w:rsidRDefault="00CA6338" w:rsidP="00CA6338">
      <w:pPr>
        <w:pStyle w:val="Default"/>
        <w:rPr>
          <w:lang w:val="en-US"/>
        </w:rPr>
      </w:pPr>
    </w:p>
    <w:p w14:paraId="15C83A00" w14:textId="77777777" w:rsidR="00CA6338" w:rsidRDefault="00CA6338" w:rsidP="00CA6338">
      <w:pPr>
        <w:pStyle w:val="Default"/>
        <w:rPr>
          <w:lang w:val="en-US"/>
        </w:rPr>
      </w:pPr>
    </w:p>
    <w:p w14:paraId="3D65BCDC" w14:textId="77777777" w:rsidR="00CA6338" w:rsidRDefault="00CA6338" w:rsidP="00CA6338">
      <w:pPr>
        <w:pStyle w:val="Default"/>
        <w:rPr>
          <w:lang w:val="en-US"/>
        </w:rPr>
      </w:pPr>
    </w:p>
    <w:p w14:paraId="030B19DE" w14:textId="77777777" w:rsidR="00CA6338" w:rsidRDefault="00CA6338" w:rsidP="00CA6338">
      <w:pPr>
        <w:pStyle w:val="Default"/>
        <w:rPr>
          <w:lang w:val="en-US"/>
        </w:rPr>
      </w:pPr>
    </w:p>
    <w:p w14:paraId="5BEC1A3C" w14:textId="77777777" w:rsidR="00CA6338" w:rsidRDefault="00CA6338" w:rsidP="00CA6338">
      <w:pPr>
        <w:pStyle w:val="Default"/>
        <w:rPr>
          <w:lang w:val="en-US"/>
        </w:rPr>
      </w:pPr>
    </w:p>
    <w:p w14:paraId="0BB75FAC" w14:textId="77777777" w:rsidR="00CA6338" w:rsidRDefault="00CA6338" w:rsidP="00CA6338">
      <w:pPr>
        <w:pStyle w:val="Default"/>
        <w:rPr>
          <w:lang w:val="en-US"/>
        </w:rPr>
      </w:pPr>
    </w:p>
    <w:p w14:paraId="14DDF4DF" w14:textId="77777777" w:rsidR="00CA6338" w:rsidRDefault="00CA6338" w:rsidP="00CA6338">
      <w:pPr>
        <w:pStyle w:val="Default"/>
        <w:rPr>
          <w:lang w:val="en-US"/>
        </w:rPr>
      </w:pPr>
    </w:p>
    <w:p w14:paraId="2207C902" w14:textId="77777777" w:rsidR="00CA6338" w:rsidRDefault="00CA6338" w:rsidP="00CA6338">
      <w:pPr>
        <w:pStyle w:val="Default"/>
        <w:rPr>
          <w:lang w:val="en-US"/>
        </w:rPr>
      </w:pPr>
    </w:p>
    <w:p w14:paraId="1FB71BD5" w14:textId="77777777" w:rsidR="00CA6338" w:rsidRDefault="00CA6338" w:rsidP="00CA6338">
      <w:pPr>
        <w:pStyle w:val="Default"/>
        <w:rPr>
          <w:lang w:val="en-US"/>
        </w:rPr>
      </w:pPr>
    </w:p>
    <w:p w14:paraId="4EB38681" w14:textId="77777777" w:rsidR="00CA6338" w:rsidRDefault="00CA6338" w:rsidP="00CA6338">
      <w:pPr>
        <w:pStyle w:val="Default"/>
        <w:rPr>
          <w:lang w:val="en-US"/>
        </w:rPr>
      </w:pPr>
    </w:p>
    <w:p w14:paraId="583BF1AE" w14:textId="77777777" w:rsidR="00CA6338" w:rsidRDefault="00CA6338" w:rsidP="00CA6338">
      <w:pPr>
        <w:pStyle w:val="Default"/>
        <w:rPr>
          <w:lang w:val="en-US"/>
        </w:rPr>
      </w:pPr>
    </w:p>
    <w:p w14:paraId="0EB392DB" w14:textId="77777777" w:rsidR="00CA6338" w:rsidRDefault="00CA6338" w:rsidP="00CA6338">
      <w:pPr>
        <w:pStyle w:val="Default"/>
        <w:rPr>
          <w:lang w:val="en-US"/>
        </w:rPr>
      </w:pPr>
    </w:p>
    <w:p w14:paraId="1A158B97" w14:textId="77777777" w:rsidR="00CA6338" w:rsidRDefault="00CA6338" w:rsidP="00CA6338">
      <w:pPr>
        <w:pStyle w:val="Default"/>
        <w:rPr>
          <w:lang w:val="en-US"/>
        </w:rPr>
      </w:pPr>
    </w:p>
    <w:p w14:paraId="4798E3E4" w14:textId="77777777" w:rsidR="00CA6338" w:rsidRDefault="00CA6338" w:rsidP="00CA6338">
      <w:pPr>
        <w:pStyle w:val="Default"/>
        <w:rPr>
          <w:lang w:val="en-US"/>
        </w:rPr>
      </w:pPr>
    </w:p>
    <w:p w14:paraId="4F6B78F8" w14:textId="77777777" w:rsidR="00CA6338" w:rsidRDefault="00CA6338" w:rsidP="00CA6338">
      <w:pPr>
        <w:pStyle w:val="Default"/>
        <w:rPr>
          <w:lang w:val="en-US"/>
        </w:rPr>
      </w:pPr>
    </w:p>
    <w:p w14:paraId="690CA572" w14:textId="77777777" w:rsidR="00CA6338" w:rsidRDefault="00CA6338" w:rsidP="00CA6338">
      <w:pPr>
        <w:pStyle w:val="Default"/>
        <w:rPr>
          <w:lang w:val="en-US"/>
        </w:rPr>
      </w:pPr>
    </w:p>
    <w:p w14:paraId="25340113" w14:textId="77777777" w:rsidR="00CA6338" w:rsidRDefault="00CA6338" w:rsidP="00CA6338">
      <w:pPr>
        <w:pStyle w:val="Default"/>
        <w:rPr>
          <w:lang w:val="en-US"/>
        </w:rPr>
      </w:pPr>
    </w:p>
    <w:p w14:paraId="5719F6A4" w14:textId="77777777" w:rsidR="00CA6338" w:rsidRDefault="00CA6338" w:rsidP="00CA6338">
      <w:pPr>
        <w:pStyle w:val="Default"/>
        <w:rPr>
          <w:lang w:val="en-US"/>
        </w:rPr>
      </w:pPr>
    </w:p>
    <w:p w14:paraId="1A17C906" w14:textId="77777777" w:rsidR="00CA6338" w:rsidRDefault="00CA6338" w:rsidP="00CA6338">
      <w:pPr>
        <w:pStyle w:val="Default"/>
        <w:rPr>
          <w:lang w:val="en-US"/>
        </w:rPr>
      </w:pPr>
    </w:p>
    <w:p w14:paraId="1D879DAF" w14:textId="77777777" w:rsidR="00CA6338" w:rsidRDefault="00CA6338" w:rsidP="00CA6338">
      <w:pPr>
        <w:pStyle w:val="Default"/>
        <w:rPr>
          <w:lang w:val="en-US"/>
        </w:rPr>
      </w:pPr>
    </w:p>
    <w:p w14:paraId="76B90662" w14:textId="77777777" w:rsidR="00CA6338" w:rsidRDefault="00CA6338" w:rsidP="00CA6338">
      <w:pPr>
        <w:pStyle w:val="Default"/>
        <w:rPr>
          <w:lang w:val="en-US"/>
        </w:rPr>
      </w:pPr>
    </w:p>
    <w:p w14:paraId="3336C634" w14:textId="77777777" w:rsidR="00CA6338" w:rsidRDefault="00CA6338" w:rsidP="00CA6338">
      <w:pPr>
        <w:pStyle w:val="Default"/>
        <w:rPr>
          <w:lang w:val="en-US"/>
        </w:rPr>
      </w:pPr>
    </w:p>
    <w:p w14:paraId="575E823F" w14:textId="77777777" w:rsidR="00CA6338" w:rsidRDefault="00CA6338" w:rsidP="00CA6338">
      <w:pPr>
        <w:pStyle w:val="Default"/>
        <w:rPr>
          <w:lang w:val="en-US"/>
        </w:rPr>
      </w:pPr>
    </w:p>
    <w:p w14:paraId="5FB77E0E" w14:textId="77777777" w:rsidR="00CA6338" w:rsidRDefault="00CA6338" w:rsidP="00CA6338">
      <w:pPr>
        <w:pStyle w:val="Default"/>
        <w:rPr>
          <w:lang w:val="en-US"/>
        </w:rPr>
      </w:pPr>
    </w:p>
    <w:p w14:paraId="1D6BD0C1" w14:textId="77777777" w:rsidR="00CA6338" w:rsidRDefault="00CA6338" w:rsidP="00CA6338">
      <w:pPr>
        <w:pStyle w:val="Default"/>
        <w:rPr>
          <w:lang w:val="en-US"/>
        </w:rPr>
      </w:pPr>
    </w:p>
    <w:p w14:paraId="4C3444A5" w14:textId="77777777" w:rsidR="00CA6338" w:rsidRDefault="00CA6338" w:rsidP="00CA6338">
      <w:pPr>
        <w:pStyle w:val="Default"/>
        <w:rPr>
          <w:lang w:val="en-US"/>
        </w:rPr>
      </w:pPr>
    </w:p>
    <w:p w14:paraId="0C3A4131" w14:textId="77777777" w:rsidR="00CA6338" w:rsidRDefault="00CA6338" w:rsidP="00CA6338">
      <w:pPr>
        <w:pStyle w:val="Default"/>
        <w:rPr>
          <w:lang w:val="en-US"/>
        </w:rPr>
      </w:pPr>
    </w:p>
    <w:p w14:paraId="31E3A0B6" w14:textId="77777777" w:rsidR="00CA6338" w:rsidRDefault="00CA6338" w:rsidP="00CA6338">
      <w:pPr>
        <w:pStyle w:val="Default"/>
        <w:rPr>
          <w:lang w:val="en-US"/>
        </w:rPr>
      </w:pPr>
    </w:p>
    <w:p w14:paraId="04992A88" w14:textId="77777777" w:rsidR="00CA6338" w:rsidRDefault="00CA6338" w:rsidP="00CA6338">
      <w:pPr>
        <w:pStyle w:val="Default"/>
        <w:rPr>
          <w:lang w:val="en-US"/>
        </w:rPr>
      </w:pPr>
    </w:p>
    <w:p w14:paraId="030150AB" w14:textId="77777777" w:rsidR="00CA6338" w:rsidRDefault="00CA6338" w:rsidP="00CA6338">
      <w:pPr>
        <w:pStyle w:val="Default"/>
        <w:rPr>
          <w:lang w:val="en-US"/>
        </w:rPr>
      </w:pPr>
    </w:p>
    <w:p w14:paraId="64805881" w14:textId="77777777" w:rsidR="00CA6338" w:rsidRDefault="00CA6338" w:rsidP="00CA6338">
      <w:pPr>
        <w:pStyle w:val="Default"/>
        <w:rPr>
          <w:lang w:val="en-US"/>
        </w:rPr>
      </w:pPr>
    </w:p>
    <w:p w14:paraId="2AD04966" w14:textId="77777777" w:rsidR="00CA6338" w:rsidRDefault="00CA6338" w:rsidP="00CA6338">
      <w:pPr>
        <w:pStyle w:val="Default"/>
        <w:rPr>
          <w:lang w:val="en-US"/>
        </w:rPr>
      </w:pPr>
    </w:p>
    <w:p w14:paraId="139C9431" w14:textId="77777777" w:rsidR="00CA6338" w:rsidRDefault="00CA6338" w:rsidP="00CA6338">
      <w:pPr>
        <w:pStyle w:val="Default"/>
        <w:rPr>
          <w:lang w:val="en-US"/>
        </w:rPr>
      </w:pPr>
    </w:p>
    <w:p w14:paraId="78EDCFDF" w14:textId="77777777" w:rsidR="00CA6338" w:rsidRDefault="00CA6338" w:rsidP="00CA6338">
      <w:pPr>
        <w:pStyle w:val="Default"/>
        <w:rPr>
          <w:lang w:val="en-US"/>
        </w:rPr>
      </w:pPr>
    </w:p>
    <w:p w14:paraId="564CA76E" w14:textId="77777777" w:rsidR="00CA6338" w:rsidRDefault="00CA6338" w:rsidP="00CA6338">
      <w:pPr>
        <w:pStyle w:val="Default"/>
        <w:rPr>
          <w:lang w:val="en-US"/>
        </w:rPr>
      </w:pPr>
    </w:p>
    <w:p w14:paraId="55C005E5" w14:textId="77777777" w:rsidR="00CA6338" w:rsidRDefault="00CA6338" w:rsidP="00CA6338">
      <w:pPr>
        <w:pStyle w:val="Default"/>
        <w:rPr>
          <w:lang w:val="en-US"/>
        </w:rPr>
      </w:pPr>
    </w:p>
    <w:p w14:paraId="42AF015A" w14:textId="77777777" w:rsidR="00CA6338" w:rsidRDefault="00CA6338" w:rsidP="00CA6338">
      <w:pPr>
        <w:pStyle w:val="Default"/>
        <w:rPr>
          <w:lang w:val="en-US"/>
        </w:rPr>
      </w:pPr>
    </w:p>
    <w:p w14:paraId="47EAD801" w14:textId="77777777" w:rsidR="00D83E11" w:rsidRDefault="00D83E11" w:rsidP="00D83E11">
      <w:pPr>
        <w:pStyle w:val="Default"/>
        <w:rPr>
          <w:lang w:val="en-US"/>
        </w:rPr>
      </w:pP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120F2BDA" w14:textId="126BF541"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roofErr w:type="gramStart"/>
      <w:r w:rsidR="00273B8F">
        <w:rPr>
          <w:lang w:val="en-US"/>
        </w:rPr>
        <w:t>Indeed</w:t>
      </w:r>
      <w:proofErr w:type="gramEnd"/>
      <w:r w:rsidR="00273B8F">
        <w:rPr>
          <w:lang w:val="en-US"/>
        </w:rPr>
        <w:t xml:space="preserve"> the </w:t>
      </w:r>
      <w:proofErr w:type="spellStart"/>
      <w:r w:rsidR="00273B8F">
        <w:rPr>
          <w:lang w:val="en-US"/>
        </w:rPr>
        <w:t>the</w:t>
      </w:r>
      <w:proofErr w:type="spellEnd"/>
      <w:r w:rsidR="00273B8F">
        <w:rPr>
          <w:lang w:val="en-US"/>
        </w:rPr>
        <w:t xml:space="preserve"> influences of the poor seem to grow, even though political outcomes were previously much more aligned to their interest. </w:t>
      </w:r>
    </w:p>
    <w:p w14:paraId="2F739C2C" w14:textId="77777777" w:rsidR="00505584" w:rsidRDefault="00505584" w:rsidP="0002402E">
      <w:pPr>
        <w:rPr>
          <w:lang w:val="en-US"/>
        </w:rPr>
      </w:pPr>
    </w:p>
    <w:p w14:paraId="4FBB29F3" w14:textId="25454829"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58977614" w14:textId="5F67483A" w:rsidR="001628D4" w:rsidRDefault="00304096" w:rsidP="0002402E">
      <w:pPr>
        <w:rPr>
          <w:lang w:val="en-US"/>
        </w:rPr>
      </w:pPr>
      <w:r>
        <w:rPr>
          <w:lang w:val="en-US"/>
        </w:rPr>
        <w:t>ff</w:t>
      </w:r>
    </w:p>
    <w:p w14:paraId="395C6714" w14:textId="757F32A4" w:rsidR="001628D4" w:rsidRDefault="001628D4" w:rsidP="0002402E">
      <w:pPr>
        <w:rPr>
          <w:lang w:val="en-US"/>
        </w:rPr>
      </w:pPr>
      <w:r>
        <w:rPr>
          <w:lang w:val="en-US"/>
        </w:rPr>
        <w:t xml:space="preserve">The preferences of the least affluent seem to be a deciding factor in limiting the amount of welfare </w:t>
      </w:r>
      <w:proofErr w:type="gramStart"/>
      <w:r>
        <w:rPr>
          <w:lang w:val="en-US"/>
        </w:rPr>
        <w:t>retrenchment</w:t>
      </w:r>
      <w:proofErr w:type="gramEnd"/>
      <w:r>
        <w:rPr>
          <w:lang w:val="en-US"/>
        </w:rPr>
        <w:t xml:space="preserve"> </w:t>
      </w:r>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r>
      <w:r>
        <w:rPr>
          <w:lang w:val="en-US"/>
        </w:rPr>
        <w:lastRenderedPageBreak/>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4A7FE4EC" w:rsidR="00374FF2" w:rsidRDefault="00D83E11" w:rsidP="0002402E">
      <w:pPr>
        <w:rPr>
          <w:lang w:val="en-US"/>
        </w:rPr>
      </w:pPr>
      <w:r>
        <w:rPr>
          <w:lang w:val="en-US"/>
        </w:rPr>
        <w:t xml:space="preserve">Explain more in detail county year topic. </w:t>
      </w:r>
      <w:r w:rsidR="00CA6338">
        <w:rPr>
          <w:lang w:val="en-US"/>
        </w:rPr>
        <w:br/>
      </w:r>
      <w:r w:rsidR="00CA6338">
        <w:rPr>
          <w:lang w:val="en-US"/>
        </w:rPr>
        <w:br/>
        <w:t xml:space="preserve">Discussion: The preferences of the richest 5 percent, would not necessarily equate to the preferences of capital. The richest 5 percent still are doctors, </w:t>
      </w:r>
      <w:proofErr w:type="gramStart"/>
      <w:r w:rsidR="00CA6338">
        <w:rPr>
          <w:lang w:val="en-US"/>
        </w:rPr>
        <w:t>lawyers</w:t>
      </w:r>
      <w:proofErr w:type="gramEnd"/>
      <w:r w:rsidR="00CA6338">
        <w:rPr>
          <w:lang w:val="en-US"/>
        </w:rPr>
        <w:t xml:space="preserve"> and stuff, one would have to focus on the preferences of the richest 0.01 percent </w:t>
      </w:r>
      <w:r w:rsidR="00B3312F">
        <w:rPr>
          <w:lang w:val="en-US"/>
        </w:rPr>
        <w:br/>
      </w:r>
      <w:r w:rsidR="00B3312F">
        <w:rPr>
          <w:lang w:val="en-US"/>
        </w:rPr>
        <w:br/>
        <w:t xml:space="preserve">Limitation: little discussion how capital mobility actually increases the influence of different income groups, focus is rather on political outcomes. </w:t>
      </w:r>
      <w:proofErr w:type="gramStart"/>
      <w:r w:rsidR="00CC3CD0">
        <w:rPr>
          <w:lang w:val="en-US"/>
        </w:rPr>
        <w:t>( which</w:t>
      </w:r>
      <w:proofErr w:type="gramEnd"/>
      <w:r w:rsidR="00CC3CD0">
        <w:rPr>
          <w:lang w:val="en-US"/>
        </w:rPr>
        <w:t xml:space="preserve"> mechanism is at work here)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AC88A" w14:textId="77777777" w:rsidR="005552CB" w:rsidRDefault="005552CB" w:rsidP="00861A35">
      <w:r>
        <w:separator/>
      </w:r>
    </w:p>
  </w:endnote>
  <w:endnote w:type="continuationSeparator" w:id="0">
    <w:p w14:paraId="0AEDEB90" w14:textId="77777777" w:rsidR="005552CB" w:rsidRDefault="005552CB"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6E0D" w14:textId="77777777" w:rsidR="005552CB" w:rsidRDefault="005552CB" w:rsidP="00861A35">
      <w:r>
        <w:separator/>
      </w:r>
    </w:p>
  </w:footnote>
  <w:footnote w:type="continuationSeparator" w:id="0">
    <w:p w14:paraId="1784761F" w14:textId="77777777" w:rsidR="005552CB" w:rsidRDefault="005552CB"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51FC3CBF" w14:textId="35533E44" w:rsidR="00CF0C86" w:rsidRPr="00CF0C86" w:rsidRDefault="00CF0C86">
      <w:pPr>
        <w:pStyle w:val="FootnoteText"/>
        <w:rPr>
          <w:lang w:val="en-US"/>
        </w:rPr>
      </w:pPr>
      <w:r>
        <w:rPr>
          <w:rStyle w:val="FootnoteReference"/>
        </w:rPr>
        <w:footnoteRef/>
      </w:r>
      <w:r>
        <w:t xml:space="preserve"> </w:t>
      </w:r>
      <w:r w:rsidRPr="00CF0C86">
        <w:rPr>
          <w:lang w:val="en-US"/>
        </w:rPr>
        <w:t>See Append</w:t>
      </w:r>
      <w:r>
        <w:rPr>
          <w:lang w:val="en-US"/>
        </w:rPr>
        <w:t xml:space="preserve">ix for full </w:t>
      </w:r>
      <w:proofErr w:type="gramStart"/>
      <w:r>
        <w:rPr>
          <w:lang w:val="en-US"/>
        </w:rPr>
        <w:t>transformation</w:t>
      </w:r>
      <w:proofErr w:type="gramEnd"/>
    </w:p>
  </w:footnote>
  <w:footnote w:id="3">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 w:id="4">
    <w:p w14:paraId="2D335C1D" w14:textId="77777777" w:rsidR="00CC3CD0" w:rsidRPr="00CF0C86" w:rsidRDefault="00CC3CD0" w:rsidP="00CC3CD0">
      <w:pPr>
        <w:pStyle w:val="FootnoteText"/>
        <w:rPr>
          <w:lang w:val="de-DE"/>
        </w:rPr>
      </w:pPr>
      <w:r>
        <w:rPr>
          <w:rStyle w:val="FootnoteReference"/>
        </w:rPr>
        <w:footnoteRef/>
      </w:r>
      <w:r>
        <w:t xml:space="preserve"> </w:t>
      </w:r>
      <w:r>
        <w:rPr>
          <w:lang w:val="de-DE"/>
        </w:rPr>
        <w:t xml:space="preserve">See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0D9A"/>
    <w:multiLevelType w:val="multilevel"/>
    <w:tmpl w:val="DE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3"/>
  </w:num>
  <w:num w:numId="2" w16cid:durableId="1294143063">
    <w:abstractNumId w:val="1"/>
  </w:num>
  <w:num w:numId="3" w16cid:durableId="728067868">
    <w:abstractNumId w:val="4"/>
  </w:num>
  <w:num w:numId="4" w16cid:durableId="2035032178">
    <w:abstractNumId w:val="2"/>
  </w:num>
  <w:num w:numId="5" w16cid:durableId="116983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00754"/>
    <w:rsid w:val="000118A2"/>
    <w:rsid w:val="00011D70"/>
    <w:rsid w:val="00015B1A"/>
    <w:rsid w:val="000178FD"/>
    <w:rsid w:val="0002402E"/>
    <w:rsid w:val="00024096"/>
    <w:rsid w:val="00024447"/>
    <w:rsid w:val="0002678C"/>
    <w:rsid w:val="00045E04"/>
    <w:rsid w:val="00064B3B"/>
    <w:rsid w:val="00067A42"/>
    <w:rsid w:val="00076A9D"/>
    <w:rsid w:val="0008141B"/>
    <w:rsid w:val="00082B2E"/>
    <w:rsid w:val="0009149D"/>
    <w:rsid w:val="00091FD6"/>
    <w:rsid w:val="00094550"/>
    <w:rsid w:val="000A3950"/>
    <w:rsid w:val="000A6D81"/>
    <w:rsid w:val="000B1F21"/>
    <w:rsid w:val="000B37EF"/>
    <w:rsid w:val="000B6747"/>
    <w:rsid w:val="000C35D8"/>
    <w:rsid w:val="000C51F6"/>
    <w:rsid w:val="000C5E42"/>
    <w:rsid w:val="000D004F"/>
    <w:rsid w:val="000D2B69"/>
    <w:rsid w:val="000D7533"/>
    <w:rsid w:val="000E3C13"/>
    <w:rsid w:val="000E5D99"/>
    <w:rsid w:val="001005D0"/>
    <w:rsid w:val="001035BA"/>
    <w:rsid w:val="001123E8"/>
    <w:rsid w:val="00114030"/>
    <w:rsid w:val="00114F8F"/>
    <w:rsid w:val="001165E3"/>
    <w:rsid w:val="00121A92"/>
    <w:rsid w:val="00144BDD"/>
    <w:rsid w:val="00146923"/>
    <w:rsid w:val="00150985"/>
    <w:rsid w:val="001523F4"/>
    <w:rsid w:val="001628D4"/>
    <w:rsid w:val="00175339"/>
    <w:rsid w:val="00182ADE"/>
    <w:rsid w:val="00190011"/>
    <w:rsid w:val="00193305"/>
    <w:rsid w:val="00194FB6"/>
    <w:rsid w:val="00196194"/>
    <w:rsid w:val="001A39E1"/>
    <w:rsid w:val="001B0171"/>
    <w:rsid w:val="001B0846"/>
    <w:rsid w:val="001B4B92"/>
    <w:rsid w:val="001B5D0B"/>
    <w:rsid w:val="001D6D52"/>
    <w:rsid w:val="001D71B3"/>
    <w:rsid w:val="001E1935"/>
    <w:rsid w:val="001E28C7"/>
    <w:rsid w:val="001E5876"/>
    <w:rsid w:val="001F6BAE"/>
    <w:rsid w:val="0020040D"/>
    <w:rsid w:val="00210689"/>
    <w:rsid w:val="002128C0"/>
    <w:rsid w:val="00222C85"/>
    <w:rsid w:val="0022645D"/>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A7C87"/>
    <w:rsid w:val="002B1967"/>
    <w:rsid w:val="002B1C6C"/>
    <w:rsid w:val="002B23BF"/>
    <w:rsid w:val="002B4FD0"/>
    <w:rsid w:val="002B72BA"/>
    <w:rsid w:val="002C31FE"/>
    <w:rsid w:val="002E031F"/>
    <w:rsid w:val="002E067E"/>
    <w:rsid w:val="002E1158"/>
    <w:rsid w:val="002E34D8"/>
    <w:rsid w:val="00304096"/>
    <w:rsid w:val="00307A2C"/>
    <w:rsid w:val="00311652"/>
    <w:rsid w:val="00320355"/>
    <w:rsid w:val="00327AEC"/>
    <w:rsid w:val="00341DC3"/>
    <w:rsid w:val="00354721"/>
    <w:rsid w:val="0036224C"/>
    <w:rsid w:val="00366650"/>
    <w:rsid w:val="003675B1"/>
    <w:rsid w:val="00374FF2"/>
    <w:rsid w:val="00381CB2"/>
    <w:rsid w:val="00381CE0"/>
    <w:rsid w:val="00383B0E"/>
    <w:rsid w:val="003863F6"/>
    <w:rsid w:val="00387916"/>
    <w:rsid w:val="003959D2"/>
    <w:rsid w:val="003A3E93"/>
    <w:rsid w:val="003A5781"/>
    <w:rsid w:val="003B0121"/>
    <w:rsid w:val="003B486C"/>
    <w:rsid w:val="003B4F98"/>
    <w:rsid w:val="003B4FAD"/>
    <w:rsid w:val="003B5892"/>
    <w:rsid w:val="003B7F38"/>
    <w:rsid w:val="003D0669"/>
    <w:rsid w:val="003D5918"/>
    <w:rsid w:val="00407574"/>
    <w:rsid w:val="00407AFC"/>
    <w:rsid w:val="004108DC"/>
    <w:rsid w:val="0041263F"/>
    <w:rsid w:val="00412B13"/>
    <w:rsid w:val="00423BA4"/>
    <w:rsid w:val="004424F1"/>
    <w:rsid w:val="0045108E"/>
    <w:rsid w:val="00462651"/>
    <w:rsid w:val="00470AF5"/>
    <w:rsid w:val="00483956"/>
    <w:rsid w:val="004842BA"/>
    <w:rsid w:val="00487789"/>
    <w:rsid w:val="004E1F89"/>
    <w:rsid w:val="004E4EC7"/>
    <w:rsid w:val="004E6AD0"/>
    <w:rsid w:val="00505584"/>
    <w:rsid w:val="00514289"/>
    <w:rsid w:val="005150CB"/>
    <w:rsid w:val="0052513D"/>
    <w:rsid w:val="0053439D"/>
    <w:rsid w:val="00543D6B"/>
    <w:rsid w:val="005459E0"/>
    <w:rsid w:val="005552CB"/>
    <w:rsid w:val="005556BF"/>
    <w:rsid w:val="00561767"/>
    <w:rsid w:val="00575B6C"/>
    <w:rsid w:val="0058205E"/>
    <w:rsid w:val="00582B5B"/>
    <w:rsid w:val="00584044"/>
    <w:rsid w:val="00587E94"/>
    <w:rsid w:val="0059589E"/>
    <w:rsid w:val="00596C15"/>
    <w:rsid w:val="005B0742"/>
    <w:rsid w:val="005B083F"/>
    <w:rsid w:val="005B357C"/>
    <w:rsid w:val="005C524F"/>
    <w:rsid w:val="005D0B5A"/>
    <w:rsid w:val="005D2281"/>
    <w:rsid w:val="005D77E2"/>
    <w:rsid w:val="005D7DB5"/>
    <w:rsid w:val="005E093F"/>
    <w:rsid w:val="005E3F05"/>
    <w:rsid w:val="005E5252"/>
    <w:rsid w:val="005E7FDD"/>
    <w:rsid w:val="005F6358"/>
    <w:rsid w:val="00606F2A"/>
    <w:rsid w:val="00611B79"/>
    <w:rsid w:val="006144B8"/>
    <w:rsid w:val="00617785"/>
    <w:rsid w:val="00624FFE"/>
    <w:rsid w:val="006259C7"/>
    <w:rsid w:val="00625F63"/>
    <w:rsid w:val="00634C27"/>
    <w:rsid w:val="0063562F"/>
    <w:rsid w:val="00647E17"/>
    <w:rsid w:val="006539A2"/>
    <w:rsid w:val="0065508F"/>
    <w:rsid w:val="006556E7"/>
    <w:rsid w:val="00671B92"/>
    <w:rsid w:val="006927ED"/>
    <w:rsid w:val="00697B26"/>
    <w:rsid w:val="006A056A"/>
    <w:rsid w:val="006A2F47"/>
    <w:rsid w:val="006A34AB"/>
    <w:rsid w:val="006B0D5B"/>
    <w:rsid w:val="006B1D63"/>
    <w:rsid w:val="006C0FFB"/>
    <w:rsid w:val="006C52CA"/>
    <w:rsid w:val="006D2B22"/>
    <w:rsid w:val="006E157F"/>
    <w:rsid w:val="006E4282"/>
    <w:rsid w:val="006F7B16"/>
    <w:rsid w:val="007064A8"/>
    <w:rsid w:val="0070732C"/>
    <w:rsid w:val="00707E61"/>
    <w:rsid w:val="00710C00"/>
    <w:rsid w:val="00714D55"/>
    <w:rsid w:val="00716A2C"/>
    <w:rsid w:val="00724629"/>
    <w:rsid w:val="007253AB"/>
    <w:rsid w:val="00726CD9"/>
    <w:rsid w:val="007350A9"/>
    <w:rsid w:val="00750C0D"/>
    <w:rsid w:val="00752771"/>
    <w:rsid w:val="007717D4"/>
    <w:rsid w:val="00776799"/>
    <w:rsid w:val="00776CBF"/>
    <w:rsid w:val="00782399"/>
    <w:rsid w:val="007840D6"/>
    <w:rsid w:val="00785F07"/>
    <w:rsid w:val="00790A3D"/>
    <w:rsid w:val="00793FCF"/>
    <w:rsid w:val="00794466"/>
    <w:rsid w:val="007A3928"/>
    <w:rsid w:val="007A4B35"/>
    <w:rsid w:val="007A620F"/>
    <w:rsid w:val="007B2EB3"/>
    <w:rsid w:val="007B3FEC"/>
    <w:rsid w:val="007B666D"/>
    <w:rsid w:val="007C0E39"/>
    <w:rsid w:val="007C4E40"/>
    <w:rsid w:val="007D5EA7"/>
    <w:rsid w:val="007D6D0F"/>
    <w:rsid w:val="007D7727"/>
    <w:rsid w:val="007F708A"/>
    <w:rsid w:val="007F790A"/>
    <w:rsid w:val="00814275"/>
    <w:rsid w:val="008168CF"/>
    <w:rsid w:val="008233F9"/>
    <w:rsid w:val="0082371D"/>
    <w:rsid w:val="0082778A"/>
    <w:rsid w:val="00837D66"/>
    <w:rsid w:val="00857121"/>
    <w:rsid w:val="00861A35"/>
    <w:rsid w:val="00862E1B"/>
    <w:rsid w:val="00872611"/>
    <w:rsid w:val="00877BD9"/>
    <w:rsid w:val="00881CEF"/>
    <w:rsid w:val="00893553"/>
    <w:rsid w:val="00896CED"/>
    <w:rsid w:val="008A145B"/>
    <w:rsid w:val="008A6084"/>
    <w:rsid w:val="008D11A7"/>
    <w:rsid w:val="008E004F"/>
    <w:rsid w:val="008F572A"/>
    <w:rsid w:val="009036DC"/>
    <w:rsid w:val="009128EF"/>
    <w:rsid w:val="00913445"/>
    <w:rsid w:val="00925750"/>
    <w:rsid w:val="00931A59"/>
    <w:rsid w:val="00933A25"/>
    <w:rsid w:val="00933C10"/>
    <w:rsid w:val="009344B8"/>
    <w:rsid w:val="009442FE"/>
    <w:rsid w:val="0095546E"/>
    <w:rsid w:val="00957936"/>
    <w:rsid w:val="009710A4"/>
    <w:rsid w:val="009824B7"/>
    <w:rsid w:val="009870B2"/>
    <w:rsid w:val="00992568"/>
    <w:rsid w:val="00997530"/>
    <w:rsid w:val="009A0FEE"/>
    <w:rsid w:val="009B4221"/>
    <w:rsid w:val="009C107F"/>
    <w:rsid w:val="009F3FCC"/>
    <w:rsid w:val="009F4493"/>
    <w:rsid w:val="009F48B5"/>
    <w:rsid w:val="00A154B7"/>
    <w:rsid w:val="00A214CA"/>
    <w:rsid w:val="00A2264F"/>
    <w:rsid w:val="00A31BC8"/>
    <w:rsid w:val="00A44227"/>
    <w:rsid w:val="00A50D33"/>
    <w:rsid w:val="00A520C4"/>
    <w:rsid w:val="00A54A5B"/>
    <w:rsid w:val="00A57FCE"/>
    <w:rsid w:val="00A64A34"/>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033B"/>
    <w:rsid w:val="00B122DF"/>
    <w:rsid w:val="00B12B5E"/>
    <w:rsid w:val="00B2290D"/>
    <w:rsid w:val="00B3312F"/>
    <w:rsid w:val="00B37C21"/>
    <w:rsid w:val="00B41E4C"/>
    <w:rsid w:val="00B51490"/>
    <w:rsid w:val="00B575FA"/>
    <w:rsid w:val="00B62F51"/>
    <w:rsid w:val="00B64480"/>
    <w:rsid w:val="00B6530E"/>
    <w:rsid w:val="00B749F3"/>
    <w:rsid w:val="00B74FB8"/>
    <w:rsid w:val="00B77355"/>
    <w:rsid w:val="00B860F7"/>
    <w:rsid w:val="00B90CFB"/>
    <w:rsid w:val="00B91156"/>
    <w:rsid w:val="00B9345C"/>
    <w:rsid w:val="00BA0C75"/>
    <w:rsid w:val="00BA3914"/>
    <w:rsid w:val="00BB4D96"/>
    <w:rsid w:val="00BC6395"/>
    <w:rsid w:val="00BE484B"/>
    <w:rsid w:val="00BF0E18"/>
    <w:rsid w:val="00BF0E45"/>
    <w:rsid w:val="00BF5BB4"/>
    <w:rsid w:val="00BF5FD6"/>
    <w:rsid w:val="00C04C7A"/>
    <w:rsid w:val="00C04E7A"/>
    <w:rsid w:val="00C13A3F"/>
    <w:rsid w:val="00C25AF2"/>
    <w:rsid w:val="00C30739"/>
    <w:rsid w:val="00C30E3D"/>
    <w:rsid w:val="00C31800"/>
    <w:rsid w:val="00C31DDD"/>
    <w:rsid w:val="00C37921"/>
    <w:rsid w:val="00C47020"/>
    <w:rsid w:val="00C512C5"/>
    <w:rsid w:val="00C52034"/>
    <w:rsid w:val="00C628A1"/>
    <w:rsid w:val="00C71578"/>
    <w:rsid w:val="00CA18A0"/>
    <w:rsid w:val="00CA448D"/>
    <w:rsid w:val="00CA50C1"/>
    <w:rsid w:val="00CA54AD"/>
    <w:rsid w:val="00CA5A9B"/>
    <w:rsid w:val="00CA6338"/>
    <w:rsid w:val="00CB533C"/>
    <w:rsid w:val="00CC3CD0"/>
    <w:rsid w:val="00CC3FC8"/>
    <w:rsid w:val="00CD0D28"/>
    <w:rsid w:val="00CE738F"/>
    <w:rsid w:val="00CE74C4"/>
    <w:rsid w:val="00CF0C86"/>
    <w:rsid w:val="00CF721F"/>
    <w:rsid w:val="00CF72F1"/>
    <w:rsid w:val="00D1157A"/>
    <w:rsid w:val="00D33E29"/>
    <w:rsid w:val="00D43482"/>
    <w:rsid w:val="00D500D4"/>
    <w:rsid w:val="00D502D2"/>
    <w:rsid w:val="00D5783F"/>
    <w:rsid w:val="00D63779"/>
    <w:rsid w:val="00D6382F"/>
    <w:rsid w:val="00D77DB4"/>
    <w:rsid w:val="00D83E11"/>
    <w:rsid w:val="00D953C2"/>
    <w:rsid w:val="00DC63E7"/>
    <w:rsid w:val="00DD4678"/>
    <w:rsid w:val="00DD49DC"/>
    <w:rsid w:val="00DF50DB"/>
    <w:rsid w:val="00E0568A"/>
    <w:rsid w:val="00E1051A"/>
    <w:rsid w:val="00E128B4"/>
    <w:rsid w:val="00E129F0"/>
    <w:rsid w:val="00E12E58"/>
    <w:rsid w:val="00E134BF"/>
    <w:rsid w:val="00E13DDB"/>
    <w:rsid w:val="00E145A6"/>
    <w:rsid w:val="00E231F1"/>
    <w:rsid w:val="00E256D5"/>
    <w:rsid w:val="00E25CD2"/>
    <w:rsid w:val="00E27264"/>
    <w:rsid w:val="00E30967"/>
    <w:rsid w:val="00E34FEB"/>
    <w:rsid w:val="00E357C7"/>
    <w:rsid w:val="00E35CA0"/>
    <w:rsid w:val="00E47D00"/>
    <w:rsid w:val="00E5059C"/>
    <w:rsid w:val="00E65E03"/>
    <w:rsid w:val="00E6799D"/>
    <w:rsid w:val="00E67F09"/>
    <w:rsid w:val="00E9319B"/>
    <w:rsid w:val="00EB5CB4"/>
    <w:rsid w:val="00EF37C0"/>
    <w:rsid w:val="00EF512D"/>
    <w:rsid w:val="00F21F2C"/>
    <w:rsid w:val="00F254BF"/>
    <w:rsid w:val="00F41C6C"/>
    <w:rsid w:val="00F43AD8"/>
    <w:rsid w:val="00F43B45"/>
    <w:rsid w:val="00F44797"/>
    <w:rsid w:val="00F5557D"/>
    <w:rsid w:val="00F55ED9"/>
    <w:rsid w:val="00F61738"/>
    <w:rsid w:val="00F61FE1"/>
    <w:rsid w:val="00F63361"/>
    <w:rsid w:val="00F6711E"/>
    <w:rsid w:val="00F72470"/>
    <w:rsid w:val="00F737B1"/>
    <w:rsid w:val="00F7396F"/>
    <w:rsid w:val="00F81431"/>
    <w:rsid w:val="00F84AA9"/>
    <w:rsid w:val="00F85EB7"/>
    <w:rsid w:val="00F875A1"/>
    <w:rsid w:val="00F90015"/>
    <w:rsid w:val="00F93A08"/>
    <w:rsid w:val="00F9577B"/>
    <w:rsid w:val="00F95D66"/>
    <w:rsid w:val="00FA2B5A"/>
    <w:rsid w:val="00FC736F"/>
    <w:rsid w:val="00FD33C3"/>
    <w:rsid w:val="00FD4B78"/>
    <w:rsid w:val="00FD783F"/>
    <w:rsid w:val="00FE0882"/>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 w:type="character" w:customStyle="1" w:styleId="jss1856">
    <w:name w:val="jss1856"/>
    <w:basedOn w:val="DefaultParagraphFont"/>
    <w:rsid w:val="001123E8"/>
  </w:style>
  <w:style w:type="character" w:styleId="HTMLCode">
    <w:name w:val="HTML Code"/>
    <w:basedOn w:val="DefaultParagraphFont"/>
    <w:uiPriority w:val="99"/>
    <w:semiHidden/>
    <w:unhideWhenUsed/>
    <w:rsid w:val="000B37EF"/>
    <w:rPr>
      <w:rFonts w:ascii="Courier New" w:eastAsia="Times New Roman" w:hAnsi="Courier New" w:cs="Courier New"/>
      <w:sz w:val="20"/>
      <w:szCs w:val="20"/>
    </w:rPr>
  </w:style>
  <w:style w:type="character" w:customStyle="1" w:styleId="jss2572">
    <w:name w:val="jss2572"/>
    <w:basedOn w:val="DefaultParagraphFont"/>
    <w:rsid w:val="001B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31494222">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2731873">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22</Pages>
  <Words>15635</Words>
  <Characters>87875</Characters>
  <Application>Microsoft Office Word</Application>
  <DocSecurity>0</DocSecurity>
  <Lines>1793</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72</cp:revision>
  <dcterms:created xsi:type="dcterms:W3CDTF">2023-06-08T16:47:00Z</dcterms:created>
  <dcterms:modified xsi:type="dcterms:W3CDTF">2023-06-10T18:13:00Z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