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A237E"/>
          <w:sz w:val="56"/>
          <w:szCs w:val="56"/>
        </w:rPr>
        <w:t xml:space="preserve">AMLIQ v2</w:t>
      </w:r>
    </w:p>
    <w:p>
      <w:pPr>
        <w:spacing w:after="100"/>
        <w:jc w:val="center"/>
      </w:pPr>
      <w:r>
        <w:rPr>
          <w:rFonts w:ascii="Arial" w:cs="Arial" w:eastAsia="Arial" w:hAnsi="Arial"/>
          <w:b/>
          <w:bCs/>
          <w:color w:val="37474F"/>
          <w:sz w:val="40"/>
          <w:szCs w:val="40"/>
        </w:rPr>
        <w:t xml:space="preserve">CONTENT INTEGRITY AUDIT REPORT</w:t>
      </w:r>
    </w:p>
    <w:p>
      <w:pPr>
        <w:pBdr>
          <w:bottom w:val="single" w:color="1A237E" w:sz="6" w:space="1"/>
        </w:pBdr>
        <w:spacing w:after="600"/>
        <w:jc w:val="center"/>
      </w:pPr>
      <w:r>
        <w:rPr>
          <w:rFonts w:ascii="Arial" w:cs="Arial" w:eastAsia="Arial" w:hAnsi="Arial"/>
          <w:color w:val="666666"/>
          <w:sz w:val="24"/>
          <w:szCs w:val="24"/>
        </w:rPr>
        <w:t xml:space="preserve">Sanctions Lists, Regulations &amp; Compliance Claims</w:t>
      </w:r>
    </w:p>
    <w:p>
      <w:pPr>
        <w:spacing w:after="400"/>
      </w:pPr>
    </w:p>
    <w:p>
      <w:pPr>
        <w:jc w:val="center"/>
      </w:pPr>
      <w:r>
        <w:rPr>
          <w:rFonts w:ascii="Arial" w:cs="Arial" w:eastAsia="Arial" w:hAnsi="Arial"/>
          <w:color w:val="666666"/>
          <w:sz w:val="22"/>
          <w:szCs w:val="22"/>
        </w:rPr>
        <w:t xml:space="preserve">Prepared: April 1, 2026</w:t>
      </w:r>
    </w:p>
    <w:p>
      <w:pPr>
        <w:jc w:val="center"/>
      </w:pPr>
      <w:r>
        <w:rPr>
          <w:rFonts w:ascii="Arial" w:cs="Arial" w:eastAsia="Arial" w:hAnsi="Arial"/>
          <w:b/>
          <w:bCs/>
          <w:color w:val="D32F2F"/>
          <w:sz w:val="22"/>
          <w:szCs w:val="22"/>
        </w:rPr>
        <w:t xml:space="preserve">Classification: INTERNAL — CONFIDENTIAL</w:t>
      </w:r>
    </w:p>
    <w:p>
      <w:pPr>
        <w:spacing w:after="1200"/>
      </w:pPr>
    </w:p>
    <w:p>
      <w:pPr>
        <w:spacing w:after="80"/>
        <w:jc w:val="center"/>
      </w:pPr>
      <w:r>
        <w:rPr>
          <w:rFonts w:ascii="Arial" w:cs="Arial" w:eastAsia="Arial" w:hAnsi="Arial"/>
          <w:b/>
          <w:bCs/>
          <w:color w:val="1A237E"/>
          <w:sz w:val="24"/>
          <w:szCs w:val="24"/>
        </w:rPr>
        <w:t xml:space="preserve">Summary of Findings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30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Count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32F2F"/>
                <w:sz w:val="18"/>
                <w:szCs w:val="18"/>
              </w:rPr>
              <w:t xml:space="preserve">Critical Issues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32F2F"/>
                <w:sz w:val="18"/>
                <w:szCs w:val="18"/>
              </w:rPr>
              <w:t xml:space="preserve">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5100"/>
                <w:sz w:val="18"/>
                <w:szCs w:val="18"/>
              </w:rPr>
              <w:t xml:space="preserve">High Issues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E65100"/>
                <w:sz w:val="18"/>
                <w:szCs w:val="18"/>
              </w:rPr>
              <w:t xml:space="preserve">5</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57F17"/>
                <w:sz w:val="18"/>
                <w:szCs w:val="18"/>
              </w:rPr>
              <w:t xml:space="preserve">Medium Issues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F57F17"/>
                <w:sz w:val="18"/>
                <w:szCs w:val="18"/>
              </w:rPr>
              <w:t xml:space="preserve">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565C0"/>
                <w:sz w:val="18"/>
                <w:szCs w:val="18"/>
              </w:rPr>
              <w:t xml:space="preserve">Low / Informational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1565C0"/>
                <w:sz w:val="18"/>
                <w:szCs w:val="18"/>
              </w:rPr>
              <w:t xml:space="preserve">5</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Total Findings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18</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line="276"/>
      </w:pPr>
      <w:r>
        <w:rPr>
          <w:rFonts w:ascii="Arial" w:cs="Arial" w:eastAsia="Arial" w:hAnsi="Arial"/>
          <w:color w:val="333333"/>
          <w:sz w:val="22"/>
          <w:szCs w:val="22"/>
        </w:rPr>
        <w:t xml:space="preserve">This audit evaluates every sanctions list, regulatory reference, compliance claim, and certification mentioned across the AMLIQ v2 codebase and documentation. Each claim was cross-referenced against official government sources, FATF publications, and verified regulatory databases as of April 2026.</w:t>
      </w:r>
    </w:p>
    <w:p>
      <w:pPr>
        <w:spacing w:after="120" w:line="276"/>
      </w:pPr>
      <w:r>
        <w:rPr>
          <w:rFonts w:ascii="Arial" w:cs="Arial" w:eastAsia="Arial" w:hAnsi="Arial"/>
          <w:color w:val="333333"/>
          <w:sz w:val="22"/>
          <w:szCs w:val="22"/>
        </w:rPr>
        <w:t xml:space="preserve">The audit identified 18 findings across four severity levels. The most critical issues are: inflated list coverage marketing claims, incorrect regulatory body attributions, missing major jurisdiction sanctions lists, and unsubstantiated compliance certification claims. These issues would undermine credibility with regulated financial institution customers and could expose the company to regulatory scrutiny.</w:t>
      </w:r>
    </w:p>
    <w:p>
      <w:pPr>
        <w:spacing w:after="120"/>
      </w:pPr>
    </w:p>
    <w:p>
      <w:pPr>
        <w:pStyle w:val="Heading1"/>
      </w:pPr>
      <w:r>
        <w:t xml:space="preserve">2. Critical Findings</w:t>
      </w:r>
    </w:p>
    <w:p>
      <w:pPr>
        <w:spacing w:after="120" w:line="276"/>
      </w:pPr>
      <w:r>
        <w:rPr>
          <w:rFonts w:ascii="Arial" w:cs="Arial" w:eastAsia="Arial" w:hAnsi="Arial"/>
          <w:color w:val="333333"/>
          <w:sz w:val="22"/>
          <w:szCs w:val="22"/>
        </w:rPr>
        <w:t xml:space="preserve">Critical findings represent claims that are factually false, could mislead regulated customers, or could result in compliance failures.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32F2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8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Finding F-01: </w:t>
            </w:r>
            <w:r>
              <w:rPr>
                <w:rFonts w:ascii="Arial" w:cs="Arial" w:eastAsia="Arial" w:hAnsi="Arial"/>
                <w:b/>
                <w:bCs/>
                <w:sz w:val="20"/>
                <w:szCs w:val="20"/>
              </w:rPr>
              <w:t xml:space="preserve">"40+ Sanctions Lists" Marketing Claim is False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Location</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Narrow" w:cs="Arial Narrow" w:eastAsia="Arial Narrow" w:hAnsi="Arial Narrow"/>
                <w:color w:val="555555"/>
                <w:sz w:val="16"/>
                <w:szCs w:val="16"/>
              </w:rPr>
              <w:t xml:space="preserve">marketing.json (6 occurrences), auth.json, hero section, FAQ, stats section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Issue</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project claims "40+ Sanctions Lists" across all marketing materials, the hero section, stats display, FAQ answers, and authentication pages. This number appears in at least 6 distinct locations in the frontend copy.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Reality</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codebase contains exactly 16 lists across marketplace_data.go and marketplace_regional.go: 8 global entries (OFAC SDN, OFAC Consolidated, UN, EU Financial Sanctions, EEAS, UK FCDO, Every Politician, CIA World Leaders) plus 8 regional entries (Swiss SECO, US BIS Denied, Israeli MoD, NBCTF, Declared Sanction List, Ukraine SDFM, Netherlands Terrorism, CoE Parliamentary Assembly). The actual parsers in internal/ingestion/ support only 10 list types. There is no path to 40+ lists.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Fix</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Replace "40+" with the real count (currently 16). If the goal is 40+, build a roadmap of additional lists to add (see Section 5 of this report for candidates). Never market features that do not exist — regulated customers will audit these claims.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32F2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8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Finding F-02: </w:t>
            </w:r>
            <w:r>
              <w:rPr>
                <w:rFonts w:ascii="Arial" w:cs="Arial" w:eastAsia="Arial" w:hAnsi="Arial"/>
                <w:b/>
                <w:bCs/>
                <w:sz w:val="20"/>
                <w:szCs w:val="20"/>
              </w:rPr>
              <w:t xml:space="preserve">UK Sanctions Authority Incorrectly Attributed to HMRC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Location</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Narrow" w:cs="Arial Narrow" w:eastAsia="Arial Narrow" w:hAnsi="Arial Narrow"/>
                <w:color w:val="555555"/>
                <w:sz w:val="16"/>
                <w:szCs w:val="16"/>
              </w:rPr>
              <w:t xml:space="preserve">GLOSSARY.md, list_source.go, internal/ingestion/hmrc.go, all_lists.go, marketing references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Issue</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project names the UK sanctions list owner as "UK HMRC" (Her Majesty’s Revenue &amp; Customs) throughout the glossary, domain enums, parser names, and documentation. HMRC is referenced as the British regulatory body for sanctions.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Reality</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HMRC is the UK tax authority — it has no role in sanctions. UK financial sanctions are administered by OFSI (Office of Financial Sanctions Implementation), which sits under HM Treasury. The sanctions list itself is published by the FCDO (Foreign, Commonwealth &amp; Development Office). Furthermore, as of January 28, 2026, the UK transitioned to a single unified UK Sanctions List (UKSL), replacing the old OFSI Consolidated List. The correct source URL is now gov.uk/government/publications/the-uk-sanctions-list.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Fix</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Rename all references from "HMRC" to "UK OFSI/FCDO". Update the parser name, ListSource enum, glossary, and marketing copy. Update the source URL to the new UKSL endpoint. This error would immediately signal to any UK-regulated customer that the platform lacks basic sanctions knowledge.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32F2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8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Finding F-03: </w:t>
            </w:r>
            <w:r>
              <w:rPr>
                <w:rFonts w:ascii="Arial" w:cs="Arial" w:eastAsia="Arial" w:hAnsi="Arial"/>
                <w:b/>
                <w:bCs/>
                <w:sz w:val="20"/>
                <w:szCs w:val="20"/>
              </w:rPr>
              <w:t xml:space="preserve">Missing Major Jurisdiction Sanctions Lists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Location</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Narrow" w:cs="Arial Narrow" w:eastAsia="Arial Narrow" w:hAnsi="Arial Narrow"/>
                <w:color w:val="555555"/>
                <w:sz w:val="16"/>
                <w:szCs w:val="16"/>
              </w:rPr>
              <w:t xml:space="preserve">marketplace_data.go, marketplace_regional.go, all_lists.go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Issue</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platform claims to serve US/EU/APAC financial institutions but is missing sanctions lists from major jurisdictions that any regulated FI in those regions would require.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Reality</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following official government sanctions lists are entirely absent from the platform: (1) Australia DFAT Consolidated List — required for any APAC-serving institution, maintained by the Australian Sanctions Office; (2) Canada SEMA Sanctions — maintained by Global Affairs Canada under the Special Economic Measures Act; (3) Japan MOF Sanctions — maintained by Ministry of Finance, critical for APAC; (4) Singapore MAS Designated List — enforces UN sanctions; (5) OFAC Sectoral Sanctions (SSI List) — separate from SDN, covers sector-specific designations; (6) OFAC Foreign Sanctions Evaders (FSE) List; (7) US BIS Entity List — only the Denied Persons list is present, but the Entity List is larger and more commonly screened; (8) Hong Kong Monetary Authority sanctions; (9) South Korea sanctions.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Fix</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parsers and marketplace entries for at minimum: Australia DFAT, Canada SEMA, Japan MOF, OFAC SSI, OFAC FSE, and US BIS Entity List. These are non-negotiable for a platform targeting regulated FIs in US/EU/APAC.</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32F2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CRITICAL</w:t>
            </w:r>
          </w:p>
        </w:tc>
        <w:tc>
          <w:tcPr>
            <w:tcW w:type="dxa" w:w="8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Finding F-04: </w:t>
            </w:r>
            <w:r>
              <w:rPr>
                <w:rFonts w:ascii="Arial" w:cs="Arial" w:eastAsia="Arial" w:hAnsi="Arial"/>
                <w:b/>
                <w:bCs/>
                <w:sz w:val="20"/>
                <w:szCs w:val="20"/>
              </w:rPr>
              <w:t xml:space="preserve">Fabricated Testimonials in Marketing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Location</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Narrow" w:cs="Arial Narrow" w:eastAsia="Arial Narrow" w:hAnsi="Arial Narrow"/>
                <w:color w:val="555555"/>
                <w:sz w:val="16"/>
                <w:szCs w:val="16"/>
              </w:rPr>
              <w:t xml:space="preserve">marketing.json — testimonials section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Issue</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marketing page displays three testimonials attributed to "Compliance Officer at Global Bank", "AML Analyst at Regional Financial Institution", and "Risk Manager at Fintech Company". These are presented as real customer quotes.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Reality</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These testimonials are clearly fabricated — no real company names, no real people, generic titles. Presenting fabricated testimonials as real customer quotes is deceptive and potentially illegal under consumer protection laws in the US (FTC Act), EU (Unfair Commercial Practices Directive), and UK (Consumer Protection from Unfair Trading Regulations 2008).</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Fix</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Remove all fabricated testimonials immediately. Replace with either: (a) real testimonials from beta customers with proper attribution and consent, (b) clearly labeled hypothetical use cases ("Here’s how a compliance team might use AMLIQ..."), or (c) remove the testimonials section entirely until real customers exist.</w:t>
            </w:r>
          </w:p>
        </w:tc>
      </w:tr>
    </w:tbl>
    <w:p>
      <w:pPr>
        <w:spacing w:after="160"/>
      </w:pPr>
    </w:p>
    <w:p>
      <w:pPr>
        <w:pStyle w:val="Heading1"/>
      </w:pPr>
      <w:r>
        <w:t xml:space="preserve">3. High-Severity Findings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8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Finding F-05: </w:t>
            </w:r>
            <w:r>
              <w:rPr>
                <w:rFonts w:ascii="Arial" w:cs="Arial" w:eastAsia="Arial" w:hAnsi="Arial"/>
                <w:b/>
                <w:bCs/>
                <w:sz w:val="20"/>
                <w:szCs w:val="20"/>
              </w:rPr>
              <w:t xml:space="preserve">SOC 2 and GDPR Compliance Claims Are Aspirational, Not Achieved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Location</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Narrow" w:cs="Arial Narrow" w:eastAsia="Arial Narrow" w:hAnsi="Arial Narrow"/>
                <w:color w:val="555555"/>
                <w:sz w:val="16"/>
                <w:szCs w:val="16"/>
              </w:rPr>
              <w:t xml:space="preserve">SECURITY.md — Compliance section, marketing.json badges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Issue</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SECURITY.md has sections titled "GDPR Compliance" and "SOC 2 Compliance" that list requirements as if they are met. Marketing badges say "Security-First Architecture". The FAQ states the platform is "designed for regulatory compliance."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Reality</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SOC 2 requires a formal third-party audit by a licensed CPA firm (cost: $30,000-$80,000+, timeline: 6-12 months). SOC 2 Type II requires demonstrating operational effectiveness over 6+ months. The project has no SOC 2 certification. GDPR compliance requires a Data Protection Impact Assessment (DPIA), appointment of a Data Protection Officer (DPO) if required, and formal documentation — none of which exist in the codebase.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Fix</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Reword SECURITY.md to say "Designed toward SOC 2 readiness" and "Built with GDPR requirements in mind." Never claim compliance without the actual certification/assessment. Add a compliance roadmap with timeline to actual SOC 2 Type II audit.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8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Finding F-06: </w:t>
            </w:r>
            <w:r>
              <w:rPr>
                <w:rFonts w:ascii="Arial" w:cs="Arial" w:eastAsia="Arial" w:hAnsi="Arial"/>
                <w:b/>
                <w:bCs/>
                <w:sz w:val="20"/>
                <w:szCs w:val="20"/>
              </w:rPr>
              <w:t xml:space="preserve">False Positive Rate Claim is Unsubstantiated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Location</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Narrow" w:cs="Arial Narrow" w:eastAsia="Arial Narrow" w:hAnsi="Arial Narrow"/>
                <w:color w:val="555555"/>
                <w:sz w:val="16"/>
                <w:szCs w:val="16"/>
              </w:rPr>
              <w:t xml:space="preserve">VISION.md, GLOSSARY.md — Metrics section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Issue</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Multiple documents claim "False Positive Rate: &lt;5% (vs World-Check’s ~95%)". This is presented as a factual comparison.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Reality</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While high false positive rates in sanctions screening are a known industry problem, the specific "95%" figure for World-Check is anecdotal and not from any published benchmark. More importantly, the &lt;5% claim for AMLIQ is unsubstantiated — there is no test data, no benchmark suite, and no methodology documented to support this number. Making unverified performance claims against a named competitor (Refinitiv World-Check) could constitute false advertising.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Fix</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Remove the specific percentage comparison. Replace with methodology documentation: define how false positive rate will be measured, create a benchmark dataset, and publish results only after rigorous testing. Use language like "designed to significantly reduce false positives" until real data exists.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8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Finding F-07: </w:t>
            </w:r>
            <w:r>
              <w:rPr>
                <w:rFonts w:ascii="Arial" w:cs="Arial" w:eastAsia="Arial" w:hAnsi="Arial"/>
                <w:b/>
                <w:bCs/>
                <w:sz w:val="20"/>
                <w:szCs w:val="20"/>
              </w:rPr>
              <w:t xml:space="preserve">No FATF Framework Integration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Location</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Narrow" w:cs="Arial Narrow" w:eastAsia="Arial Narrow" w:hAnsi="Arial Narrow"/>
                <w:color w:val="555555"/>
                <w:sz w:val="16"/>
                <w:szCs w:val="16"/>
              </w:rPr>
              <w:t xml:space="preserve">Entire codebase — absent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Issue</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FATF (Financial Action Task Force) is mentioned once in the glossary as an acronym definition, but there is zero integration of FATF frameworks into the product: no FATF grey/black list monitoring, no risk-based approach aligned to FATF Recommendation 1, no reference to the 40 Recommendations.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Reality</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FATF is the global standard-setter for AML/CFT. Its 40 Recommendations (updated November 2023 to include Counter-Proliferation Financing) are the foundation of every national AML regime. The FATF grey list (22 jurisdictions as of February 2026) and black list (3 jurisdictions: North Korea, Iran, Myanmar) directly affect enhanced due diligence requirements. Any AML platform must integrate FATF country risk data.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Fix</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FATF grey/black list as a data source. Implement country risk scoring based on FATF mutual evaluation results. Reference FATF Recommendations in documentation as the foundational framework. Add FATF jurisdictional risk indicators to the screening engine.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8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Finding F-08: </w:t>
            </w:r>
            <w:r>
              <w:rPr>
                <w:rFonts w:ascii="Arial" w:cs="Arial" w:eastAsia="Arial" w:hAnsi="Arial"/>
                <w:b/>
                <w:bCs/>
                <w:sz w:val="20"/>
                <w:szCs w:val="20"/>
              </w:rPr>
              <w:t xml:space="preserve">EU Regulatory Framework References Are Outdated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Location</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Narrow" w:cs="Arial Narrow" w:eastAsia="Arial Narrow" w:hAnsi="Arial Narrow"/>
                <w:color w:val="555555"/>
                <w:sz w:val="16"/>
                <w:szCs w:val="16"/>
              </w:rPr>
              <w:t xml:space="preserve">GLOSSARY.md, docs references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Issue</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project references EU AML directives but does not mention AMLD6 (the current directive) or the EU Anti-Money Laundering Authority (AMLA), which began operations in July 2025.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Reality</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EU enacted the Sixth Anti-Money Laundering Directive (AMLD6) on May 30, 2024, published June 19, 2024. AMLA became operational July 1, 2025, headquartered in Frankfurt. AMLA will directly supervise 40+ major financial institutions starting 2028. The project’s regulatory references are frozen at AMLD4/5 era. EU-regulated customers will expect the platform to reflect current regulatory reality.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Fix</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Update all EU regulatory references to cite AMLD6. Add AMLA as a relevant regulatory body. Document AMLD6 implementation timeline (July 2027 full transposition). Reference the expanded scope of obliged entities under AMLD6.</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6510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8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Finding F-09: </w:t>
            </w:r>
            <w:r>
              <w:rPr>
                <w:rFonts w:ascii="Arial" w:cs="Arial" w:eastAsia="Arial" w:hAnsi="Arial"/>
                <w:b/>
                <w:bCs/>
                <w:sz w:val="20"/>
                <w:szCs w:val="20"/>
              </w:rPr>
              <w:t xml:space="preserve">Entity Counts in Marketplace Data Are Static/Fabricated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Location</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Narrow" w:cs="Arial Narrow" w:eastAsia="Arial Narrow" w:hAnsi="Arial Narrow"/>
                <w:color w:val="555555"/>
                <w:sz w:val="16"/>
                <w:szCs w:val="16"/>
              </w:rPr>
              <w:t xml:space="preserve">marketplace_data.go, marketplace_regional.go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Issue</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Each list entry has a hardcoded EntityCount field (e.g., OFAC SDN: 18,699, UN: 7,840, EU: 9,821). These are presented as current counts.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Reality</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Sanctions list entity counts change daily as entities are added and removed. The OFAC SDN list, for example, sees regular updates. Hardcoded counts become stale immediately and present false information to users. The LastSynced timestamps are also hardcoded to March 29, 2026.</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Fix</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Replace static entity counts with dynamically computed values from the actual parsed data. Update counts and timestamps on each sync operation. Display "Last verified" rather than implying real-time accuracy. Never hardcode data that changes.</w:t>
            </w:r>
          </w:p>
        </w:tc>
      </w:tr>
    </w:tbl>
    <w:p>
      <w:r>
        <w:br w:type="page"/>
      </w:r>
    </w:p>
    <w:p>
      <w:pPr>
        <w:pStyle w:val="Heading1"/>
      </w:pPr>
      <w:r>
        <w:t xml:space="preserve">4. Medium-Severity Findings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8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Finding F-10: </w:t>
            </w:r>
            <w:r>
              <w:rPr>
                <w:rFonts w:ascii="Arial" w:cs="Arial" w:eastAsia="Arial" w:hAnsi="Arial"/>
                <w:b/>
                <w:bCs/>
                <w:sz w:val="20"/>
                <w:szCs w:val="20"/>
              </w:rPr>
              <w:t xml:space="preserve">OpenSanctions Mischaracterized as "Journalism NGO"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Location</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Narrow" w:cs="Arial Narrow" w:eastAsia="Arial Narrow" w:hAnsi="Arial Narrow"/>
                <w:color w:val="555555"/>
                <w:sz w:val="16"/>
                <w:szCs w:val="16"/>
              </w:rPr>
              <w:t xml:space="preserve">GLOSSARY.md — Sanctions Lists table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Issue</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glossary describes OpenSanctions as a "Journalism NGO" under the Owner column.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Reality</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OpenSanctions is an open-source intelligence (OSINT) project that aggregates data from 328+ official government sources into a unified format. It is not a journalism organization. It has a commercial data license model for businesses. Mischaracterizing it could create confusion about the provenance and reliability of the data.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Fix</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Correct the description to: "Open-source intelligence project aggregating 328+ global sanctions datasets." Document the OpenSanctions licensing model (free for non-commercial, commercial license required for business use) in the billing/data documentation.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8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Finding F-11: </w:t>
            </w:r>
            <w:r>
              <w:rPr>
                <w:rFonts w:ascii="Arial" w:cs="Arial" w:eastAsia="Arial" w:hAnsi="Arial"/>
                <w:b/>
                <w:bCs/>
                <w:sz w:val="20"/>
                <w:szCs w:val="20"/>
              </w:rPr>
              <w:t xml:space="preserve">EU Sanctions Source URL May Be Outdated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Location</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Narrow" w:cs="Arial Narrow" w:eastAsia="Arial Narrow" w:hAnsi="Arial Narrow"/>
                <w:color w:val="555555"/>
                <w:sz w:val="16"/>
                <w:szCs w:val="16"/>
              </w:rPr>
              <w:t xml:space="preserve">all_lists.go, marketplace_data.go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Issue</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EU source URL uses the path "webgate.ec.europa.eu/europeaid/fsd/fsf" and includes a token parameter. In marketplace_data.go a different variant uses "webgate.ec.europa.eu/fsd/fsf".</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Reality</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authoritative EU sanctions data is published via the EU Official Journal (OJEU) and distributed through data.europa.eu. The europeaid path in the URL is from the old EU aid/development domain which may not be the long-term stable endpoint. The token parameter also suggests a session-based URL that could expire.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Fix</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 the official Data Europa endpoint: data.europa.eu/data/datasets/consolidated-list-of-persons-groups-and-entities-subject-to-eu-financial-sanctions. Alternatively, use the OpenSanctions mirror for the eu_fsf dataset which is reliably maintained. Test URL accessibility in CI/CD.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8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Finding F-12: </w:t>
            </w:r>
            <w:r>
              <w:rPr>
                <w:rFonts w:ascii="Arial" w:cs="Arial" w:eastAsia="Arial" w:hAnsi="Arial"/>
                <w:b/>
                <w:bCs/>
                <w:sz w:val="20"/>
                <w:szCs w:val="20"/>
              </w:rPr>
              <w:t xml:space="preserve">Missing UK Proceeds of Crime Act Reference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Location</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Narrow" w:cs="Arial Narrow" w:eastAsia="Arial Narrow" w:hAnsi="Arial Narrow"/>
                <w:color w:val="555555"/>
                <w:sz w:val="16"/>
                <w:szCs w:val="16"/>
              </w:rPr>
              <w:t xml:space="preserve">GLOSSARY.md, docs/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Issue</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UK regulatory section only mentions HMRC (incorrectly). There is no reference to the Proceeds of Crime Act 2002 (POCA) or the Money Laundering Regulations 2017 (MLR 2017).</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Reality</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POCA is the principal UK money laundering legislation (Sections 327-329), carrying penalties up to 14 years imprisonment. MLR 2017 establishes the customer due diligence and AML policy requirements that UK-regulated firms must follow. The FCA (Financial Conduct Authority) supervises compliance. These are foundational laws that any UK-serving AML platform must reference.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Fix</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POCA and MLR 2017 to the glossary and regulatory documentation. Reference the FCA and NCA (National Crime Agency) as relevant UK regulatory/enforcement bodies.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57F17"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8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Finding F-13: </w:t>
            </w:r>
            <w:r>
              <w:rPr>
                <w:rFonts w:ascii="Arial" w:cs="Arial" w:eastAsia="Arial" w:hAnsi="Arial"/>
                <w:b/>
                <w:bCs/>
                <w:sz w:val="20"/>
                <w:szCs w:val="20"/>
              </w:rPr>
              <w:t xml:space="preserve">CoE Parliamentary Assembly Uses Unofficial Data Source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Location</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Narrow" w:cs="Arial Narrow" w:eastAsia="Arial Narrow" w:hAnsi="Arial Narrow"/>
                <w:color w:val="555555"/>
                <w:sz w:val="16"/>
                <w:szCs w:val="16"/>
              </w:rPr>
              <w:t xml:space="preserve">marketplace_regional.go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Issue</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Council of Europe Parliamentary Assembly PEP list sources from s3.us.archive.org/opensanctions/coe_assembly.csv — this is an Internet Archive S3 bucket, not an official source.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Reality</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Official data should come from either the Council of Europe directly or via the current OpenSanctions API (data.opensanctions.org). The Internet Archive URL suggests a one-time upload that may become stale or disappear.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Fix</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Update the source URL to the current OpenSanctions endpoint: data.opensanctions.org/datasets/latest/coe/targets.simple.csv or the equivalent current path.</w:t>
            </w:r>
          </w:p>
        </w:tc>
      </w:tr>
    </w:tbl>
    <w:p>
      <w:r>
        <w:br w:type="page"/>
      </w:r>
    </w:p>
    <w:p>
      <w:pPr>
        <w:pStyle w:val="Heading1"/>
      </w:pPr>
      <w:r>
        <w:t xml:space="preserve">5. Low-Severity &amp; Informational Findings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8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Finding F-14: </w:t>
            </w:r>
            <w:r>
              <w:rPr>
                <w:rFonts w:ascii="Arial" w:cs="Arial" w:eastAsia="Arial" w:hAnsi="Arial"/>
                <w:b/>
                <w:bCs/>
                <w:sz w:val="20"/>
                <w:szCs w:val="20"/>
              </w:rPr>
              <w:t xml:space="preserve">PSD2 and MiFID II References Are Tangential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Location</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Narrow" w:cs="Arial Narrow" w:eastAsia="Arial Narrow" w:hAnsi="Arial Narrow"/>
                <w:color w:val="555555"/>
                <w:sz w:val="16"/>
                <w:szCs w:val="16"/>
              </w:rPr>
              <w:t xml:space="preserve">GLOSSARY.md, requirements.md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Issue</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PSD2 (Payment Services Directive 2) and MiFID II (Markets in Financial Instruments Directive II) are listed as relevant regulations.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Reality</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While PSD2 and MiFID II have some AML touchpoints, they are primarily payment services and securities market regulations respectively. The core EU AML framework is the Anti-Money Laundering Directives (AMLD1-6). Listing PSD2/MiFID II without AMLD6 creates a misleading impression of regulatory awareness.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Fix</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Move PSD2/MiFID II to a "Related Regulations" section. Prioritize AMLD6, FATF 40 Recommendations, and jurisdiction-specific AML acts as primary references.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8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Finding F-15: </w:t>
            </w:r>
            <w:r>
              <w:rPr>
                <w:rFonts w:ascii="Arial" w:cs="Arial" w:eastAsia="Arial" w:hAnsi="Arial"/>
                <w:b/>
                <w:bCs/>
                <w:sz w:val="20"/>
                <w:szCs w:val="20"/>
              </w:rPr>
              <w:t xml:space="preserve">Missing ISO 37301 Reference for Compliance Management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Location</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Narrow" w:cs="Arial Narrow" w:eastAsia="Arial Narrow" w:hAnsi="Arial Narrow"/>
                <w:color w:val="555555"/>
                <w:sz w:val="16"/>
                <w:szCs w:val="16"/>
              </w:rPr>
              <w:t xml:space="preserve">Entire codebase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Issue</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ISO compliance management standard is referenced anywhere in the project.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Reality</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37301:2021 (Compliance Management Systems) is the current certifiable international standard for compliance management, replacing the non-certifiable ISO 19600:2014. For an AML compliance platform, referencing ISO 37301 would strengthen credibility with enterprise customers.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Fix</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Consider documenting alignment with ISO 37301 principles in the compliance documentation. If seeking formal certification, budget for the process and timeline.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8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Finding F-16: </w:t>
            </w:r>
            <w:r>
              <w:rPr>
                <w:rFonts w:ascii="Arial" w:cs="Arial" w:eastAsia="Arial" w:hAnsi="Arial"/>
                <w:b/>
                <w:bCs/>
                <w:sz w:val="20"/>
                <w:szCs w:val="20"/>
              </w:rPr>
              <w:t xml:space="preserve">EEAS and EU Financial Sanctions Lists Are Redundant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Location</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Narrow" w:cs="Arial Narrow" w:eastAsia="Arial Narrow" w:hAnsi="Arial Narrow"/>
                <w:color w:val="555555"/>
                <w:sz w:val="16"/>
                <w:szCs w:val="16"/>
              </w:rPr>
              <w:t xml:space="preserve">marketplace_data.go</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Issue</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Both "EU Financial Sanctions" (eu-sanctions) and "EEAS Consolidated List" (eeas-consolidated) are listed as separate marketplace entries.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Reality</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EEAS consolidated list and the EU Financial Sanctions File (FSF) are closely related datasets maintained by EU institutions. Having both without clear differentiation confuses users about which to enable.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Fix</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Either merge into a single "EU Consolidated Sanctions" entry or clearly document the difference and use case for each. Most customers need only one EU sanctions source.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8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Finding F-17: </w:t>
            </w:r>
            <w:r>
              <w:rPr>
                <w:rFonts w:ascii="Arial" w:cs="Arial" w:eastAsia="Arial" w:hAnsi="Arial"/>
                <w:b/>
                <w:bCs/>
                <w:sz w:val="20"/>
                <w:szCs w:val="20"/>
              </w:rPr>
              <w:t xml:space="preserve">Missing Compliance Terminology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Location</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Narrow" w:cs="Arial Narrow" w:eastAsia="Arial Narrow" w:hAnsi="Arial Narrow"/>
                <w:color w:val="555555"/>
                <w:sz w:val="16"/>
                <w:szCs w:val="16"/>
              </w:rPr>
              <w:t xml:space="preserve">GLOSSARY.md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Issue</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Several important AML/CFT terms are absent from the glossary: STR (Suspicious Transaction Report), TFS (Targeted Financial Sanctions), CPF (Counter Proliferation Financing), EDD (Enhanced Due Diligence), CDD (Customer Due Diligence), SDD (Simplified Due Diligence).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Reality</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These terms are used daily by compliance professionals. STR is the standard term in most non-US jurisdictions (vs SAR). TFS is core FATF terminology. CPF was added to the FATF mandate in the November 2023 update. CDD/EDD/SDD are the three tiers of due diligence under FATF/AMLD frameworks.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Fix</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all missing terms with accurate definitions. This is low-effort, high-credibility work.</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INFO</w:t>
            </w:r>
          </w:p>
        </w:tc>
        <w:tc>
          <w:tcPr>
            <w:tcW w:type="dxa" w:w="8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Finding F-18: </w:t>
            </w:r>
            <w:r>
              <w:rPr>
                <w:rFonts w:ascii="Arial" w:cs="Arial" w:eastAsia="Arial" w:hAnsi="Arial"/>
                <w:b/>
                <w:bCs/>
                <w:sz w:val="20"/>
                <w:szCs w:val="20"/>
              </w:rPr>
              <w:t xml:space="preserve">World-Check NPS Comparison is Unverifiable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Location</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Narrow" w:cs="Arial Narrow" w:eastAsia="Arial Narrow" w:hAnsi="Arial Narrow"/>
                <w:color w:val="555555"/>
                <w:sz w:val="16"/>
                <w:szCs w:val="16"/>
              </w:rPr>
              <w:t xml:space="preserve">VISION.md — KPIs section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Issue</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document claims "NPS &gt; 50 (vs World-Check’s typically 30-40)".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Reality</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World-Check (Refinitiv, now LSEG) does not publish its NPS score. The 30-40 figure is unverifiable and speculative. Comparing a target NPS against an unverifiable competitor number is not meaningful.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666666"/>
                <w:sz w:val="16"/>
                <w:szCs w:val="16"/>
              </w:rPr>
              <w:t xml:space="preserve">Fix</w:t>
            </w:r>
          </w:p>
        </w:tc>
        <w:tc>
          <w:tcPr>
            <w:tcW w:type="dxa" w:w="8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Remove the World-Check NPS comparison. Set an internal NPS target without competitor comparisons until real benchmark data is available.</w:t>
            </w:r>
          </w:p>
        </w:tc>
      </w:tr>
    </w:tbl>
    <w:p>
      <w:r>
        <w:br w:type="page"/>
      </w:r>
    </w:p>
    <w:p>
      <w:pPr>
        <w:pStyle w:val="Heading1"/>
      </w:pPr>
      <w:r>
        <w:t xml:space="preserve">6. Verified Correct Content</w:t>
      </w:r>
    </w:p>
    <w:p>
      <w:pPr>
        <w:spacing w:after="120" w:line="276"/>
      </w:pPr>
      <w:r>
        <w:rPr>
          <w:rFonts w:ascii="Arial" w:cs="Arial" w:eastAsia="Arial" w:hAnsi="Arial"/>
          <w:color w:val="333333"/>
          <w:sz w:val="22"/>
          <w:szCs w:val="22"/>
        </w:rPr>
        <w:t xml:space="preserve">The following elements in the project were verified as accurate and properly sourced: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Element</w:t>
            </w:r>
          </w:p>
        </w:tc>
        <w:tc>
          <w:tcPr>
            <w:tcW w:type="dxa" w:w="586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Verification Status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OFAC SDN List &amp; URL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Correct. treasury.gov/ofac/downloads/sdn.csv is the real OFAC SDN endpoint.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UN Consolidated List &amp; URL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Correct. scsanctions.un.org/resources/xml/en/consolidated.xml is the real UN endpoint.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UK OFSI ConList URL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URL is correct (ofsistorage.blob.core.windows.net) but the attribution to HMRC is wrong.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Swiss SECO URL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Correct. sesam.search.admin.ch is the real Swiss SECO download portal.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Israeli NBCTF URL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Correct. nbctf.mod.gov.il is the legitimate Israeli NBCTF portal.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OpenSanctions URLs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Correct. data.opensanctions.org is the real OpenSanctions data distribution endpoint.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AES-256-GCM Encryption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Implementation pattern in SECURITY.md is technically correct.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TLS 1.3 Configuration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Go TLS config code is correct and follows best practices.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JWT Authentication Pattern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Standard JWT implementation, correctly documented.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HMAC-SHA256 Webhooks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Correct webhook verification pattern for LemonSqueezy.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Hash-Chain Audit Trail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Sound design for tamper-evident audit logging.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RBAC Role Definitions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L1/L2/L3 analyst hierarchy reflects real compliance team structures.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Screening Algorithm Names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Exact, Fuzzy (Jaro-Winkler), Phonetic (Soundex), Token (Jaccard), Embedding, Graph — all real algorithms.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BSA / USA PATRIOT Act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Correctly referenced as US AML foundation legislation.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FinCEN Description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Correctly described as US enforcement agency.</w:t>
            </w:r>
          </w:p>
        </w:tc>
      </w:tr>
    </w:tbl>
    <w:p>
      <w:r>
        <w:br w:type="page"/>
      </w:r>
    </w:p>
    <w:p>
      <w:pPr>
        <w:pStyle w:val="Heading1"/>
      </w:pPr>
      <w:r>
        <w:t xml:space="preserve">7. Recommended Sanctions Lists to Add</w:t>
      </w:r>
    </w:p>
    <w:p>
      <w:pPr>
        <w:spacing w:after="120" w:line="276"/>
      </w:pPr>
      <w:r>
        <w:rPr>
          <w:rFonts w:ascii="Arial" w:cs="Arial" w:eastAsia="Arial" w:hAnsi="Arial"/>
          <w:color w:val="333333"/>
          <w:sz w:val="22"/>
          <w:szCs w:val="22"/>
        </w:rPr>
        <w:t xml:space="preserve">To achieve genuine comprehensive coverage for US/EU/APAC markets, the following real, official government sanctions lists should be added. All URLs are verified as of April 2026.</w:t>
      </w:r>
    </w:p>
    <w:p>
      <w:pPr>
        <w:spacing w:after="80"/>
      </w:pPr>
    </w:p>
    <w:p>
      <w:pPr>
        <w:pStyle w:val="Heading2"/>
      </w:pPr>
      <w:r>
        <w:t xml:space="preserve">7.1 Priority 1 — Must Have (Regulated FI Requirement)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List</w:t>
            </w:r>
          </w:p>
        </w:tc>
        <w:tc>
          <w:tcPr>
            <w:tcW w:type="dxa" w:w="22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Authority</w:t>
            </w:r>
          </w:p>
        </w:tc>
        <w:tc>
          <w:tcPr>
            <w:tcW w:type="dxa" w:w="22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Jurisdiction</w:t>
            </w:r>
          </w:p>
        </w:tc>
        <w:tc>
          <w:tcPr>
            <w:tcW w:type="dxa" w:w="276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Data Format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OFAC Non-SDN Consolidated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US Treasury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United States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XML, CSV, PDF</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OFAC SSI (Sectoral)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US Treasury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United States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XML, CSV</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OFAC FSE List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US Treasury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United States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XML, CSV</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US BIS Entity List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Bureau of Industry &amp; Security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United States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CSV, PDF</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Australia DFAT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Dept of Foreign Affairs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Australia</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CSV, XML (via DFAT)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Canada SEMA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Global Affairs Canada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Canada</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XML, CSV</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Japan MOF Sanctions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Ministry of Finance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Japan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CSV (via OpenSanctions)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FATF Grey/Black Lists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FATF</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International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Manual/API</w:t>
            </w:r>
          </w:p>
        </w:tc>
      </w:tr>
    </w:tbl>
    <w:p>
      <w:pPr>
        <w:spacing w:after="200"/>
      </w:pPr>
    </w:p>
    <w:p>
      <w:pPr>
        <w:pStyle w:val="Heading2"/>
      </w:pPr>
      <w:r>
        <w:t xml:space="preserve">7.2 Priority 2 — Should Have (Market Differentiation)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List</w:t>
            </w:r>
          </w:p>
        </w:tc>
        <w:tc>
          <w:tcPr>
            <w:tcW w:type="dxa" w:w="22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Authority</w:t>
            </w:r>
          </w:p>
        </w:tc>
        <w:tc>
          <w:tcPr>
            <w:tcW w:type="dxa" w:w="22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Jurisdiction</w:t>
            </w:r>
          </w:p>
        </w:tc>
        <w:tc>
          <w:tcPr>
            <w:tcW w:type="dxa" w:w="276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Data Format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Singapore MAS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Monetary Authority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Singapore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UN-aligned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Hong Kong MAS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HK Monetary Authority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Hong Kong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UN-aligned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South Korea Sanctions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Ministry of Finance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South Korea</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Via OpenSanctions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New Zealand DIA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Dept of Internal Affairs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New Zealand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CSV</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France Tresor Sanctions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Direction du Tresor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France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Via OpenSanctions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Germany BaFin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Federal Financial Supervisory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Germany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Via EU list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Belgium CTIF-CFI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Financial Intelligence Unit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Belgium</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Via EU list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India MHA UAPA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Ministry of Home Affairs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India</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PDF (manual parse)</w:t>
            </w:r>
          </w:p>
        </w:tc>
      </w:tr>
    </w:tbl>
    <w:p>
      <w:r>
        <w:br w:type="page"/>
      </w:r>
    </w:p>
    <w:p>
      <w:pPr>
        <w:pStyle w:val="Heading1"/>
      </w:pPr>
      <w:r>
        <w:t xml:space="preserve">8. Correct Regulatory Framework Reference</w:t>
      </w:r>
    </w:p>
    <w:p>
      <w:pPr>
        <w:spacing w:after="120" w:line="276"/>
      </w:pPr>
      <w:r>
        <w:rPr>
          <w:rFonts w:ascii="Arial" w:cs="Arial" w:eastAsia="Arial" w:hAnsi="Arial"/>
          <w:color w:val="333333"/>
          <w:sz w:val="22"/>
          <w:szCs w:val="22"/>
        </w:rPr>
        <w:t xml:space="preserve">The following is the verified, accurate regulatory framework that should be reflected in AMLIQ documentation. All references are current as of April 2026.</w:t>
      </w:r>
    </w:p>
    <w:p>
      <w:pPr>
        <w:spacing w:after="80"/>
      </w:pPr>
    </w:p>
    <w:p>
      <w:pPr>
        <w:pStyle w:val="Heading2"/>
      </w:pPr>
      <w:r>
        <w:t xml:space="preserve">8.1 International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Framework</w:t>
            </w:r>
          </w:p>
        </w:tc>
        <w:tc>
          <w:tcPr>
            <w:tcW w:type="dxa" w:w="30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Body</w:t>
            </w:r>
          </w:p>
        </w:tc>
        <w:tc>
          <w:tcPr>
            <w:tcW w:type="dxa" w:w="436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FATF 40 Recommendations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Financial Action Task Force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Updated November 2023 (added CPF). Foundation of all national AML regimes.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FATF Grey List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FATF Plenary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22 jurisdictions as of February 2026. Most recent additions: Kuwait, Papua New Guinea.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FATF Black List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FATF Plenary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 jurisdictions: North Korea, Iran, Myanmar.</w:t>
            </w:r>
          </w:p>
        </w:tc>
      </w:tr>
    </w:tbl>
    <w:p>
      <w:pPr>
        <w:spacing w:after="200"/>
      </w:pPr>
    </w:p>
    <w:p>
      <w:pPr>
        <w:pStyle w:val="Heading2"/>
      </w:pPr>
      <w:r>
        <w:t xml:space="preserve">8.2 United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Law / Rule</w:t>
            </w:r>
          </w:p>
        </w:tc>
        <w:tc>
          <w:tcPr>
            <w:tcW w:type="dxa" w:w="30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Regulator</w:t>
            </w:r>
          </w:p>
        </w:tc>
        <w:tc>
          <w:tcPr>
            <w:tcW w:type="dxa" w:w="386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Key Requirement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Bank Secrecy Act (1970)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FinCEN / OCC</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Transaction reporting, record-keeping, AML programs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USA PATRIOT Act (2001)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FinCEN / Treasury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Customer Identification Program (CIP), enhanced due diligence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OFAC Sanctions Programs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OFAC / Treasury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SDN, SSI, FSE, Non-SDN Consolidated screening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FinCEN CDD Rule (2018)</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FinCEN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Beneficial ownership identification for legal entities</w:t>
            </w:r>
          </w:p>
        </w:tc>
      </w:tr>
    </w:tbl>
    <w:p>
      <w:pPr>
        <w:spacing w:after="200"/>
      </w:pPr>
    </w:p>
    <w:p>
      <w:pPr>
        <w:pStyle w:val="Heading2"/>
      </w:pPr>
      <w:r>
        <w:t xml:space="preserve">8.3 European Union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Directive / Regulation</w:t>
            </w:r>
          </w:p>
        </w:tc>
        <w:tc>
          <w:tcPr>
            <w:tcW w:type="dxa" w:w="30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Authority</w:t>
            </w:r>
          </w:p>
        </w:tc>
        <w:tc>
          <w:tcPr>
            <w:tcW w:type="dxa" w:w="386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Status &amp; Timeline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AMLD6 (6th AML Directive)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EU Council / Commission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Adopted May 2024. Full transposition deadline: July 10, 2027.</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EU AMLA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EU Anti-Money Laundering Authority</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Operational July 2025. Direct supervision of 40 FIs from 2028. HQ: Frankfurt.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EU Sanctions Regulation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EU Council / EEAS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Consolidated list via OJEU (authoritative). Daily updates.</w:t>
            </w:r>
          </w:p>
        </w:tc>
      </w:tr>
    </w:tbl>
    <w:p>
      <w:pPr>
        <w:spacing w:after="200"/>
      </w:pPr>
    </w:p>
    <w:p>
      <w:pPr>
        <w:pStyle w:val="Heading2"/>
      </w:pPr>
      <w:r>
        <w:t xml:space="preserve">8.4 United Kingdom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Law / Regulation</w:t>
            </w:r>
          </w:p>
        </w:tc>
        <w:tc>
          <w:tcPr>
            <w:tcW w:type="dxa" w:w="30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Regulator</w:t>
            </w:r>
          </w:p>
        </w:tc>
        <w:tc>
          <w:tcPr>
            <w:tcW w:type="dxa" w:w="386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Key Details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Proceeds of Crime Act 2002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NCA / CPS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Principal ML legislation. Sections 327-329. Up to 14 years imprisonment.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MLR 2017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FCA / HMRC (for certain sectors)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CDD, monitoring, AML policies. 5-year record retention.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UK Sanctions List (UKSL)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FCDO / OFSI</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Unified list since January 28, 2026. Replaced OFSI ConList.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Terrorism Act 2000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NCA / Counter-Terrorism</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Terrorism financing offences.</w:t>
            </w:r>
          </w:p>
        </w:tc>
      </w:tr>
    </w:tbl>
    <w:p>
      <w:r>
        <w:br w:type="page"/>
      </w:r>
    </w:p>
    <w:p>
      <w:pPr>
        <w:pStyle w:val="Heading1"/>
      </w:pPr>
      <w:r>
        <w:t xml:space="preserve">9. Recommended Action Plan</w:t>
      </w:r>
    </w:p>
    <w:p>
      <w:pPr>
        <w:spacing w:after="120" w:line="276"/>
      </w:pPr>
      <w:r>
        <w:rPr>
          <w:rFonts w:ascii="Arial" w:cs="Arial" w:eastAsia="Arial" w:hAnsi="Arial"/>
          <w:color w:val="333333"/>
          <w:sz w:val="22"/>
          <w:szCs w:val="22"/>
        </w:rPr>
        <w:t xml:space="preserve">The following prioritized action plan addresses all 18 findings. Items are ordered by severity and impact on customer trust.</w:t>
      </w:r>
    </w:p>
    <w:p>
      <w:pPr>
        <w:spacing w:after="80"/>
      </w:pPr>
    </w:p>
    <w:p>
      <w:pPr>
        <w:pStyle w:val="Heading2"/>
      </w:pPr>
      <w:r>
        <w:t xml:space="preserve">9.1 Immediate Actions (Week 1)</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560"/>
        <w:gridCol w:w="2300"/>
      </w:tblGrid>
      <w:tr>
        <w:tc>
          <w:tcPr>
            <w:tcW w:type="dxa" w:w="5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656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23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Finding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Remove "40+ lists" from all marketing materials. Replace with actual count.</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F-01 (Critical)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Remove fabricated testimonials section entirely.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F-04 (Critical)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3</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Rename all "HMRC" references to "UK OFSI/FCDO" across codebase.</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F-02 (Critical)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4</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Reword SOC 2/GDPR sections from claims to aspirational language.</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F-05 (High)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Remove unsubstantiated FP rate comparisons with World-Check.</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F-06 (High)</w:t>
            </w:r>
          </w:p>
        </w:tc>
      </w:tr>
    </w:tbl>
    <w:p>
      <w:pPr>
        <w:spacing w:after="200"/>
      </w:pPr>
    </w:p>
    <w:p>
      <w:pPr>
        <w:pStyle w:val="Heading2"/>
      </w:pPr>
      <w:r>
        <w:t xml:space="preserve">9.2 Short-Term Actions (Weeks 2–4)</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560"/>
        <w:gridCol w:w="2300"/>
      </w:tblGrid>
      <w:tr>
        <w:tc>
          <w:tcPr>
            <w:tcW w:type="dxa" w:w="5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656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23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Finding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Add parsers for OFAC Non-SDN, SSI, FSE, and BIS Entity List.</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F-03 (Critical)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7</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Add Australia DFAT, Canada SEMA, and Japan MOF list support.</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F-03 (Critical)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8</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Implement FATF grey/black list data source and country risk scoring.</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F-07 (High)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9</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Update all EU regulatory references to AMLD6 and add AMLA.</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F-08 (High)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10</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Replace hardcoded entity counts with dynamic values from sync.</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F-09 (High)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11</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Update UK Sanctions List URL to new UKSL endpoint.</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F-02 (Critical)</w:t>
            </w:r>
          </w:p>
        </w:tc>
      </w:tr>
    </w:tbl>
    <w:p>
      <w:pPr>
        <w:spacing w:after="200"/>
      </w:pPr>
    </w:p>
    <w:p>
      <w:pPr>
        <w:pStyle w:val="Heading2"/>
      </w:pPr>
      <w:r>
        <w:t xml:space="preserve">9.3 Medium-Term Actions (Weeks 5–8)</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560"/>
        <w:gridCol w:w="2300"/>
      </w:tblGrid>
      <w:tr>
        <w:tc>
          <w:tcPr>
            <w:tcW w:type="dxa" w:w="5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656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23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18"/>
                <w:szCs w:val="18"/>
              </w:rPr>
              <w:t xml:space="preserve">Finding</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12</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Fix OpenSanctions description, EU source URLs, CoE Assembly URL.</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F-10, F-11, F-13</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13</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Add POCA, MLR 2017, AMLD6, FATF 40 Recs to glossary/docs.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F-12, F-14, F-17</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14</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Resolve EEAS/EU list redundancy. Add missing compliance terms.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F-16, F-17</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15</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Add ISO 37301 reference. Remove unverifiable NPS comparison.</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F-15, F-18</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16</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Add Priority 2 lists (Singapore, Hong Kong, South Korea, etc.).</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Section 7.2</w:t>
            </w:r>
          </w:p>
        </w:tc>
      </w:tr>
    </w:tbl>
    <w:p>
      <w:pPr>
        <w:spacing w:after="400"/>
      </w:pPr>
    </w:p>
    <w:p>
      <w:pPr>
        <w:pBdr>
          <w:top w:val="single" w:color="1A237E" w:sz="2" w:space="8"/>
        </w:pBdr>
        <w:spacing w:before="200"/>
      </w:pPr>
      <w:r>
        <w:rPr>
          <w:rFonts w:ascii="Arial" w:cs="Arial" w:eastAsia="Arial" w:hAnsi="Arial"/>
          <w:i/>
          <w:iCs/>
          <w:color w:val="666666"/>
          <w:sz w:val="20"/>
          <w:szCs w:val="20"/>
        </w:rPr>
        <w:t xml:space="preserve">End of Audit Report</w:t>
      </w:r>
    </w:p>
    <w:p>
      <w:pPr>
        <w:spacing w:after="120" w:line="276"/>
      </w:pPr>
      <w:r>
        <w:rPr>
          <w:rFonts w:ascii="Arial" w:cs="Arial" w:eastAsia="Arial" w:hAnsi="Arial"/>
          <w:color w:val="333333"/>
          <w:sz w:val="22"/>
          <w:szCs w:val="22"/>
        </w:rPr>
        <w:t xml:space="preserve">This report should be reviewed by the product and engineering leads. All Critical and High findings should be addressed before any public launch or customer-facing deployment of AMLIQ v2.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AMLIQ v2 — Content Integrity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37E"/>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8359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2026-04-01T14:38:29.794Z</dcterms:created>
  <dcterms:modified xsi:type="dcterms:W3CDTF">2026-04-01T14:38:29.794Z</dcterms:modified>
</cp:coreProperties>
</file>

<file path=docProps/custom.xml><?xml version="1.0" encoding="utf-8"?>
<Properties xmlns="http://schemas.openxmlformats.org/officeDocument/2006/custom-properties" xmlns:vt="http://schemas.openxmlformats.org/officeDocument/2006/docPropsVTypes"/>
</file>