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Calibri" w:cs="Calibri" w:eastAsia="Calibri" w:hAnsi="Calibri"/>
          <w:b/>
          <w:bCs/>
          <w:sz w:val="22"/>
          <w:szCs w:val="22"/>
        </w:rPr>
        <w:t xml:space="preserve">SERIES SEED PREFERRED STOCK INVESTMENT AGREEMENT</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This Series Seed Preferred Stock Investment Agreement (this “</w:t>
      </w:r>
      <w:r>
        <w:rPr>
          <w:rFonts w:ascii="Calibri" w:cs="Calibri" w:eastAsia="Calibri" w:hAnsi="Calibri"/>
          <w:b/>
          <w:bCs/>
          <w:i w:val="false"/>
          <w:iCs w:val="false"/>
          <w:caps w:val="false"/>
          <w:sz w:val="22"/>
          <w:szCs w:val="22"/>
        </w:rPr>
        <w:t xml:space="preserve">Agreement</w:t>
      </w:r>
      <w:r>
        <w:rPr>
          <w:rFonts w:ascii="Calibri" w:cs="Calibri" w:eastAsia="Calibri" w:hAnsi="Calibri"/>
          <w:b w:val="false"/>
          <w:bCs w:val="false"/>
          <w:i w:val="false"/>
          <w:iCs w:val="false"/>
          <w:caps w:val="false"/>
          <w:sz w:val="22"/>
          <w:szCs w:val="22"/>
        </w:rPr>
        <w:t xml:space="preserve">”) is dated as of the Agreement Date and is between the Company, the persons listed as Purchasers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(each, a “</w:t>
      </w:r>
      <w:r>
        <w:rPr>
          <w:rFonts w:ascii="Calibri" w:cs="Calibri" w:eastAsia="Calibri" w:hAnsi="Calibri"/>
          <w:b/>
          <w:bCs/>
          <w:i w:val="false"/>
          <w:iCs w:val="false"/>
          <w:caps w:val="false"/>
          <w:sz w:val="22"/>
          <w:szCs w:val="22"/>
        </w:rPr>
        <w:t xml:space="preserve">Purchaser</w:t>
      </w:r>
      <w:r>
        <w:rPr>
          <w:rFonts w:ascii="Calibri" w:cs="Calibri" w:eastAsia="Calibri" w:hAnsi="Calibri"/>
          <w:b w:val="false"/>
          <w:bCs w:val="false"/>
          <w:i w:val="false"/>
          <w:iCs w:val="false"/>
          <w:caps w:val="false"/>
          <w:sz w:val="22"/>
          <w:szCs w:val="22"/>
        </w:rPr>
        <w:t xml:space="preserve">”), and the persons listed as Key Holders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(each, a “</w:t>
      </w:r>
      <w:r>
        <w:rPr>
          <w:rFonts w:ascii="Calibri" w:cs="Calibri" w:eastAsia="Calibri" w:hAnsi="Calibri"/>
          <w:b/>
          <w:bCs/>
          <w:i w:val="false"/>
          <w:iCs w:val="false"/>
          <w:caps w:val="false"/>
          <w:sz w:val="22"/>
          <w:szCs w:val="22"/>
        </w:rPr>
        <w:t xml:space="preserve">Key Holder</w:t>
      </w:r>
      <w:r>
        <w:rPr>
          <w:rFonts w:ascii="Calibri" w:cs="Calibri" w:eastAsia="Calibri" w:hAnsi="Calibri"/>
          <w:b w:val="false"/>
          <w:bCs w:val="false"/>
          <w:i w:val="false"/>
          <w:iCs w:val="false"/>
          <w:caps w:val="false"/>
          <w:sz w:val="22"/>
          <w:szCs w:val="22"/>
        </w:rPr>
        <w:t xml:space="preserve">”).</w:t>
      </w:r>
      <w:r>
        <w:rPr>
          <w:rStyle w:val="FootnoteReference"/>
        </w:rPr>
        <w:footnoteReference w:id="1"/>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The parties agree as follows:</w:t>
      </w:r>
    </w:p>
    <w:p>
      <w:pPr>
        <w:spacing w:after="0" w:before="0"/>
        <w:jc w:val="center"/>
      </w:pPr>
      <w:r>
        <w:rPr>
          <w:rFonts w:ascii="Calibri" w:cs="Calibri" w:eastAsia="Calibri" w:hAnsi="Calibri"/>
          <w:b w:val="false"/>
          <w:bCs w:val="false"/>
          <w:sz w:val="22"/>
          <w:szCs w:val="22"/>
        </w:rPr>
        <w:t xml:space="preserve">Article 1</w:t>
      </w:r>
    </w:p>
    <w:p>
      <w:pPr>
        <w:spacing w:after="200" w:before="0"/>
        <w:jc w:val="center"/>
      </w:pPr>
      <w:r>
        <w:rPr>
          <w:rFonts w:ascii="Calibri" w:cs="Calibri" w:eastAsia="Calibri" w:hAnsi="Calibri"/>
          <w:b w:val="false"/>
          <w:bCs w:val="false"/>
          <w:sz w:val="22"/>
          <w:szCs w:val="22"/>
        </w:rPr>
        <w:t xml:space="preserve">DEAL TERMS</w:t>
      </w:r>
    </w:p>
    <w:p>
      <w:pPr>
        <w:tabs>
          <w:tab w:val="left" w:pos="720"/>
        </w:tabs>
        <w:spacing w:after="200" w:before="0"/>
        <w:ind w:left="0" w:firstLine="0"/>
      </w:pPr>
      <w:r>
        <w:rPr>
          <w:rFonts w:ascii="Calibri" w:cs="Calibri" w:eastAsia="Calibri" w:hAnsi="Calibri"/>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Deal Terms.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following terms (the “</w:t>
      </w:r>
      <w:r>
        <w:rPr>
          <w:rFonts w:ascii="Calibri" w:cs="Calibri" w:eastAsia="Calibri" w:hAnsi="Calibri"/>
          <w:b/>
          <w:bCs/>
          <w:i w:val="false"/>
          <w:iCs w:val="false"/>
          <w:caps w:val="false"/>
          <w:sz w:val="22"/>
          <w:szCs w:val="22"/>
        </w:rPr>
        <w:t xml:space="preserve">Deal Terms</w:t>
      </w:r>
      <w:r>
        <w:rPr>
          <w:rFonts w:ascii="Calibri" w:cs="Calibri" w:eastAsia="Calibri" w:hAnsi="Calibri"/>
          <w:b w:val="false"/>
          <w:bCs w:val="false"/>
          <w:i w:val="false"/>
          <w:iCs w:val="false"/>
          <w:caps w:val="false"/>
          <w:sz w:val="22"/>
          <w:szCs w:val="22"/>
        </w:rPr>
        <w:t xml:space="preserve">”) have the meanings set out in this table. Together with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and the Disclosure Schedule, they are the only deal-specific terms in this Agreement.</w:t>
      </w:r>
      <w:r>
        <w:rPr>
          <w:rStyle w:val="FootnoteReference"/>
        </w:rPr>
        <w:footnoteReference w:id="2"/>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cantSplit/>
          <w:tblHeader/>
        </w:trPr>
        <w:tc>
          <w:tcPr>
            <w:tcW w:type="dxa" w:w="21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Term</w:t>
            </w:r>
          </w:p>
        </w:tc>
        <w:tc>
          <w:tcPr>
            <w:tcW w:type="dxa" w:w="45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Value</w:t>
            </w:r>
          </w:p>
        </w:tc>
        <w:tc>
          <w:tcPr>
            <w:tcW w:type="dxa" w:w="27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Where it operates</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Company</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[Company Name], a Delaware corporation</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Throughout</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Agreement Date</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[Date]</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Preamble; the Company’s representations speak as of this date (Article 3)</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Purchase Price</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 per share, which is the Original Issue Price of the Series Seed Preferred Stock under the Restated Certificate</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2.2; Restated Certificate, Article Fourth, Part B, Section 1</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Convertible Securities</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[None.] [The SAFEs and convertible notes listed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which convert at the Initial Closing, at the conversion prices shown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into [Series Seed Preferred Stock] [Series Seed-1 Preferred Stock, whose Original Issue Price under the Restated Certificate is $[______] per share].]</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Sections 2.2 and 2.6; Restated Certificate, Article Fourth</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Maximum Offering Amount</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 (the maximum aggregate Purchase Price for shares sold for cash at all Closings)</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2.4</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Additional Closing Deadline</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[90] days after the Initial Closing</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2.4</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Major Purchaser Threshold</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 (a Purchaser that, together with its Affiliates, pays or converts an aggregate amount (cash plus amounts converted under Section 2.6) of at least this amount for Shares is a “</w:t>
            </w:r>
            <w:r>
              <w:rPr>
                <w:rFonts w:ascii="Calibri" w:cs="Calibri" w:eastAsia="Calibri" w:hAnsi="Calibri"/>
                <w:b/>
                <w:bCs/>
                <w:i w:val="false"/>
                <w:iCs w:val="false"/>
                <w:caps w:val="false"/>
                <w:sz w:val="22"/>
                <w:szCs w:val="22"/>
              </w:rPr>
              <w:t xml:space="preserve">Major Purchaser</w:t>
            </w:r>
            <w:r>
              <w:rPr>
                <w:rFonts w:ascii="Calibri" w:cs="Calibri" w:eastAsia="Calibri" w:hAnsi="Calibri"/>
                <w:b w:val="false"/>
                <w:bCs w:val="false"/>
                <w:i w:val="false"/>
                <w:iCs w:val="false"/>
                <w:caps w:val="false"/>
                <w:sz w:val="22"/>
                <w:szCs w:val="22"/>
              </w:rPr>
              <w:t xml:space="preserve">”)</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Sections 2.5, 5.1, 5.2, 5.4, 6.2, 8.2, 8.9</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[Qualified Financing Threshold]</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5.4(e)</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Board Composition</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 Common Designee[s]; [__] Series Seed Designee[s]; [__] Mutual Designee[s]; total authorized Board size of [__] directors</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Sections 7.1 and 7.2; Restated Certificate, Article Fourth, Part B, Section 3.2</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Stock Plan</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Company’s [Year] [Equity Incentive Plan], under which [______] shares of Common Stock are reserved, of which [______] shares are subject to outstanding options and [______] shares are unallocated and available for future grant, in each case immediately before the Initial Closing</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3.2</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Common Stock Outstanding</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 shares immediately before the Initial Closing</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3.2</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Purchaser Counsel Expense Cap</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8.8</w:t>
            </w:r>
          </w:p>
        </w:tc>
      </w:tr>
      <w:tr>
        <w:trPr>
          <w:cantSplit/>
          <w:tblHeader w:val="false"/>
        </w:trPr>
        <w:tc>
          <w:tcPr>
            <w:tcW w:type="dxa" w:w="21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Company Counsel</w:t>
            </w:r>
          </w:p>
        </w:tc>
        <w:tc>
          <w:tcPr>
            <w:tcW w:type="dxa" w:w="45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[Name, firm, email], who receives a copy of notices to the Company</w:t>
            </w:r>
          </w:p>
        </w:tc>
        <w:tc>
          <w:tcPr>
            <w:tcW w:type="dxa" w:w="27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Section 8.6</w:t>
            </w:r>
          </w:p>
        </w:tc>
      </w:tr>
    </w:tbl>
    <w:p>
      <w:pPr>
        <w:spacing w:after="0"/>
      </w:pPr>
    </w:p>
    <w:p>
      <w:pPr>
        <w:tabs>
          <w:tab w:val="left" w:pos="720"/>
        </w:tabs>
        <w:spacing w:after="200" w:before="0"/>
        <w:ind w:left="0" w:firstLine="0"/>
      </w:pPr>
      <w:r>
        <w:rPr>
          <w:rFonts w:ascii="Calibri" w:cs="Calibri" w:eastAsia="Calibri" w:hAnsi="Calibri"/>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Other Definitions.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Other capitalized terms are defined where they first appear in bold. In addition:</w:t>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Affiliate</w:t>
      </w:r>
      <w:r>
        <w:rPr>
          <w:rFonts w:ascii="Calibri" w:cs="Calibri" w:eastAsia="Calibri" w:hAnsi="Calibri"/>
          <w:b w:val="false"/>
          <w:bCs w:val="false"/>
          <w:i w:val="false"/>
          <w:iCs w:val="false"/>
          <w:caps w:val="false"/>
          <w:sz w:val="22"/>
          <w:szCs w:val="22"/>
        </w:rPr>
        <w:t xml:space="preserve">” means, with respect to any Person, any other Person that directly or indirectly controls, is controlled by, or is under common control with that Person, including any general partner, managing member, officer, director or trustee of that Person, and any venture capital fund or other investment fund that is controlled by one or more general partners, managing members or investment advisers of, or shares the same management company or investment adviser with, that Person.</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Board</w:t>
      </w:r>
      <w:r>
        <w:rPr>
          <w:rFonts w:ascii="Calibri" w:cs="Calibri" w:eastAsia="Calibri" w:hAnsi="Calibri"/>
          <w:b w:val="false"/>
          <w:bCs w:val="false"/>
          <w:i w:val="false"/>
          <w:iCs w:val="false"/>
          <w:caps w:val="false"/>
          <w:sz w:val="22"/>
          <w:szCs w:val="22"/>
        </w:rPr>
        <w:t xml:space="preserve">” means the Board of Directors of the Company.</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Common Stock</w:t>
      </w:r>
      <w:r>
        <w:rPr>
          <w:rFonts w:ascii="Calibri" w:cs="Calibri" w:eastAsia="Calibri" w:hAnsi="Calibri"/>
          <w:b w:val="false"/>
          <w:bCs w:val="false"/>
          <w:i w:val="false"/>
          <w:iCs w:val="false"/>
          <w:caps w:val="false"/>
          <w:sz w:val="22"/>
          <w:szCs w:val="22"/>
        </w:rPr>
        <w:t xml:space="preserve">” means the Company’s common stock.</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Person</w:t>
      </w:r>
      <w:r>
        <w:rPr>
          <w:rFonts w:ascii="Calibri" w:cs="Calibri" w:eastAsia="Calibri" w:hAnsi="Calibri"/>
          <w:b w:val="false"/>
          <w:bCs w:val="false"/>
          <w:i w:val="false"/>
          <w:iCs w:val="false"/>
          <w:caps w:val="false"/>
          <w:sz w:val="22"/>
          <w:szCs w:val="22"/>
        </w:rPr>
        <w:t xml:space="preserve">” means any individual, corporation, partnership, trust, limited liability company, association, or other entity.</w:t>
      </w:r>
    </w:p>
    <w:p>
      <w:pPr>
        <w:tabs>
          <w:tab w:val="left" w:pos="1440"/>
        </w:tabs>
        <w:spacing w:after="200" w:before="0"/>
        <w:ind w:left="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Preferred Stock</w:t>
      </w:r>
      <w:r>
        <w:rPr>
          <w:rFonts w:ascii="Calibri" w:cs="Calibri" w:eastAsia="Calibri" w:hAnsi="Calibri"/>
          <w:b w:val="false"/>
          <w:bCs w:val="false"/>
          <w:i w:val="false"/>
          <w:iCs w:val="false"/>
          <w:caps w:val="false"/>
          <w:sz w:val="22"/>
          <w:szCs w:val="22"/>
        </w:rPr>
        <w:t xml:space="preserve">” means the Company’s preferred stock, all of which is designated Series Seed Preferred Stock [and Series Seed-1 Preferred Stock].</w:t>
      </w:r>
    </w:p>
    <w:p>
      <w:pPr>
        <w:tabs>
          <w:tab w:val="left" w:pos="1440"/>
        </w:tabs>
        <w:spacing w:after="200" w:before="0"/>
        <w:ind w:left="0" w:firstLine="720"/>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Requisite Purchasers</w:t>
      </w:r>
      <w:r>
        <w:rPr>
          <w:rFonts w:ascii="Calibri" w:cs="Calibri" w:eastAsia="Calibri" w:hAnsi="Calibri"/>
          <w:b w:val="false"/>
          <w:bCs w:val="false"/>
          <w:i w:val="false"/>
          <w:iCs w:val="false"/>
          <w:caps w:val="false"/>
          <w:sz w:val="22"/>
          <w:szCs w:val="22"/>
        </w:rPr>
        <w:t xml:space="preserve">” means the holders of a majority of the then outstanding shares of Series Seed Preferred Stock (together with any Common Stock issued on conversion of Series Seed Preferred Stock), voting together as a single class on an as-converted basis, excluding any shares held by a Sanctioned Party.</w:t>
      </w:r>
    </w:p>
    <w:p>
      <w:pPr>
        <w:tabs>
          <w:tab w:val="left" w:pos="1440"/>
        </w:tabs>
        <w:spacing w:after="200" w:before="0"/>
        <w:ind w:left="0" w:firstLine="720"/>
      </w:pPr>
      <w:r>
        <w:rPr>
          <w:rFonts w:ascii="Calibri" w:cs="Calibri" w:eastAsia="Calibri" w:hAnsi="Calibri"/>
          <w:sz w:val="22"/>
          <w:szCs w:val="22"/>
        </w:rPr>
        <w:t xml:space="preserve">(g)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Restated Certificate</w:t>
      </w:r>
      <w:r>
        <w:rPr>
          <w:rFonts w:ascii="Calibri" w:cs="Calibri" w:eastAsia="Calibri" w:hAnsi="Calibri"/>
          <w:b w:val="false"/>
          <w:bCs w:val="false"/>
          <w:i w:val="false"/>
          <w:iCs w:val="false"/>
          <w:caps w:val="false"/>
          <w:sz w:val="22"/>
          <w:szCs w:val="22"/>
        </w:rPr>
        <w:t xml:space="preserve">” means the Company’s Amended and Restated Certificate of Incorporation in the form of </w:t>
      </w:r>
      <w:r>
        <w:rPr>
          <w:rFonts w:ascii="Calibri" w:cs="Calibri" w:eastAsia="Calibri" w:hAnsi="Calibri"/>
          <w:b/>
          <w:bCs/>
          <w:i w:val="false"/>
          <w:iCs w:val="false"/>
          <w:caps w:val="false"/>
          <w:sz w:val="22"/>
          <w:szCs w:val="22"/>
        </w:rPr>
        <w:t xml:space="preserve">Exhibit B</w:t>
      </w:r>
      <w:r>
        <w:rPr>
          <w:rFonts w:ascii="Calibri" w:cs="Calibri" w:eastAsia="Calibri" w:hAnsi="Calibri"/>
          <w:b w:val="false"/>
          <w:bCs w:val="false"/>
          <w:i w:val="false"/>
          <w:iCs w:val="false"/>
          <w:caps w:val="false"/>
          <w:sz w:val="22"/>
          <w:szCs w:val="22"/>
        </w:rPr>
        <w:t xml:space="preserve">, as amended or restated from time to time.</w:t>
      </w:r>
    </w:p>
    <w:p>
      <w:pPr>
        <w:tabs>
          <w:tab w:val="left" w:pos="1440"/>
        </w:tabs>
        <w:spacing w:after="200" w:before="0"/>
        <w:ind w:left="0" w:firstLine="720"/>
      </w:pPr>
      <w:r>
        <w:rPr>
          <w:rFonts w:ascii="Calibri" w:cs="Calibri" w:eastAsia="Calibri" w:hAnsi="Calibri"/>
          <w:sz w:val="22"/>
          <w:szCs w:val="22"/>
        </w:rPr>
        <w:t xml:space="preserve">(h)</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Sanctioned Party</w:t>
      </w:r>
      <w:r>
        <w:rPr>
          <w:rFonts w:ascii="Calibri" w:cs="Calibri" w:eastAsia="Calibri" w:hAnsi="Calibri"/>
          <w:b w:val="false"/>
          <w:bCs w:val="false"/>
          <w:i w:val="false"/>
          <w:iCs w:val="false"/>
          <w:caps w:val="false"/>
          <w:sz w:val="22"/>
          <w:szCs w:val="22"/>
        </w:rPr>
        <w:t xml:space="preserve">” means any Person that is (i) organized under the laws of, ordinarily resident in, or located in a country or territory that is the subject of comprehensive sanctions administered by the United States, (ii) 50% or more owned or controlled by the government of such a country or territory, or (iii) designated on, or 50% or more owned or controlled by one or more Persons designated on, a sanctions list administered by the United States, including the Specially Designated Nationals and Blocked Persons List maintained by the Office of Foreign Assets Control of the U.S. Department of the Treasury, in each case to the extent dealings with that Person are prohibited by applicable sanctions laws.</w:t>
      </w:r>
    </w:p>
    <w:p>
      <w:pPr>
        <w:tabs>
          <w:tab w:val="left" w:pos="1440"/>
        </w:tabs>
        <w:spacing w:after="200" w:before="0"/>
        <w:ind w:left="0" w:firstLine="720"/>
      </w:pPr>
      <w:r>
        <w:rPr>
          <w:rFonts w:ascii="Calibri" w:cs="Calibri" w:eastAsia="Calibri" w:hAnsi="Calibri"/>
          <w:sz w:val="22"/>
          <w:szCs w:val="22"/>
        </w:rPr>
        <w:t xml:space="preserve">(i)</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Series Seed Preferred Stock</w:t>
      </w:r>
      <w:r>
        <w:rPr>
          <w:rFonts w:ascii="Calibri" w:cs="Calibri" w:eastAsia="Calibri" w:hAnsi="Calibri"/>
          <w:b w:val="false"/>
          <w:bCs w:val="false"/>
          <w:i w:val="false"/>
          <w:iCs w:val="false"/>
          <w:caps w:val="false"/>
          <w:sz w:val="22"/>
          <w:szCs w:val="22"/>
        </w:rPr>
        <w:t xml:space="preserve">” means the Company’s Series Seed Preferred Stock [and, except where the context requires otherwise, its Series Seed-1 Preferred Stock].</w:t>
      </w:r>
    </w:p>
    <w:p>
      <w:pPr>
        <w:tabs>
          <w:tab w:val="left" w:pos="1440"/>
        </w:tabs>
        <w:spacing w:after="200" w:before="0"/>
        <w:ind w:left="0" w:firstLine="720"/>
      </w:pPr>
      <w:r>
        <w:rPr>
          <w:rFonts w:ascii="Calibri" w:cs="Calibri" w:eastAsia="Calibri" w:hAnsi="Calibri"/>
          <w:sz w:val="22"/>
          <w:szCs w:val="22"/>
        </w:rPr>
        <w:t xml:space="preserve">(j)</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Shares</w:t>
      </w:r>
      <w:r>
        <w:rPr>
          <w:rFonts w:ascii="Calibri" w:cs="Calibri" w:eastAsia="Calibri" w:hAnsi="Calibri"/>
          <w:b w:val="false"/>
          <w:bCs w:val="false"/>
          <w:i w:val="false"/>
          <w:iCs w:val="false"/>
          <w:caps w:val="false"/>
          <w:sz w:val="22"/>
          <w:szCs w:val="22"/>
        </w:rPr>
        <w:t xml:space="preserve">” means the shares of Series Seed Preferred Stock issued under this Agreement and any shares of Common Stock issued on their conversion.</w:t>
      </w:r>
    </w:p>
    <w:p>
      <w:pPr>
        <w:tabs>
          <w:tab w:val="left" w:pos="1440"/>
        </w:tabs>
        <w:spacing w:after="200" w:before="0"/>
        <w:ind w:left="0" w:firstLine="720"/>
      </w:pPr>
      <w:r>
        <w:rPr>
          <w:rFonts w:ascii="Calibri" w:cs="Calibri" w:eastAsia="Calibri" w:hAnsi="Calibri"/>
          <w:sz w:val="22"/>
          <w:szCs w:val="22"/>
        </w:rPr>
        <w:t xml:space="preserve">(k)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Stockholders</w:t>
      </w:r>
      <w:r>
        <w:rPr>
          <w:rFonts w:ascii="Calibri" w:cs="Calibri" w:eastAsia="Calibri" w:hAnsi="Calibri"/>
          <w:b w:val="false"/>
          <w:bCs w:val="false"/>
          <w:i w:val="false"/>
          <w:iCs w:val="false"/>
          <w:caps w:val="false"/>
          <w:sz w:val="22"/>
          <w:szCs w:val="22"/>
        </w:rPr>
        <w:t xml:space="preserve">” means the Purchasers, the Key Holders, and each other Person who becomes a party to this Agreement under Section 7.10 or Section 8.2.</w:t>
      </w:r>
    </w:p>
    <w:p>
      <w:pPr>
        <w:spacing w:after="0" w:before="0"/>
        <w:jc w:val="center"/>
      </w:pPr>
      <w:r>
        <w:rPr>
          <w:rFonts w:ascii="Calibri" w:cs="Calibri" w:eastAsia="Calibri" w:hAnsi="Calibri"/>
          <w:b w:val="false"/>
          <w:bCs w:val="false"/>
          <w:sz w:val="22"/>
          <w:szCs w:val="22"/>
        </w:rPr>
        <w:t xml:space="preserve">Article 2</w:t>
      </w:r>
    </w:p>
    <w:p>
      <w:pPr>
        <w:spacing w:after="200" w:before="0"/>
        <w:jc w:val="center"/>
      </w:pPr>
      <w:r>
        <w:rPr>
          <w:rFonts w:ascii="Calibri" w:cs="Calibri" w:eastAsia="Calibri" w:hAnsi="Calibri"/>
          <w:b w:val="false"/>
          <w:bCs w:val="false"/>
          <w:sz w:val="22"/>
          <w:szCs w:val="22"/>
        </w:rPr>
        <w:t xml:space="preserve">PURCHASE AND SALE OF SERIES SEED PREFERRED STOCK</w:t>
      </w:r>
    </w:p>
    <w:p>
      <w:pPr>
        <w:tabs>
          <w:tab w:val="left" w:pos="720"/>
        </w:tabs>
        <w:spacing w:after="200" w:before="0"/>
        <w:ind w:left="0" w:firstLine="0"/>
      </w:pPr>
      <w:r>
        <w:rPr>
          <w:rFonts w:ascii="Calibri" w:cs="Calibri" w:eastAsia="Calibri" w:hAnsi="Calibri"/>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Restated Certificate.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shall adopt and file the Restated Certificate with the Secretary of State of the State of Delaware on or before the Initial Closing.</w:t>
      </w:r>
    </w:p>
    <w:p>
      <w:pPr>
        <w:tabs>
          <w:tab w:val="left" w:pos="720"/>
        </w:tabs>
        <w:spacing w:after="200" w:before="0"/>
        <w:ind w:left="0" w:firstLine="0"/>
      </w:pPr>
      <w:r>
        <w:rPr>
          <w:rFonts w:ascii="Calibri" w:cs="Calibri" w:eastAsia="Calibri" w:hAnsi="Calibri"/>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Sale and Issuance.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Subject to the terms of this Agreement, each Purchaser shall purchase at the applicable Closing, and the Company shall sell and issue to that Purchaser at that Closing, the number of shares of Series Seed Preferred Stock set forth opposite the Purchaser’s name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at the Purchase Price per share[, except that Shares issued on conversion of Convertible Securities under Section 2.6 are issued at the conversion price set forth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w:t>
      </w:r>
    </w:p>
    <w:p>
      <w:pPr>
        <w:tabs>
          <w:tab w:val="left" w:pos="720"/>
        </w:tabs>
        <w:spacing w:after="200" w:before="0"/>
        <w:ind w:left="0" w:firstLine="0"/>
      </w:pPr>
      <w:r>
        <w:rPr>
          <w:rFonts w:ascii="Calibri" w:cs="Calibri" w:eastAsia="Calibri" w:hAnsi="Calibri"/>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Initial Closing.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initial purchase and sale of Shares under this Agreement will take place remotely by exchange of documents and signatures on the Agreement Date, or on the later date on which one or more Purchasers deliver counterpart signature pages and the Purchase Price to the Company (the “</w:t>
      </w:r>
      <w:r>
        <w:rPr>
          <w:rFonts w:ascii="Calibri" w:cs="Calibri" w:eastAsia="Calibri" w:hAnsi="Calibri"/>
          <w:b/>
          <w:bCs/>
          <w:i w:val="false"/>
          <w:iCs w:val="false"/>
          <w:caps w:val="false"/>
          <w:sz w:val="22"/>
          <w:szCs w:val="22"/>
        </w:rPr>
        <w:t xml:space="preserve">Initial Closing</w:t>
      </w:r>
      <w:r>
        <w:rPr>
          <w:rFonts w:ascii="Calibri" w:cs="Calibri" w:eastAsia="Calibri" w:hAnsi="Calibri"/>
          <w:b w:val="false"/>
          <w:bCs w:val="false"/>
          <w:i w:val="false"/>
          <w:iCs w:val="false"/>
          <w:caps w:val="false"/>
          <w:sz w:val="22"/>
          <w:szCs w:val="22"/>
        </w:rPr>
        <w:t xml:space="preserve">”).</w:t>
      </w:r>
    </w:p>
    <w:p>
      <w:pPr>
        <w:tabs>
          <w:tab w:val="left" w:pos="720"/>
        </w:tabs>
        <w:spacing w:after="200" w:before="0"/>
        <w:ind w:left="0" w:firstLine="0"/>
      </w:pPr>
      <w:r>
        <w:rPr>
          <w:rFonts w:ascii="Calibri" w:cs="Calibri" w:eastAsia="Calibri" w:hAnsi="Calibri"/>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Additional Closings.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any time on or before the Additional Closing Deadline, the Company may, at one or more additional closings (each, an “</w:t>
      </w:r>
      <w:r>
        <w:rPr>
          <w:rFonts w:ascii="Calibri" w:cs="Calibri" w:eastAsia="Calibri" w:hAnsi="Calibri"/>
          <w:b/>
          <w:bCs/>
          <w:i w:val="false"/>
          <w:iCs w:val="false"/>
          <w:caps w:val="false"/>
          <w:sz w:val="22"/>
          <w:szCs w:val="22"/>
        </w:rPr>
        <w:t xml:space="preserve">Additional Closing</w:t>
      </w:r>
      <w:r>
        <w:rPr>
          <w:rFonts w:ascii="Calibri" w:cs="Calibri" w:eastAsia="Calibri" w:hAnsi="Calibri"/>
          <w:b w:val="false"/>
          <w:bCs w:val="false"/>
          <w:i w:val="false"/>
          <w:iCs w:val="false"/>
          <w:caps w:val="false"/>
          <w:sz w:val="22"/>
          <w:szCs w:val="22"/>
        </w:rPr>
        <w:t xml:space="preserve">” and, together with the Initial Closing, each a “</w:t>
      </w:r>
      <w:r>
        <w:rPr>
          <w:rFonts w:ascii="Calibri" w:cs="Calibri" w:eastAsia="Calibri" w:hAnsi="Calibri"/>
          <w:b/>
          <w:bCs/>
          <w:i w:val="false"/>
          <w:iCs w:val="false"/>
          <w:caps w:val="false"/>
          <w:sz w:val="22"/>
          <w:szCs w:val="22"/>
        </w:rPr>
        <w:t xml:space="preserve">Closing</w:t>
      </w:r>
      <w:r>
        <w:rPr>
          <w:rFonts w:ascii="Calibri" w:cs="Calibri" w:eastAsia="Calibri" w:hAnsi="Calibri"/>
          <w:b w:val="false"/>
          <w:bCs w:val="false"/>
          <w:i w:val="false"/>
          <w:iCs w:val="false"/>
          <w:caps w:val="false"/>
          <w:sz w:val="22"/>
          <w:szCs w:val="22"/>
        </w:rPr>
        <w:t xml:space="preserve">”), sell to one or more additional purchasers (each, a “</w:t>
      </w:r>
      <w:r>
        <w:rPr>
          <w:rFonts w:ascii="Calibri" w:cs="Calibri" w:eastAsia="Calibri" w:hAnsi="Calibri"/>
          <w:b/>
          <w:bCs/>
          <w:i w:val="false"/>
          <w:iCs w:val="false"/>
          <w:caps w:val="false"/>
          <w:sz w:val="22"/>
          <w:szCs w:val="22"/>
        </w:rPr>
        <w:t xml:space="preserve">New Purchaser</w:t>
      </w:r>
      <w:r>
        <w:rPr>
          <w:rFonts w:ascii="Calibri" w:cs="Calibri" w:eastAsia="Calibri" w:hAnsi="Calibri"/>
          <w:b w:val="false"/>
          <w:bCs w:val="false"/>
          <w:i w:val="false"/>
          <w:iCs w:val="false"/>
          <w:caps w:val="false"/>
          <w:sz w:val="22"/>
          <w:szCs w:val="22"/>
        </w:rPr>
        <w:t xml:space="preserve">”), at the Purchase Price per share and without the consent of any existing Purchaser, up to that number of shares of Series Seed Preferred Stock equal to (a) the Maximum Offering Amount divided by the Purchase Price, rounded up to the next whole share, less (b) the number of shares of Series Seed Preferred Stock sold for cash at the Initial Closing and all prior Additional Closings. A New Purchaser may be an existing Purchaser. Each New Purchaser shall deliver a counterpart signature page to this Agreement and the Purchase Price for its Shares, and upon the Company’s acceptance becomes a party to, and bound by, this Agreement as a Purchaser as of the applicable Additional Closing. The Company shall update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to reflect each Additional Closing; failure to do so does not affect any New Purchaser’s rights or obligations.</w:t>
      </w:r>
    </w:p>
    <w:p>
      <w:pPr>
        <w:tabs>
          <w:tab w:val="left" w:pos="720"/>
        </w:tabs>
        <w:spacing w:after="200" w:before="0"/>
        <w:ind w:left="0" w:firstLine="0"/>
      </w:pPr>
      <w:r>
        <w:rPr>
          <w:rFonts w:ascii="Calibri" w:cs="Calibri" w:eastAsia="Calibri" w:hAnsi="Calibri"/>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Deliveries at Closing.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At each Closing, (a) each Purchaser shall deliver the Purchase Price for its Shares by wire transfer to an account designated by the Company, by check payable to the Company, by cancellation or conversion of Convertible Securities under Section 2.6, or by any combination of those methods, together with a completed investor questionnaire in the form reasonably requested by the Company; and (b) the Company shall deliver to each Purchaser a notice of issuance of uncertificated shares (or, if the Company’s shares are certificated, a certificate) for the Shares purchased by that Purchaser, and, at the Initial Closing, evidence of the filing of the Restated Certificate and copies of the resolutions of the Board and the stockholders of the Company approving the Restated Certificate and this Agreement. [At the request of any Major Purchaser that is a venture capital fund, the Company shall deliver a management rights letter in customary form.]</w:t>
      </w:r>
      <w:r>
        <w:rPr>
          <w:rStyle w:val="FootnoteReference"/>
        </w:rPr>
        <w:footnoteReference w:id="3"/>
      </w:r>
      <w:r>
        <w:rPr>
          <w:rFonts w:ascii="Calibri" w:cs="Calibri" w:eastAsia="Calibri" w:hAnsi="Calibri"/>
          <w:b w:val="false"/>
          <w:bCs w:val="false"/>
          <w:i w:val="false"/>
          <w:iCs w:val="false"/>
          <w:caps w:val="false"/>
          <w:sz w:val="22"/>
          <w:szCs w:val="22"/>
        </w:rPr>
        <w:t xml:space="preserve"> At the Initial Closing, each Key Holder shall deliver to the Company (i) a stock restriction agreement, or an amendment to the Key Holder’s existing stock purchase or restricted stock agreement, providing for vesting of the Key Holder’s shares on the terms set forth in Section 3.2(d) of the Disclosure Schedule, to the extent the Key Holder’s existing agreements do not already so provide, and (ii) if the Key Holder is married and resides in a community property state, a spousal consent in the form of </w:t>
      </w:r>
      <w:r>
        <w:rPr>
          <w:rFonts w:ascii="Calibri" w:cs="Calibri" w:eastAsia="Calibri" w:hAnsi="Calibri"/>
          <w:b/>
          <w:bCs/>
          <w:i w:val="false"/>
          <w:iCs w:val="false"/>
          <w:caps w:val="false"/>
          <w:sz w:val="22"/>
          <w:szCs w:val="22"/>
        </w:rPr>
        <w:t xml:space="preserve">Exhibit D</w:t>
      </w:r>
      <w:r>
        <w:rPr>
          <w:rFonts w:ascii="Calibri" w:cs="Calibri" w:eastAsia="Calibri" w:hAnsi="Calibri"/>
          <w:b w:val="false"/>
          <w:bCs w:val="false"/>
          <w:i w:val="false"/>
          <w:iCs w:val="false"/>
          <w:caps w:val="false"/>
          <w:sz w:val="22"/>
          <w:szCs w:val="22"/>
        </w:rPr>
        <w:t xml:space="preserve">.</w:t>
      </w:r>
    </w:p>
    <w:p>
      <w:pPr>
        <w:tabs>
          <w:tab w:val="left" w:pos="720"/>
        </w:tabs>
        <w:spacing w:after="200" w:before="0"/>
        <w:ind w:left="0" w:firstLine="0"/>
      </w:pPr>
      <w:r>
        <w:rPr>
          <w:rFonts w:ascii="Calibri" w:cs="Calibri" w:eastAsia="Calibri" w:hAnsi="Calibri"/>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Conversion of Convertible Securities.</w:t>
      </w:r>
      <w:r>
        <w:rPr>
          <w:rFonts w:ascii="Calibri" w:cs="Calibri" w:eastAsia="Calibri" w:hAnsi="Calibri"/>
          <w:sz w:val="22"/>
          <w:szCs w:val="22"/>
        </w:rPr>
        <w:t xml:space="preserve"> </w:t>
      </w:r>
      <w:r>
        <w:rPr>
          <w:rStyle w:val="FootnoteReference"/>
        </w:rPr>
        <w:footnoteReference w:id="4"/>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By signing this Agreement, each Purchaser that holds one or more Convertible Securities irrevocably agrees, and represents and warrants to the Company, that: (i) the aggregate amount outstanding under the Convertible Securities held by the Purchaser is as set forth opposite the Purchaser’s name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(ii) the Purchaser is the sole owner of all right, title and interest in those Convertible Securities and has not transferred any interest in them; (iii) at the Initial Closing, all of the Purchaser’s Convertible Securities will automatically, and without further action by the Purchaser, convert into the number of Shares set forth opposite the Purchaser’s name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under the heading “Convertible Security Shares” (the Purchaser’s “</w:t>
      </w:r>
      <w:r>
        <w:rPr>
          <w:rFonts w:ascii="Calibri" w:cs="Calibri" w:eastAsia="Calibri" w:hAnsi="Calibri"/>
          <w:b/>
          <w:bCs/>
          <w:i w:val="false"/>
          <w:iCs w:val="false"/>
          <w:caps w:val="false"/>
          <w:sz w:val="22"/>
          <w:szCs w:val="22"/>
        </w:rPr>
        <w:t xml:space="preserve">Convertible Security Shares</w:t>
      </w:r>
      <w:r>
        <w:rPr>
          <w:rFonts w:ascii="Calibri" w:cs="Calibri" w:eastAsia="Calibri" w:hAnsi="Calibri"/>
          <w:b w:val="false"/>
          <w:bCs w:val="false"/>
          <w:i w:val="false"/>
          <w:iCs w:val="false"/>
          <w:caps w:val="false"/>
          <w:sz w:val="22"/>
          <w:szCs w:val="22"/>
        </w:rPr>
        <w:t xml:space="preserve">”), regardless of whether the original Convertible Securities or an affidavit of loss is delivered to the Company; and (iv) the Convertible Security Shares are issued in full and complete discharge and satisfaction of all obligations of the Company (including principal, interest and any other amounts) under the Purchaser’s Convertible Securities, which terminate automatically at the Initial Closing.</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and each Purchaser that holds Convertible Securities agree that each of those Convertible Securities is amended to the extent necessary to permit its conversion as provided in this Section 2.6 and to fix its conversion price at the price set forth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and that, immediately upon the Initial Closing, each of those Convertible Securities is terminated and of no further force or effect, except for the holder’s right to receive its Convertible Security Shares. To the extent the terms of a Convertible Security permit the holders of a specified portion of the Convertible Securities to amend all of them, each Purchaser that holds Convertible Securities agrees to the amendment in this Section 2.6(b) on behalf of all holders.</w:t>
      </w:r>
    </w:p>
    <w:p>
      <w:pPr>
        <w:spacing w:after="0" w:before="0"/>
        <w:jc w:val="center"/>
      </w:pPr>
      <w:r>
        <w:rPr>
          <w:rFonts w:ascii="Calibri" w:cs="Calibri" w:eastAsia="Calibri" w:hAnsi="Calibri"/>
          <w:b w:val="false"/>
          <w:bCs w:val="false"/>
          <w:sz w:val="22"/>
          <w:szCs w:val="22"/>
        </w:rPr>
        <w:t xml:space="preserve">Article 3</w:t>
      </w:r>
    </w:p>
    <w:p>
      <w:pPr>
        <w:spacing w:after="200" w:before="0"/>
        <w:jc w:val="center"/>
      </w:pPr>
      <w:r>
        <w:rPr>
          <w:rFonts w:ascii="Calibri" w:cs="Calibri" w:eastAsia="Calibri" w:hAnsi="Calibri"/>
          <w:b w:val="false"/>
          <w:bCs w:val="false"/>
          <w:sz w:val="22"/>
          <w:szCs w:val="22"/>
        </w:rPr>
        <w:t xml:space="preserve">REPRESENTATIONS AND WARRANTIES OF THE COMPANY</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The Company represents and warrants to each Purchaser that, except as set forth on the Disclosure Schedule attached as </w:t>
      </w:r>
      <w:r>
        <w:rPr>
          <w:rFonts w:ascii="Calibri" w:cs="Calibri" w:eastAsia="Calibri" w:hAnsi="Calibri"/>
          <w:b/>
          <w:bCs/>
          <w:i w:val="false"/>
          <w:iCs w:val="false"/>
          <w:caps w:val="false"/>
          <w:sz w:val="22"/>
          <w:szCs w:val="22"/>
        </w:rPr>
        <w:t xml:space="preserve">Exhibit C</w:t>
      </w:r>
      <w:r>
        <w:rPr>
          <w:rFonts w:ascii="Calibri" w:cs="Calibri" w:eastAsia="Calibri" w:hAnsi="Calibri"/>
          <w:b w:val="false"/>
          <w:bCs w:val="false"/>
          <w:i w:val="false"/>
          <w:iCs w:val="false"/>
          <w:caps w:val="false"/>
          <w:sz w:val="22"/>
          <w:szCs w:val="22"/>
        </w:rPr>
        <w:t xml:space="preserve"> (the “</w:t>
      </w:r>
      <w:r>
        <w:rPr>
          <w:rFonts w:ascii="Calibri" w:cs="Calibri" w:eastAsia="Calibri" w:hAnsi="Calibri"/>
          <w:b/>
          <w:bCs/>
          <w:i w:val="false"/>
          <w:iCs w:val="false"/>
          <w:caps w:val="false"/>
          <w:sz w:val="22"/>
          <w:szCs w:val="22"/>
        </w:rPr>
        <w:t xml:space="preserve">Disclosure Schedule</w:t>
      </w:r>
      <w:r>
        <w:rPr>
          <w:rFonts w:ascii="Calibri" w:cs="Calibri" w:eastAsia="Calibri" w:hAnsi="Calibri"/>
          <w:b w:val="false"/>
          <w:bCs w:val="false"/>
          <w:i w:val="false"/>
          <w:iCs w:val="false"/>
          <w:caps w:val="false"/>
          <w:sz w:val="22"/>
          <w:szCs w:val="22"/>
        </w:rPr>
        <w:t xml:space="preserve">”), which exceptions are deemed part of the representations and warranties made in this Article 3, the following statements are true and complete as of the Agreement Date and, as to any Additional Closing, as of that Closing except as otherwise disclosed in writing to the New Purchasers at that Closing.</w:t>
      </w:r>
      <w:r>
        <w:rPr>
          <w:rStyle w:val="FootnoteReference"/>
        </w:rPr>
        <w:footnoteReference w:id="5"/>
      </w:r>
    </w:p>
    <w:p>
      <w:pPr>
        <w:tabs>
          <w:tab w:val="left" w:pos="720"/>
        </w:tabs>
        <w:spacing w:after="200" w:before="0"/>
        <w:ind w:left="0" w:firstLine="0"/>
      </w:pPr>
      <w:r>
        <w:rPr>
          <w:rFonts w:ascii="Calibri" w:cs="Calibri" w:eastAsia="Calibri" w:hAnsi="Calibri"/>
          <w:sz w:val="22"/>
          <w:szCs w:val="22"/>
        </w:rPr>
        <w:t xml:space="preserve">3.1</w:t>
      </w:r>
      <w:r>
        <w:rPr>
          <w:rFonts w:ascii="Calibri" w:cs="Calibri" w:eastAsia="Calibri" w:hAnsi="Calibri"/>
          <w:sz w:val="22"/>
          <w:szCs w:val="22"/>
        </w:rPr>
        <w:t xml:space="preserve">	</w:t>
      </w:r>
      <w:r>
        <w:rPr>
          <w:rFonts w:ascii="Calibri" w:cs="Calibri" w:eastAsia="Calibri" w:hAnsi="Calibri"/>
          <w:b/>
          <w:bCs/>
          <w:sz w:val="22"/>
          <w:szCs w:val="22"/>
        </w:rPr>
        <w:t xml:space="preserve">Organization, Good Standing, Corporate Power and Qualification.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is a corporation duly organized, validly existing and in good standing under the laws of the State of Delaware and has all corporate power and authority required (a) to carry on its business as presently conducted and as presently proposed to be conducted and (b) to sign, deliver and perform this Agreement. The Company is duly qualified to transact business and is in good standing in each jurisdiction in which the failure to so qualify would have a material adverse effect on the business, assets (including intangible assets), liabilities, financial condition, property or results of operations of the Company.</w:t>
      </w:r>
    </w:p>
    <w:p>
      <w:pPr>
        <w:tabs>
          <w:tab w:val="left" w:pos="720"/>
        </w:tabs>
        <w:spacing w:after="200" w:before="0"/>
        <w:ind w:left="0" w:firstLine="0"/>
      </w:pPr>
      <w:r>
        <w:rPr>
          <w:rFonts w:ascii="Calibri" w:cs="Calibri" w:eastAsia="Calibri" w:hAnsi="Calibri"/>
          <w:sz w:val="22"/>
          <w:szCs w:val="22"/>
        </w:rPr>
        <w:t xml:space="preserve">3.2</w:t>
      </w:r>
      <w:r>
        <w:rPr>
          <w:rFonts w:ascii="Calibri" w:cs="Calibri" w:eastAsia="Calibri" w:hAnsi="Calibri"/>
          <w:sz w:val="22"/>
          <w:szCs w:val="22"/>
        </w:rPr>
        <w:t xml:space="preserve">	</w:t>
      </w:r>
      <w:r>
        <w:rPr>
          <w:rFonts w:ascii="Calibri" w:cs="Calibri" w:eastAsia="Calibri" w:hAnsi="Calibri"/>
          <w:b/>
          <w:bCs/>
          <w:sz w:val="22"/>
          <w:szCs w:val="22"/>
        </w:rPr>
        <w:t xml:space="preserve">Capitalization.</w:t>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Immediately before the Initial Closing, the authorized capital of the Company consists of the shares of Common Stock and Preferred Stock set forth in the Restated Certificate, of which the number of shares of Common Stock set forth in the Deal Terms as Common Stock Outstanding, and no shares of Preferred Stock, are issued and outstanding. All outstanding shares of Common Stock have been duly authorized and validly issued, are fully paid and nonassessable, and were issued in compliance with all applicable federal and state securities laws.</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has reserved under the Stock Plan the number of shares of Common Stock set forth in the Deal Terms, of which the number of shares set forth there are subject to outstanding options and the number of shares set forth there remain available for future grant. The Stock Plan has been duly adopted by the Board and approved by the Company’s stockholders.</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Except for (i) the conversion privileges of the Series Seed Preferred Stock, (ii) the rights provided in Section 5.4, (iii) the options described in Section 3.2(b), and (iv) the Convertible Securities, there are no outstanding options, warrants, rights (including conversion or preemptive rights and rights of first refusal or similar rights) or agreements, orally or in writing, to purchase or acquire from the Company any shares of Common Stock or Preferred Stock, or any securities convertible into or exchangeable for shares of Common Stock or Preferred Stock. The Company has obtained valid waivers of any rights of other parties to purchase any of the Shares.</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Key Holder holds the number of shares of Common Stock set forth opposite the Key Holder’s name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and those shares are subject to vesting or a repurchase right in favor of the Company on the terms set forth in Section 3.2(d) of the Disclosure Schedule, which specifies for each Key Holder the vesting commencement date, the number of shares currently vested and unvested, and any terms on which vesting would accelerate. Except as set forth in Section 3.2(d) of the Disclosure Schedule, (i) all outstanding shares of Common Stock and options held by service providers vest over four years with a one-year cliff (or, for consultants and directors, monthly over not less than two years), (ii) no agreement between the Company and any holder of its equity securities provides for acceleration of vesting or other changes in vesting terms upon termination of service, a change of control, or any other event, and (iii) the Company has no obligation (contingent or otherwise) to purchase or redeem any of its capital stock other than as set forth in the Restated Certificate.</w:t>
      </w:r>
    </w:p>
    <w:p>
      <w:pPr>
        <w:tabs>
          <w:tab w:val="left" w:pos="720"/>
        </w:tabs>
        <w:spacing w:after="200" w:before="0"/>
        <w:ind w:left="0" w:firstLine="0"/>
      </w:pPr>
      <w:r>
        <w:rPr>
          <w:rFonts w:ascii="Calibri" w:cs="Calibri" w:eastAsia="Calibri" w:hAnsi="Calibri"/>
          <w:sz w:val="22"/>
          <w:szCs w:val="22"/>
        </w:rPr>
        <w:t xml:space="preserve">3.3</w:t>
      </w:r>
      <w:r>
        <w:rPr>
          <w:rFonts w:ascii="Calibri" w:cs="Calibri" w:eastAsia="Calibri" w:hAnsi="Calibri"/>
          <w:sz w:val="22"/>
          <w:szCs w:val="22"/>
        </w:rPr>
        <w:t xml:space="preserve">	</w:t>
      </w:r>
      <w:r>
        <w:rPr>
          <w:rFonts w:ascii="Calibri" w:cs="Calibri" w:eastAsia="Calibri" w:hAnsi="Calibri"/>
          <w:b/>
          <w:bCs/>
          <w:sz w:val="22"/>
          <w:szCs w:val="22"/>
        </w:rPr>
        <w:t xml:space="preserve">Subsidiaries.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does not own or control, directly or indirectly, any interest in any other corporation, partnership, trust, joint venture, limited liability company, association or other business entity, and is not a participant in any joint venture, partnership or similar arrangement.</w:t>
      </w:r>
    </w:p>
    <w:p>
      <w:pPr>
        <w:tabs>
          <w:tab w:val="left" w:pos="720"/>
        </w:tabs>
        <w:spacing w:after="200" w:before="0"/>
        <w:ind w:left="0" w:firstLine="0"/>
      </w:pPr>
      <w:r>
        <w:rPr>
          <w:rFonts w:ascii="Calibri" w:cs="Calibri" w:eastAsia="Calibri" w:hAnsi="Calibri"/>
          <w:sz w:val="22"/>
          <w:szCs w:val="22"/>
        </w:rPr>
        <w:t xml:space="preserve">3.4</w:t>
      </w:r>
      <w:r>
        <w:rPr>
          <w:rFonts w:ascii="Calibri" w:cs="Calibri" w:eastAsia="Calibri" w:hAnsi="Calibri"/>
          <w:sz w:val="22"/>
          <w:szCs w:val="22"/>
        </w:rPr>
        <w:t xml:space="preserve">	</w:t>
      </w:r>
      <w:r>
        <w:rPr>
          <w:rFonts w:ascii="Calibri" w:cs="Calibri" w:eastAsia="Calibri" w:hAnsi="Calibri"/>
          <w:b/>
          <w:bCs/>
          <w:sz w:val="22"/>
          <w:szCs w:val="22"/>
        </w:rPr>
        <w:t xml:space="preserve">Authorization.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All corporate action required on the part of the Board and the stockholders of the Company for the authorization, execution and delivery of this Agreement, the performance of the Company’s obligations under this Agreement, and the authorization, issuance and delivery of the Shares has been taken or will be taken before the applicable Closing. This Agreement, when signed and delivered by the Company, constitutes a valid and legally binding obligation of the Company, enforceable against the Company in accordance with its terms, except as limited by (a) applicable bankruptcy, insolvency, reorganization, moratorium, fraudulent conveyance and other laws of general application affecting the enforcement of creditors’ rights generally and (b) laws relating to the availability of specific performance, injunctive relief or other equitable remedies.</w:t>
      </w:r>
    </w:p>
    <w:p>
      <w:pPr>
        <w:tabs>
          <w:tab w:val="left" w:pos="720"/>
        </w:tabs>
        <w:spacing w:after="200" w:before="0"/>
        <w:ind w:left="0" w:firstLine="0"/>
      </w:pPr>
      <w:r>
        <w:rPr>
          <w:rFonts w:ascii="Calibri" w:cs="Calibri" w:eastAsia="Calibri" w:hAnsi="Calibri"/>
          <w:sz w:val="22"/>
          <w:szCs w:val="22"/>
        </w:rPr>
        <w:t xml:space="preserve">3.5</w:t>
      </w:r>
      <w:r>
        <w:rPr>
          <w:rFonts w:ascii="Calibri" w:cs="Calibri" w:eastAsia="Calibri" w:hAnsi="Calibri"/>
          <w:sz w:val="22"/>
          <w:szCs w:val="22"/>
        </w:rPr>
        <w:t xml:space="preserve">	</w:t>
      </w:r>
      <w:r>
        <w:rPr>
          <w:rFonts w:ascii="Calibri" w:cs="Calibri" w:eastAsia="Calibri" w:hAnsi="Calibri"/>
          <w:b/>
          <w:bCs/>
          <w:sz w:val="22"/>
          <w:szCs w:val="22"/>
        </w:rPr>
        <w:t xml:space="preserve">Valid Issuance of Shares.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Shares, when issued, sold and delivered in accordance with this Agreement for the consideration stated in it, will be duly authorized, validly issued, fully paid and nonassessable, and free of restrictions on transfer other than restrictions under this Agreement, applicable federal and state securities laws, and liens or encumbrances created by or imposed on a Purchaser. The Common Stock issuable upon conversion of the Shares has been duly reserved for issuance and, when issued in accordance with the Restated Certificate, will be duly authorized, validly issued, fully paid and nonassessable, and free of restrictions on transfer other than those described in the preceding sentence. Assuming the accuracy of the representations of the Purchasers in Article 4, and subject to filings under Regulation D of the Securities Act of 1933, as amended (the “</w:t>
      </w:r>
      <w:r>
        <w:rPr>
          <w:rFonts w:ascii="Calibri" w:cs="Calibri" w:eastAsia="Calibri" w:hAnsi="Calibri"/>
          <w:b/>
          <w:bCs/>
          <w:i w:val="false"/>
          <w:iCs w:val="false"/>
          <w:caps w:val="false"/>
          <w:sz w:val="22"/>
          <w:szCs w:val="22"/>
        </w:rPr>
        <w:t xml:space="preserve">Securities Act</w:t>
      </w:r>
      <w:r>
        <w:rPr>
          <w:rFonts w:ascii="Calibri" w:cs="Calibri" w:eastAsia="Calibri" w:hAnsi="Calibri"/>
          <w:b w:val="false"/>
          <w:bCs w:val="false"/>
          <w:i w:val="false"/>
          <w:iCs w:val="false"/>
          <w:caps w:val="false"/>
          <w:sz w:val="22"/>
          <w:szCs w:val="22"/>
        </w:rPr>
        <w:t xml:space="preserve">”), and applicable state securities laws, which the Company shall make within the periods required, the offer, sale and issuance of the Shares and the Common Stock issuable on their conversion are exempt from the registration requirements of the Securities Act and from the registration and qualification requirements of applicable state securities laws.</w:t>
      </w:r>
    </w:p>
    <w:p>
      <w:pPr>
        <w:tabs>
          <w:tab w:val="left" w:pos="720"/>
        </w:tabs>
        <w:spacing w:after="200" w:before="0"/>
        <w:ind w:left="0" w:firstLine="0"/>
      </w:pPr>
      <w:r>
        <w:rPr>
          <w:rFonts w:ascii="Calibri" w:cs="Calibri" w:eastAsia="Calibri" w:hAnsi="Calibri"/>
          <w:sz w:val="22"/>
          <w:szCs w:val="22"/>
        </w:rPr>
        <w:t xml:space="preserve">3.6</w:t>
      </w:r>
      <w:r>
        <w:rPr>
          <w:rFonts w:ascii="Calibri" w:cs="Calibri" w:eastAsia="Calibri" w:hAnsi="Calibri"/>
          <w:sz w:val="22"/>
          <w:szCs w:val="22"/>
        </w:rPr>
        <w:t xml:space="preserve">	</w:t>
      </w:r>
      <w:r>
        <w:rPr>
          <w:rFonts w:ascii="Calibri" w:cs="Calibri" w:eastAsia="Calibri" w:hAnsi="Calibri"/>
          <w:b/>
          <w:bCs/>
          <w:sz w:val="22"/>
          <w:szCs w:val="22"/>
        </w:rPr>
        <w:t xml:space="preserve">Litigation.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There is no action, suit, proceeding, arbitration, mediation, complaint, claim, charge or investigation pending or, to the Company’s knowledge, threatened in writing (a) against the Company, or (b) against any consultant, officer, director or key employee of the Company arising out of his or her consulting, employment or board relationship with the Company or that could otherwise materially and adversely affect the Company. There is no action, suit, proceeding or investigation by the Company pending or that the Company intends to initiate.</w:t>
      </w:r>
    </w:p>
    <w:p>
      <w:pPr>
        <w:tabs>
          <w:tab w:val="left" w:pos="720"/>
        </w:tabs>
        <w:spacing w:after="200" w:before="0"/>
        <w:ind w:left="0" w:firstLine="0"/>
      </w:pPr>
      <w:r>
        <w:rPr>
          <w:rFonts w:ascii="Calibri" w:cs="Calibri" w:eastAsia="Calibri" w:hAnsi="Calibri"/>
          <w:sz w:val="22"/>
          <w:szCs w:val="22"/>
        </w:rPr>
        <w:t xml:space="preserve">3.7</w:t>
      </w:r>
      <w:r>
        <w:rPr>
          <w:rFonts w:ascii="Calibri" w:cs="Calibri" w:eastAsia="Calibri" w:hAnsi="Calibri"/>
          <w:sz w:val="22"/>
          <w:szCs w:val="22"/>
        </w:rPr>
        <w:t xml:space="preserve">	</w:t>
      </w:r>
      <w:r>
        <w:rPr>
          <w:rFonts w:ascii="Calibri" w:cs="Calibri" w:eastAsia="Calibri" w:hAnsi="Calibri"/>
          <w:b/>
          <w:bCs/>
          <w:sz w:val="22"/>
          <w:szCs w:val="22"/>
        </w:rPr>
        <w:t xml:space="preserve">Intellectual Property.</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owns or possesses sufficient legal rights to all patents, patent applications, trademarks, trademark applications, service marks, trade names, copyrights, trade secrets, licenses, domain names, software, information and proprietary rights and processes (collectively, “</w:t>
      </w:r>
      <w:r>
        <w:rPr>
          <w:rFonts w:ascii="Calibri" w:cs="Calibri" w:eastAsia="Calibri" w:hAnsi="Calibri"/>
          <w:b/>
          <w:bCs/>
          <w:i w:val="false"/>
          <w:iCs w:val="false"/>
          <w:caps w:val="false"/>
          <w:sz w:val="22"/>
          <w:szCs w:val="22"/>
        </w:rPr>
        <w:t xml:space="preserve">Intellectual Property</w:t>
      </w:r>
      <w:r>
        <w:rPr>
          <w:rFonts w:ascii="Calibri" w:cs="Calibri" w:eastAsia="Calibri" w:hAnsi="Calibri"/>
          <w:b w:val="false"/>
          <w:bCs w:val="false"/>
          <w:i w:val="false"/>
          <w:iCs w:val="false"/>
          <w:caps w:val="false"/>
          <w:sz w:val="22"/>
          <w:szCs w:val="22"/>
        </w:rPr>
        <w:t xml:space="preserve">”) necessary to the conduct of its business as now conducted and as presently proposed to be conducted (the “</w:t>
      </w:r>
      <w:r>
        <w:rPr>
          <w:rFonts w:ascii="Calibri" w:cs="Calibri" w:eastAsia="Calibri" w:hAnsi="Calibri"/>
          <w:b/>
          <w:bCs/>
          <w:i w:val="false"/>
          <w:iCs w:val="false"/>
          <w:caps w:val="false"/>
          <w:sz w:val="22"/>
          <w:szCs w:val="22"/>
        </w:rPr>
        <w:t xml:space="preserve">Company Intellectual Property</w:t>
      </w:r>
      <w:r>
        <w:rPr>
          <w:rFonts w:ascii="Calibri" w:cs="Calibri" w:eastAsia="Calibri" w:hAnsi="Calibri"/>
          <w:b w:val="false"/>
          <w:bCs w:val="false"/>
          <w:i w:val="false"/>
          <w:iCs w:val="false"/>
          <w:caps w:val="false"/>
          <w:sz w:val="22"/>
          <w:szCs w:val="22"/>
        </w:rPr>
        <w:t xml:space="preserve">”), without any violation or infringement of the rights of others, except that with respect to third-party patents, patent applications, trademarks, trademark applications, service marks and service mark applications this representation is made to the Company’s knowledge only. No product or service marketed or sold (or proposed to be marketed or sold) by the Company violates any license or, to the Company’s knowledge, infringes any Intellectual Property of any other Person. Other than commercially available software licensed on standard terms, there is no outstanding option, license, agreement, claim, encumbrance or shared ownership interest of any kind relating to the Company Intellectual Property, and the Company is not bound by or a party to any option, license or agreement with respect to the Intellectual Property of any other Person. The Company has not received any written communication alleging that the Company has violated, or by conducting its business would violate, the Intellectual Property of any other Person. The Company has not embedded, used or distributed any open source software in a manner that requires the Company to disclose, license or distribute any source code of the Company Intellectual Property to any third party.</w:t>
      </w:r>
    </w:p>
    <w:p>
      <w:pPr>
        <w:tabs>
          <w:tab w:val="left" w:pos="720"/>
        </w:tabs>
        <w:spacing w:after="200" w:before="0"/>
        <w:ind w:left="0" w:firstLine="0"/>
      </w:pPr>
      <w:r>
        <w:rPr>
          <w:rFonts w:ascii="Calibri" w:cs="Calibri" w:eastAsia="Calibri" w:hAnsi="Calibri"/>
          <w:sz w:val="22"/>
          <w:szCs w:val="22"/>
        </w:rPr>
        <w:t xml:space="preserve">3.8</w:t>
      </w:r>
      <w:r>
        <w:rPr>
          <w:rFonts w:ascii="Calibri" w:cs="Calibri" w:eastAsia="Calibri" w:hAnsi="Calibri"/>
          <w:sz w:val="22"/>
          <w:szCs w:val="22"/>
        </w:rPr>
        <w:t xml:space="preserve">	</w:t>
      </w:r>
      <w:r>
        <w:rPr>
          <w:rFonts w:ascii="Calibri" w:cs="Calibri" w:eastAsia="Calibri" w:hAnsi="Calibri"/>
          <w:b/>
          <w:bCs/>
          <w:sz w:val="22"/>
          <w:szCs w:val="22"/>
        </w:rPr>
        <w:t xml:space="preserve">Employee and Consultant Matters.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current and former employee, consultant and officer of the Company has signed an agreement with the Company regarding confidentiality and assignment of inventions substantially in the form made available to the Purchasers. No current or former employee or consultant has excluded any work or invention from his or her assignment of inventions, and, to the Company’s knowledge, none of them is in violation of that agreement. To the Company’s knowledge, no employee or consultant of the Company is obligated under any contract, judgment, decree or order that would materially interfere with the performance of his or her duties for the Company or conflict with the Company’s business. To the Company’s knowledge, each individual who has purchased unvested shares of the Company’s capital stock has timely filed an election under Section 83(b) of the Internal Revenue Code of 1986, as amended (the “</w:t>
      </w:r>
      <w:r>
        <w:rPr>
          <w:rFonts w:ascii="Calibri" w:cs="Calibri" w:eastAsia="Calibri" w:hAnsi="Calibri"/>
          <w:b/>
          <w:bCs/>
          <w:i w:val="false"/>
          <w:iCs w:val="false"/>
          <w:caps w:val="false"/>
          <w:sz w:val="22"/>
          <w:szCs w:val="22"/>
        </w:rPr>
        <w:t xml:space="preserve">Code</w:t>
      </w:r>
      <w:r>
        <w:rPr>
          <w:rFonts w:ascii="Calibri" w:cs="Calibri" w:eastAsia="Calibri" w:hAnsi="Calibri"/>
          <w:b w:val="false"/>
          <w:bCs w:val="false"/>
          <w:i w:val="false"/>
          <w:iCs w:val="false"/>
          <w:caps w:val="false"/>
          <w:sz w:val="22"/>
          <w:szCs w:val="22"/>
        </w:rPr>
        <w:t xml:space="preserve">”). The Company is not delinquent in payments to any of its employees or consultants for any wages, fees or other compensation.</w:t>
      </w:r>
    </w:p>
    <w:p>
      <w:pPr>
        <w:tabs>
          <w:tab w:val="left" w:pos="720"/>
        </w:tabs>
        <w:spacing w:after="200" w:before="0"/>
        <w:ind w:left="0" w:firstLine="0"/>
      </w:pPr>
      <w:r>
        <w:rPr>
          <w:rFonts w:ascii="Calibri" w:cs="Calibri" w:eastAsia="Calibri" w:hAnsi="Calibri"/>
          <w:sz w:val="22"/>
          <w:szCs w:val="22"/>
        </w:rPr>
        <w:t xml:space="preserve">3.9</w:t>
      </w:r>
      <w:r>
        <w:rPr>
          <w:rFonts w:ascii="Calibri" w:cs="Calibri" w:eastAsia="Calibri" w:hAnsi="Calibri"/>
          <w:sz w:val="22"/>
          <w:szCs w:val="22"/>
        </w:rPr>
        <w:t xml:space="preserve">	</w:t>
      </w:r>
      <w:r>
        <w:rPr>
          <w:rFonts w:ascii="Calibri" w:cs="Calibri" w:eastAsia="Calibri" w:hAnsi="Calibri"/>
          <w:b/>
          <w:bCs/>
          <w:sz w:val="22"/>
          <w:szCs w:val="22"/>
        </w:rPr>
        <w:t xml:space="preserve">Compliance with Other Instruments.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is not in violation or default of (a) any provision of the Restated Certificate or the Company’s bylaws, (b) any judgment, order, writ or decree of any court or governmental authority, (c) any agreement, instrument, contract, lease, note, indenture, mortgage or purchase order to which it is a party that is required to be listed on the Disclosure Schedule, or (d) to its knowledge, any provision of federal or state statute, rule or regulation materially applicable to the Company. The execution, delivery and performance of this Agreement and the consummation of the transactions contemplated by it will not result in any such violation or default, or constitute, with or without the passage of time and giving of notice, (i) a default under any such judgment, order, writ, decree, agreement, instrument, contract, lease, note, indenture, mortgage or purchase order, or (ii) an event that results in the creation of any lien, charge or encumbrance upon any assets of the Company or the suspension, revocation, forfeiture or nonrenewal of any material permit or license applicable to the Company.</w:t>
      </w:r>
    </w:p>
    <w:p>
      <w:pPr>
        <w:tabs>
          <w:tab w:val="left" w:pos="720"/>
        </w:tabs>
        <w:spacing w:after="200" w:before="0"/>
        <w:ind w:left="0" w:firstLine="0"/>
      </w:pPr>
      <w:r>
        <w:rPr>
          <w:rFonts w:ascii="Calibri" w:cs="Calibri" w:eastAsia="Calibri" w:hAnsi="Calibri"/>
          <w:sz w:val="22"/>
          <w:szCs w:val="22"/>
        </w:rPr>
        <w:t xml:space="preserve">3.10</w:t>
      </w:r>
      <w:r>
        <w:rPr>
          <w:rFonts w:ascii="Calibri" w:cs="Calibri" w:eastAsia="Calibri" w:hAnsi="Calibri"/>
          <w:sz w:val="22"/>
          <w:szCs w:val="22"/>
        </w:rPr>
        <w:t xml:space="preserve">	</w:t>
      </w:r>
      <w:r>
        <w:rPr>
          <w:rFonts w:ascii="Calibri" w:cs="Calibri" w:eastAsia="Calibri" w:hAnsi="Calibri"/>
          <w:b/>
          <w:bCs/>
          <w:sz w:val="22"/>
          <w:szCs w:val="22"/>
        </w:rPr>
        <w:t xml:space="preserve">Title to Property and Assets.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owns its property and assets free and clear of all mortgages, deeds of trust, liens, encumbrances and security interests, except for statutory liens for the payment of current taxes that are not yet delinquent and liens, encumbrances and security interests arising in the ordinary course of business that do not materially impair the Company’s ownership or use of that property or those assets. With respect to the property and assets it leases, the Company is in material compliance with each lease.</w:t>
      </w:r>
    </w:p>
    <w:p>
      <w:pPr>
        <w:tabs>
          <w:tab w:val="left" w:pos="720"/>
        </w:tabs>
        <w:spacing w:after="200" w:before="0"/>
        <w:ind w:left="0" w:firstLine="0"/>
      </w:pPr>
      <w:r>
        <w:rPr>
          <w:rFonts w:ascii="Calibri" w:cs="Calibri" w:eastAsia="Calibri" w:hAnsi="Calibri"/>
          <w:sz w:val="22"/>
          <w:szCs w:val="22"/>
        </w:rPr>
        <w:t xml:space="preserve">3.11</w:t>
      </w:r>
      <w:r>
        <w:rPr>
          <w:rFonts w:ascii="Calibri" w:cs="Calibri" w:eastAsia="Calibri" w:hAnsi="Calibri"/>
          <w:sz w:val="22"/>
          <w:szCs w:val="22"/>
        </w:rPr>
        <w:t xml:space="preserve">	</w:t>
      </w:r>
      <w:r>
        <w:rPr>
          <w:rFonts w:ascii="Calibri" w:cs="Calibri" w:eastAsia="Calibri" w:hAnsi="Calibri"/>
          <w:b/>
          <w:bCs/>
          <w:sz w:val="22"/>
          <w:szCs w:val="22"/>
        </w:rPr>
        <w:t xml:space="preserve">Material Agreements.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Except for this Agreement and the Convertible Securities, there are no agreements, understandings, instruments, contracts or proposed transactions to which the Company is a party or by which it is bound that involve (a) obligations (contingent or otherwise) of, or payments to, the Company in excess of $50,000; (b) the license of any Intellectual Property to or from the Company, other than licenses of commercially available software on standard terms and standard customer terms of service and privacy policies for the Company’s products or websites; (c) the grant of rights to manufacture, produce, assemble, license, market or sell the Company’s products or services to any other Person, or any limitation on the Company’s exclusive right to develop, manufacture, assemble, distribute, market or sell its products or services; or (d) indemnification by the Company with respect to infringement of proprietary rights, other than standard customer or channel agreements (each, a “</w:t>
      </w:r>
      <w:r>
        <w:rPr>
          <w:rFonts w:ascii="Calibri" w:cs="Calibri" w:eastAsia="Calibri" w:hAnsi="Calibri"/>
          <w:b/>
          <w:bCs/>
          <w:i w:val="false"/>
          <w:iCs w:val="false"/>
          <w:caps w:val="false"/>
          <w:sz w:val="22"/>
          <w:szCs w:val="22"/>
        </w:rPr>
        <w:t xml:space="preserve">Material Agreement</w:t>
      </w:r>
      <w:r>
        <w:rPr>
          <w:rFonts w:ascii="Calibri" w:cs="Calibri" w:eastAsia="Calibri" w:hAnsi="Calibri"/>
          <w:b w:val="false"/>
          <w:bCs w:val="false"/>
          <w:i w:val="false"/>
          <w:iCs w:val="false"/>
          <w:caps w:val="false"/>
          <w:sz w:val="22"/>
          <w:szCs w:val="22"/>
        </w:rPr>
        <w:t xml:space="preserve">”). The Company is not in material breach of any Material Agreement, and each Material Agreement is in full force and effect and enforceable by the Company in accordance with its terms, subject to the limitations described in Section 3.4.</w:t>
      </w:r>
    </w:p>
    <w:p>
      <w:pPr>
        <w:tabs>
          <w:tab w:val="left" w:pos="720"/>
        </w:tabs>
        <w:spacing w:after="200" w:before="0"/>
        <w:ind w:left="0" w:firstLine="0"/>
      </w:pPr>
      <w:r>
        <w:rPr>
          <w:rFonts w:ascii="Calibri" w:cs="Calibri" w:eastAsia="Calibri" w:hAnsi="Calibri"/>
          <w:sz w:val="22"/>
          <w:szCs w:val="22"/>
        </w:rPr>
        <w:t xml:space="preserve">3.12</w:t>
      </w:r>
      <w:r>
        <w:rPr>
          <w:rFonts w:ascii="Calibri" w:cs="Calibri" w:eastAsia="Calibri" w:hAnsi="Calibri"/>
          <w:sz w:val="22"/>
          <w:szCs w:val="22"/>
        </w:rPr>
        <w:t xml:space="preserve">	</w:t>
      </w:r>
      <w:r>
        <w:rPr>
          <w:rFonts w:ascii="Calibri" w:cs="Calibri" w:eastAsia="Calibri" w:hAnsi="Calibri"/>
          <w:b/>
          <w:bCs/>
          <w:sz w:val="22"/>
          <w:szCs w:val="22"/>
        </w:rPr>
        <w:t xml:space="preserve">Liabilities; Financial Statements.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has no liabilities or obligations, contingent or otherwise, other than (a) liabilities incurred in the ordinary course of business that do not exceed $25,000 individually or $100,000 in the aggregate, (b) obligations under contracts and commitments incurred in the ordinary course of business, (c) liabilities reflected in the Company’s most recent balance sheet, if any, made available to the Purchasers, and (d) the Convertible Securities. Any financial statements made available to the Purchasers were prepared in good faith from the Company’s books and records and fairly present in all material respects the financial condition and results of operations of the Company as of the dates and for the periods indicated.</w:t>
      </w:r>
    </w:p>
    <w:p>
      <w:pPr>
        <w:tabs>
          <w:tab w:val="left" w:pos="720"/>
        </w:tabs>
        <w:spacing w:after="200" w:before="0"/>
        <w:ind w:left="0" w:firstLine="0"/>
      </w:pPr>
      <w:r>
        <w:rPr>
          <w:rFonts w:ascii="Calibri" w:cs="Calibri" w:eastAsia="Calibri" w:hAnsi="Calibri"/>
          <w:sz w:val="22"/>
          <w:szCs w:val="22"/>
        </w:rPr>
        <w:t xml:space="preserve">3.13</w:t>
      </w:r>
      <w:r>
        <w:rPr>
          <w:rFonts w:ascii="Calibri" w:cs="Calibri" w:eastAsia="Calibri" w:hAnsi="Calibri"/>
          <w:sz w:val="22"/>
          <w:szCs w:val="22"/>
        </w:rPr>
        <w:t xml:space="preserve">	</w:t>
      </w:r>
      <w:r>
        <w:rPr>
          <w:rFonts w:ascii="Calibri" w:cs="Calibri" w:eastAsia="Calibri" w:hAnsi="Calibri"/>
          <w:b/>
          <w:bCs/>
          <w:sz w:val="22"/>
          <w:szCs w:val="22"/>
        </w:rPr>
        <w:t xml:space="preserve">Taxes.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has timely filed all tax returns required to be filed by it and has paid all taxes shown to be due on those returns and all other taxes that are due and payable, except for taxes being contested in good faith. The Company has withheld and paid over all taxes required to have been withheld and paid in connection with amounts paid to any employee, independent contractor, creditor or other third party. The Company has not elected to be treated as other than a C corporation for U.S. federal income tax purposes.</w:t>
      </w:r>
    </w:p>
    <w:p>
      <w:pPr>
        <w:tabs>
          <w:tab w:val="left" w:pos="720"/>
        </w:tabs>
        <w:spacing w:after="200" w:before="0"/>
        <w:ind w:left="0" w:firstLine="0"/>
      </w:pPr>
      <w:r>
        <w:rPr>
          <w:rFonts w:ascii="Calibri" w:cs="Calibri" w:eastAsia="Calibri" w:hAnsi="Calibri"/>
          <w:sz w:val="22"/>
          <w:szCs w:val="22"/>
        </w:rPr>
        <w:t xml:space="preserve">3.14</w:t>
      </w:r>
      <w:r>
        <w:rPr>
          <w:rFonts w:ascii="Calibri" w:cs="Calibri" w:eastAsia="Calibri" w:hAnsi="Calibri"/>
          <w:sz w:val="22"/>
          <w:szCs w:val="22"/>
        </w:rPr>
        <w:t xml:space="preserve">	</w:t>
      </w:r>
      <w:r>
        <w:rPr>
          <w:rFonts w:ascii="Calibri" w:cs="Calibri" w:eastAsia="Calibri" w:hAnsi="Calibri"/>
          <w:b/>
          <w:bCs/>
          <w:sz w:val="22"/>
          <w:szCs w:val="22"/>
        </w:rPr>
        <w:t xml:space="preserve">Sanctions.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Neither the Company nor any of its directors, officers or employees is a Sanctioned Party, and the Company is in compliance with all applicable sanctions and export control laws of the United States.</w:t>
      </w:r>
      <w:r>
        <w:rPr>
          <w:rStyle w:val="FootnoteReference"/>
        </w:rPr>
        <w:footnoteReference w:id="6"/>
      </w:r>
    </w:p>
    <w:p>
      <w:pPr>
        <w:tabs>
          <w:tab w:val="left" w:pos="720"/>
        </w:tabs>
        <w:spacing w:after="200" w:before="0"/>
        <w:ind w:left="0" w:firstLine="0"/>
      </w:pPr>
      <w:r>
        <w:rPr>
          <w:rFonts w:ascii="Calibri" w:cs="Calibri" w:eastAsia="Calibri" w:hAnsi="Calibri"/>
          <w:sz w:val="22"/>
          <w:szCs w:val="22"/>
        </w:rPr>
        <w:t xml:space="preserve">3.15</w:t>
      </w:r>
      <w:r>
        <w:rPr>
          <w:rFonts w:ascii="Calibri" w:cs="Calibri" w:eastAsia="Calibri" w:hAnsi="Calibri"/>
          <w:sz w:val="22"/>
          <w:szCs w:val="22"/>
        </w:rPr>
        <w:t xml:space="preserve">	</w:t>
      </w:r>
      <w:r>
        <w:rPr>
          <w:rFonts w:ascii="Calibri" w:cs="Calibri" w:eastAsia="Calibri" w:hAnsi="Calibri"/>
          <w:b/>
          <w:bCs/>
          <w:sz w:val="22"/>
          <w:szCs w:val="22"/>
        </w:rPr>
        <w:t xml:space="preserve">No “Bad Actor” Disqualification.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“bad actor” disqualifying event described in Rule 506(d)(1)(i) through (viii) under the Securities Act (a “</w:t>
      </w:r>
      <w:r>
        <w:rPr>
          <w:rFonts w:ascii="Calibri" w:cs="Calibri" w:eastAsia="Calibri" w:hAnsi="Calibri"/>
          <w:b/>
          <w:bCs/>
          <w:i w:val="false"/>
          <w:iCs w:val="false"/>
          <w:caps w:val="false"/>
          <w:sz w:val="22"/>
          <w:szCs w:val="22"/>
        </w:rPr>
        <w:t xml:space="preserve">Disqualification Event</w:t>
      </w:r>
      <w:r>
        <w:rPr>
          <w:rFonts w:ascii="Calibri" w:cs="Calibri" w:eastAsia="Calibri" w:hAnsi="Calibri"/>
          <w:b w:val="false"/>
          <w:bCs w:val="false"/>
          <w:i w:val="false"/>
          <w:iCs w:val="false"/>
          <w:caps w:val="false"/>
          <w:sz w:val="22"/>
          <w:szCs w:val="22"/>
        </w:rPr>
        <w:t xml:space="preserve">”) is applicable to the Company or, to the Company’s knowledge, any Company Covered Person, except for a Disqualification Event as to which Rule 506(d)(2)(ii) through (iv) or (d)(3) applies. “</w:t>
      </w:r>
      <w:r>
        <w:rPr>
          <w:rFonts w:ascii="Calibri" w:cs="Calibri" w:eastAsia="Calibri" w:hAnsi="Calibri"/>
          <w:b/>
          <w:bCs/>
          <w:i w:val="false"/>
          <w:iCs w:val="false"/>
          <w:caps w:val="false"/>
          <w:sz w:val="22"/>
          <w:szCs w:val="22"/>
        </w:rPr>
        <w:t xml:space="preserve">Company Covered Person</w:t>
      </w:r>
      <w:r>
        <w:rPr>
          <w:rFonts w:ascii="Calibri" w:cs="Calibri" w:eastAsia="Calibri" w:hAnsi="Calibri"/>
          <w:b w:val="false"/>
          <w:bCs w:val="false"/>
          <w:i w:val="false"/>
          <w:iCs w:val="false"/>
          <w:caps w:val="false"/>
          <w:sz w:val="22"/>
          <w:szCs w:val="22"/>
        </w:rPr>
        <w:t xml:space="preserve">” means, with respect to the Company as an “issuer” for purposes of Rule 506, any Person listed in the first paragraph of Rule 506(d)(1).</w:t>
      </w:r>
    </w:p>
    <w:p>
      <w:pPr>
        <w:tabs>
          <w:tab w:val="left" w:pos="720"/>
        </w:tabs>
        <w:spacing w:after="200" w:before="0"/>
        <w:ind w:left="0" w:firstLine="0"/>
      </w:pPr>
      <w:r>
        <w:rPr>
          <w:rFonts w:ascii="Calibri" w:cs="Calibri" w:eastAsia="Calibri" w:hAnsi="Calibri"/>
          <w:sz w:val="22"/>
          <w:szCs w:val="22"/>
        </w:rPr>
        <w:t xml:space="preserve">3.16</w:t>
      </w:r>
      <w:r>
        <w:rPr>
          <w:rFonts w:ascii="Calibri" w:cs="Calibri" w:eastAsia="Calibri" w:hAnsi="Calibri"/>
          <w:sz w:val="22"/>
          <w:szCs w:val="22"/>
        </w:rPr>
        <w:t xml:space="preserve">	</w:t>
      </w:r>
      <w:r>
        <w:rPr>
          <w:rFonts w:ascii="Calibri" w:cs="Calibri" w:eastAsia="Calibri" w:hAnsi="Calibri"/>
          <w:b/>
          <w:bCs/>
          <w:sz w:val="22"/>
          <w:szCs w:val="22"/>
        </w:rPr>
        <w:t xml:space="preserve">Qualified Small Business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As of the Initial Closing and immediately after it, (a) the Company is an eligible corporation within the meaning of Section 1202(e)(4) of the Code, (b) the aggregate gross assets of the Company (as determined under Section 1202(d)(2) of the Code) have not at any time exceeded, and immediately after the Initial Closing do not exceed, $75,000,000, and (c) the Company has not made any purchase of its own stock described in Section 1202(c)(3) of the Code. The Company makes no representation that the Shares will qualify as “qualified small business stock” under Section 1202 of the Code in the hands of any Purchaser.</w:t>
      </w:r>
      <w:r>
        <w:rPr>
          <w:rStyle w:val="FootnoteReference"/>
        </w:rPr>
        <w:footnoteReference w:id="7"/>
      </w:r>
    </w:p>
    <w:p>
      <w:pPr>
        <w:spacing w:after="0" w:before="0"/>
        <w:jc w:val="center"/>
      </w:pPr>
      <w:r>
        <w:rPr>
          <w:rFonts w:ascii="Calibri" w:cs="Calibri" w:eastAsia="Calibri" w:hAnsi="Calibri"/>
          <w:b w:val="false"/>
          <w:bCs w:val="false"/>
          <w:sz w:val="22"/>
          <w:szCs w:val="22"/>
        </w:rPr>
        <w:t xml:space="preserve">Article 4</w:t>
      </w:r>
    </w:p>
    <w:p>
      <w:pPr>
        <w:spacing w:after="200" w:before="0"/>
        <w:jc w:val="center"/>
      </w:pPr>
      <w:r>
        <w:rPr>
          <w:rFonts w:ascii="Calibri" w:cs="Calibri" w:eastAsia="Calibri" w:hAnsi="Calibri"/>
          <w:b w:val="false"/>
          <w:bCs w:val="false"/>
          <w:sz w:val="22"/>
          <w:szCs w:val="22"/>
        </w:rPr>
        <w:t xml:space="preserve">REPRESENTATIONS AND WARRANTIES OF THE PURCHASERS</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Each Purchaser, severally and not jointly, represents and warrants to the Company as follows:</w:t>
      </w:r>
    </w:p>
    <w:p>
      <w:pPr>
        <w:tabs>
          <w:tab w:val="left" w:pos="720"/>
        </w:tabs>
        <w:spacing w:after="200" w:before="0"/>
        <w:ind w:left="0" w:firstLine="0"/>
      </w:pPr>
      <w:r>
        <w:rPr>
          <w:rFonts w:ascii="Calibri" w:cs="Calibri" w:eastAsia="Calibri" w:hAnsi="Calibri"/>
          <w:sz w:val="22"/>
          <w:szCs w:val="22"/>
        </w:rPr>
        <w:t xml:space="preserve">4.1</w:t>
      </w:r>
      <w:r>
        <w:rPr>
          <w:rFonts w:ascii="Calibri" w:cs="Calibri" w:eastAsia="Calibri" w:hAnsi="Calibri"/>
          <w:sz w:val="22"/>
          <w:szCs w:val="22"/>
        </w:rPr>
        <w:t xml:space="preserve">	</w:t>
      </w:r>
      <w:r>
        <w:rPr>
          <w:rFonts w:ascii="Calibri" w:cs="Calibri" w:eastAsia="Calibri" w:hAnsi="Calibri"/>
          <w:b/>
          <w:bCs/>
          <w:sz w:val="22"/>
          <w:szCs w:val="22"/>
        </w:rPr>
        <w:t xml:space="preserve">Authorization.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has full power and authority to enter into this Agreement. This Agreement, when signed and delivered by the Purchaser, constitutes a valid and legally binding obligation of the Purchaser, enforceable in accordance with its terms, subject to the limitations described in Section 3.4.</w:t>
      </w:r>
    </w:p>
    <w:p>
      <w:pPr>
        <w:tabs>
          <w:tab w:val="left" w:pos="720"/>
        </w:tabs>
        <w:spacing w:after="200" w:before="0"/>
        <w:ind w:left="0" w:firstLine="0"/>
      </w:pPr>
      <w:r>
        <w:rPr>
          <w:rFonts w:ascii="Calibri" w:cs="Calibri" w:eastAsia="Calibri" w:hAnsi="Calibri"/>
          <w:sz w:val="22"/>
          <w:szCs w:val="22"/>
        </w:rPr>
        <w:t xml:space="preserve">4.2</w:t>
      </w:r>
      <w:r>
        <w:rPr>
          <w:rFonts w:ascii="Calibri" w:cs="Calibri" w:eastAsia="Calibri" w:hAnsi="Calibri"/>
          <w:sz w:val="22"/>
          <w:szCs w:val="22"/>
        </w:rPr>
        <w:t xml:space="preserve">	</w:t>
      </w:r>
      <w:r>
        <w:rPr>
          <w:rFonts w:ascii="Calibri" w:cs="Calibri" w:eastAsia="Calibri" w:hAnsi="Calibri"/>
          <w:b/>
          <w:bCs/>
          <w:sz w:val="22"/>
          <w:szCs w:val="22"/>
        </w:rPr>
        <w:t xml:space="preserve">Purchase Entirely for Own Account.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is acquiring the Shares for investment for its own account, not as a nominee or agent, and not with a view to the resale or distribution of any part of them, and has no present intention of selling, granting any participation in, or otherwise distributing the Shares. The Purchaser does not have any contract, undertaking, agreement or arrangement with any Person to sell, transfer or grant participations to that Person or any third Person with respect to any of the Shares. The Purchaser has not been formed for the specific purpose of acquiring the Shares.</w:t>
      </w:r>
    </w:p>
    <w:p>
      <w:pPr>
        <w:tabs>
          <w:tab w:val="left" w:pos="720"/>
        </w:tabs>
        <w:spacing w:after="200" w:before="0"/>
        <w:ind w:left="0" w:firstLine="0"/>
      </w:pPr>
      <w:r>
        <w:rPr>
          <w:rFonts w:ascii="Calibri" w:cs="Calibri" w:eastAsia="Calibri" w:hAnsi="Calibri"/>
          <w:sz w:val="22"/>
          <w:szCs w:val="22"/>
        </w:rPr>
        <w:t xml:space="preserve">4.3</w:t>
      </w:r>
      <w:r>
        <w:rPr>
          <w:rFonts w:ascii="Calibri" w:cs="Calibri" w:eastAsia="Calibri" w:hAnsi="Calibri"/>
          <w:sz w:val="22"/>
          <w:szCs w:val="22"/>
        </w:rPr>
        <w:t xml:space="preserve">	</w:t>
      </w:r>
      <w:r>
        <w:rPr>
          <w:rFonts w:ascii="Calibri" w:cs="Calibri" w:eastAsia="Calibri" w:hAnsi="Calibri"/>
          <w:b/>
          <w:bCs/>
          <w:sz w:val="22"/>
          <w:szCs w:val="22"/>
        </w:rPr>
        <w:t xml:space="preserve">Disclosure of Information.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has had an opportunity to discuss the Company’s business, management, financial affairs and the terms and conditions of the offering of the Shares with the Company’s management. Nothing in this Article 4 limits or modifies the representations and warranties of the Company in Article 3 or the right of the Purchasers to rely on them.</w:t>
      </w:r>
    </w:p>
    <w:p>
      <w:pPr>
        <w:tabs>
          <w:tab w:val="left" w:pos="720"/>
        </w:tabs>
        <w:spacing w:after="200" w:before="0"/>
        <w:ind w:left="0" w:firstLine="0"/>
      </w:pPr>
      <w:r>
        <w:rPr>
          <w:rFonts w:ascii="Calibri" w:cs="Calibri" w:eastAsia="Calibri" w:hAnsi="Calibri"/>
          <w:sz w:val="22"/>
          <w:szCs w:val="22"/>
        </w:rPr>
        <w:t xml:space="preserve">4.4</w:t>
      </w:r>
      <w:r>
        <w:rPr>
          <w:rFonts w:ascii="Calibri" w:cs="Calibri" w:eastAsia="Calibri" w:hAnsi="Calibri"/>
          <w:sz w:val="22"/>
          <w:szCs w:val="22"/>
        </w:rPr>
        <w:t xml:space="preserve">	</w:t>
      </w:r>
      <w:r>
        <w:rPr>
          <w:rFonts w:ascii="Calibri" w:cs="Calibri" w:eastAsia="Calibri" w:hAnsi="Calibri"/>
          <w:b/>
          <w:bCs/>
          <w:sz w:val="22"/>
          <w:szCs w:val="22"/>
        </w:rPr>
        <w:t xml:space="preserve">Restricted Securities.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understands that the Shares have not been, and will not be, registered under the Securities Act, by reason of a specific exemption from registration that depends upon, among other things, the bona fide nature of the Purchaser’s investment intent and the accuracy of the Purchaser’s representations in this Article 4. The Purchaser understands that the Shares are “restricted securities” under applicable federal and state securities laws and that the Purchaser must hold the Shares indefinitely unless they are registered with the Securities and Exchange Commission and qualified by state authorities or an exemption from registration and qualification is available. The Purchaser acknowledges that the Company has no obligation to register or qualify the Shares, or the Common Stock into which they may be converted, for resale, and that any exemption may be conditioned on requirements, including the time and manner of sale, the holding period and information about the Company, that are outside the Purchaser’s control and that the Company is under no obligation and may not be able to satisfy.</w:t>
      </w:r>
    </w:p>
    <w:p>
      <w:pPr>
        <w:tabs>
          <w:tab w:val="left" w:pos="720"/>
        </w:tabs>
        <w:spacing w:after="200" w:before="0"/>
        <w:ind w:left="0" w:firstLine="0"/>
      </w:pPr>
      <w:r>
        <w:rPr>
          <w:rFonts w:ascii="Calibri" w:cs="Calibri" w:eastAsia="Calibri" w:hAnsi="Calibri"/>
          <w:sz w:val="22"/>
          <w:szCs w:val="22"/>
        </w:rPr>
        <w:t xml:space="preserve">4.5</w:t>
      </w:r>
      <w:r>
        <w:rPr>
          <w:rFonts w:ascii="Calibri" w:cs="Calibri" w:eastAsia="Calibri" w:hAnsi="Calibri"/>
          <w:sz w:val="22"/>
          <w:szCs w:val="22"/>
        </w:rPr>
        <w:t xml:space="preserve">	</w:t>
      </w:r>
      <w:r>
        <w:rPr>
          <w:rFonts w:ascii="Calibri" w:cs="Calibri" w:eastAsia="Calibri" w:hAnsi="Calibri"/>
          <w:b/>
          <w:bCs/>
          <w:sz w:val="22"/>
          <w:szCs w:val="22"/>
        </w:rPr>
        <w:t xml:space="preserve">No Public Market.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understands that no public market now exists for the Shares and that the Company has made no assurances that a public market will ever exist for the Shares.</w:t>
      </w:r>
    </w:p>
    <w:p>
      <w:pPr>
        <w:tabs>
          <w:tab w:val="left" w:pos="720"/>
        </w:tabs>
        <w:spacing w:after="200" w:before="0"/>
        <w:ind w:left="0" w:firstLine="0"/>
      </w:pPr>
      <w:r>
        <w:rPr>
          <w:rFonts w:ascii="Calibri" w:cs="Calibri" w:eastAsia="Calibri" w:hAnsi="Calibri"/>
          <w:sz w:val="22"/>
          <w:szCs w:val="22"/>
        </w:rPr>
        <w:t xml:space="preserve">4.6</w:t>
      </w:r>
      <w:r>
        <w:rPr>
          <w:rFonts w:ascii="Calibri" w:cs="Calibri" w:eastAsia="Calibri" w:hAnsi="Calibri"/>
          <w:sz w:val="22"/>
          <w:szCs w:val="22"/>
        </w:rPr>
        <w:t xml:space="preserve">	</w:t>
      </w:r>
      <w:r>
        <w:rPr>
          <w:rFonts w:ascii="Calibri" w:cs="Calibri" w:eastAsia="Calibri" w:hAnsi="Calibri"/>
          <w:b/>
          <w:bCs/>
          <w:sz w:val="22"/>
          <w:szCs w:val="22"/>
        </w:rPr>
        <w:t xml:space="preserve">Legends.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understands that the Shares, and any securities issued in respect of or in exchange for the Shares, may be notated with one or more of the following legends: (a) any legend set forth in, or required by, this Agreement; (b) any legend required by the securities laws of any state to the extent those laws apply to the Shares; and (c) the following legend:</w:t>
      </w:r>
    </w:p>
    <w:p>
      <w:pPr>
        <w:spacing w:after="200"/>
        <w:ind w:left="720" w:right="720"/>
      </w:pPr>
      <w:r>
        <w:rPr>
          <w:rFonts w:ascii="Calibri" w:cs="Calibri" w:eastAsia="Calibri" w:hAnsi="Calibri"/>
          <w:b w:val="false"/>
          <w:bCs w:val="false"/>
          <w:i w:val="false"/>
          <w:iCs w:val="false"/>
          <w:caps w:val="false"/>
          <w:sz w:val="22"/>
          <w:szCs w:val="22"/>
        </w:rPr>
        <w:t xml:space="preserve">“THE SECURITIES REPRESENTED HEREBY HAVE NOT BEEN REGISTERED UNDER THE SECURITIES ACT OF 1933, AS AMENDED, AND HAVE BEEN ACQUIRED FOR INVESTMENT AND NOT WITH A VIEW TO, OR IN CONNECTION WITH, THE SALE OR DISTRIBUTION THEREOF. NO SUCH TRANSFER MAY BE EFFECTED WITHOUT AN EFFECTIVE REGISTRATION STATEMENT RELATED THERETO OR AN OPINION OF COUNSEL IN A FORM REASONABLY SATISFACTORY TO THE COMPANY THAT SUCH REGISTRATION IS NOT REQUIRED UNDER THE SECURITIES ACT OF 1933, AS AMENDED.”</w:t>
      </w:r>
    </w:p>
    <w:p>
      <w:pPr>
        <w:tabs>
          <w:tab w:val="left" w:pos="720"/>
        </w:tabs>
        <w:spacing w:after="200" w:before="0"/>
        <w:ind w:left="0" w:firstLine="0"/>
      </w:pPr>
      <w:r>
        <w:rPr>
          <w:rFonts w:ascii="Calibri" w:cs="Calibri" w:eastAsia="Calibri" w:hAnsi="Calibri"/>
          <w:sz w:val="22"/>
          <w:szCs w:val="22"/>
        </w:rPr>
        <w:t xml:space="preserve">4.7</w:t>
      </w:r>
      <w:r>
        <w:rPr>
          <w:rFonts w:ascii="Calibri" w:cs="Calibri" w:eastAsia="Calibri" w:hAnsi="Calibri"/>
          <w:sz w:val="22"/>
          <w:szCs w:val="22"/>
        </w:rPr>
        <w:t xml:space="preserve">	</w:t>
      </w:r>
      <w:r>
        <w:rPr>
          <w:rFonts w:ascii="Calibri" w:cs="Calibri" w:eastAsia="Calibri" w:hAnsi="Calibri"/>
          <w:b/>
          <w:bCs/>
          <w:sz w:val="22"/>
          <w:szCs w:val="22"/>
        </w:rPr>
        <w:t xml:space="preserve">Accredited Investor.</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Purchaser is an “accredited investor” as defined in Rule 501(a) of Regulation D under the Securities Act, and has such knowledge and experience in financial and business matters that it is capable of evaluating the merits and risks of its investment in the Shares and of bearing the economic risk of that investment.</w:t>
      </w:r>
    </w:p>
    <w:p>
      <w:pPr>
        <w:tabs>
          <w:tab w:val="left" w:pos="720"/>
        </w:tabs>
        <w:spacing w:after="200" w:before="0"/>
        <w:ind w:left="0" w:firstLine="0"/>
      </w:pPr>
      <w:r>
        <w:rPr>
          <w:rFonts w:ascii="Calibri" w:cs="Calibri" w:eastAsia="Calibri" w:hAnsi="Calibri"/>
          <w:sz w:val="22"/>
          <w:szCs w:val="22"/>
        </w:rPr>
        <w:t xml:space="preserve">4.8</w:t>
      </w:r>
      <w:r>
        <w:rPr>
          <w:rFonts w:ascii="Calibri" w:cs="Calibri" w:eastAsia="Calibri" w:hAnsi="Calibri"/>
          <w:sz w:val="22"/>
          <w:szCs w:val="22"/>
        </w:rPr>
        <w:t xml:space="preserve">	</w:t>
      </w:r>
      <w:r>
        <w:rPr>
          <w:rFonts w:ascii="Calibri" w:cs="Calibri" w:eastAsia="Calibri" w:hAnsi="Calibri"/>
          <w:b/>
          <w:bCs/>
          <w:sz w:val="22"/>
          <w:szCs w:val="22"/>
        </w:rPr>
        <w:t xml:space="preserve">Foreign Investors.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Purchaser is not a United States person (as defined in Section 7701(a)(30) of the Code), the Purchaser has satisfied itself as to the full observance of the laws of its jurisdiction in connection with the purchase of the Shares, including any legal requirements within its jurisdiction, any foreign exchange restrictions, any governmental or other consents, and the tax consequences of the purchase, holding, sale or transfer of the Shares, and the Purchaser’s subscription for and continued beneficial ownership of the Shares will not violate any applicable securities or other laws of its jurisdiction. Except as the Purchaser has indicated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the Purchaser is not a “foreign person” and is not controlled by a “foreign person,” as those terms are defined in Section 721 of the Defense Production Act of 1950, as amended, and its implementing regulations (the “</w:t>
      </w:r>
      <w:r>
        <w:rPr>
          <w:rFonts w:ascii="Calibri" w:cs="Calibri" w:eastAsia="Calibri" w:hAnsi="Calibri"/>
          <w:b/>
          <w:bCs/>
          <w:i w:val="false"/>
          <w:iCs w:val="false"/>
          <w:caps w:val="false"/>
          <w:sz w:val="22"/>
          <w:szCs w:val="22"/>
        </w:rPr>
        <w:t xml:space="preserve">DPA</w:t>
      </w:r>
      <w:r>
        <w:rPr>
          <w:rFonts w:ascii="Calibri" w:cs="Calibri" w:eastAsia="Calibri" w:hAnsi="Calibri"/>
          <w:b w:val="false"/>
          <w:bCs w:val="false"/>
          <w:i w:val="false"/>
          <w:iCs w:val="false"/>
          <w:caps w:val="false"/>
          <w:sz w:val="22"/>
          <w:szCs w:val="22"/>
        </w:rPr>
        <w:t xml:space="preserve">”), and the Purchaser will notify the Company promptly if that status changes.</w:t>
      </w:r>
      <w:r>
        <w:rPr>
          <w:rStyle w:val="FootnoteReference"/>
        </w:rPr>
        <w:footnoteReference w:id="8"/>
      </w:r>
    </w:p>
    <w:p>
      <w:pPr>
        <w:tabs>
          <w:tab w:val="left" w:pos="720"/>
        </w:tabs>
        <w:spacing w:after="200" w:before="0"/>
        <w:ind w:left="0" w:firstLine="0"/>
      </w:pPr>
      <w:r>
        <w:rPr>
          <w:rFonts w:ascii="Calibri" w:cs="Calibri" w:eastAsia="Calibri" w:hAnsi="Calibri"/>
          <w:sz w:val="22"/>
          <w:szCs w:val="22"/>
        </w:rPr>
        <w:t xml:space="preserve">4.9</w:t>
      </w:r>
      <w:r>
        <w:rPr>
          <w:rFonts w:ascii="Calibri" w:cs="Calibri" w:eastAsia="Calibri" w:hAnsi="Calibri"/>
          <w:sz w:val="22"/>
          <w:szCs w:val="22"/>
        </w:rPr>
        <w:t xml:space="preserve">	</w:t>
      </w:r>
      <w:r>
        <w:rPr>
          <w:rFonts w:ascii="Calibri" w:cs="Calibri" w:eastAsia="Calibri" w:hAnsi="Calibri"/>
          <w:b/>
          <w:bCs/>
          <w:sz w:val="22"/>
          <w:szCs w:val="22"/>
        </w:rPr>
        <w:t xml:space="preserve">Sanctions and Data Security.</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Neither the Purchaser nor any of its officers, directors, employees, agents, stockholders or partners is a Sanctioned Party. The Purchaser is not a “covered person” within the meaning of 28 C.F.R. Part 202, and the Purchaser’s acquisition of the Shares does not constitute a “covered data transaction” within the meaning of that regulation.</w:t>
      </w:r>
    </w:p>
    <w:p>
      <w:pPr>
        <w:tabs>
          <w:tab w:val="left" w:pos="720"/>
        </w:tabs>
        <w:spacing w:after="200" w:before="0"/>
        <w:ind w:left="0" w:firstLine="0"/>
      </w:pPr>
      <w:r>
        <w:rPr>
          <w:rFonts w:ascii="Calibri" w:cs="Calibri" w:eastAsia="Calibri" w:hAnsi="Calibri"/>
          <w:sz w:val="22"/>
          <w:szCs w:val="22"/>
        </w:rPr>
        <w:t xml:space="preserve">4.10</w:t>
      </w:r>
      <w:r>
        <w:rPr>
          <w:rFonts w:ascii="Calibri" w:cs="Calibri" w:eastAsia="Calibri" w:hAnsi="Calibri"/>
          <w:sz w:val="22"/>
          <w:szCs w:val="22"/>
        </w:rPr>
        <w:t xml:space="preserve">	</w:t>
      </w:r>
      <w:r>
        <w:rPr>
          <w:rFonts w:ascii="Calibri" w:cs="Calibri" w:eastAsia="Calibri" w:hAnsi="Calibri"/>
          <w:b/>
          <w:bCs/>
          <w:sz w:val="22"/>
          <w:szCs w:val="22"/>
        </w:rPr>
        <w:t xml:space="preserve">No General Solicitation.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Neither the Purchaser nor any of its officers, directors, employees, agents, stockholders or partners has, directly or indirectly, including through a broker or finder, (a) engaged in any general solicitation with respect to the offer and sale of the Shares, or (b) published any advertisement in connection with the offer and sale of the Shares.</w:t>
      </w:r>
    </w:p>
    <w:p>
      <w:pPr>
        <w:spacing w:after="0" w:before="0"/>
        <w:jc w:val="center"/>
      </w:pPr>
      <w:r>
        <w:rPr>
          <w:rFonts w:ascii="Calibri" w:cs="Calibri" w:eastAsia="Calibri" w:hAnsi="Calibri"/>
          <w:b w:val="false"/>
          <w:bCs w:val="false"/>
          <w:sz w:val="22"/>
          <w:szCs w:val="22"/>
        </w:rPr>
        <w:t xml:space="preserve">Article 5</w:t>
      </w:r>
    </w:p>
    <w:p>
      <w:pPr>
        <w:spacing w:after="200" w:before="0"/>
        <w:jc w:val="center"/>
      </w:pPr>
      <w:r>
        <w:rPr>
          <w:rFonts w:ascii="Calibri" w:cs="Calibri" w:eastAsia="Calibri" w:hAnsi="Calibri"/>
          <w:b w:val="false"/>
          <w:bCs w:val="false"/>
          <w:sz w:val="22"/>
          <w:szCs w:val="22"/>
        </w:rPr>
        <w:t xml:space="preserve">INVESTOR RIGHTS</w:t>
      </w:r>
    </w:p>
    <w:p>
      <w:pPr>
        <w:tabs>
          <w:tab w:val="left" w:pos="720"/>
        </w:tabs>
        <w:spacing w:after="200" w:before="0"/>
        <w:ind w:left="0" w:firstLine="0"/>
      </w:pPr>
      <w:r>
        <w:rPr>
          <w:rFonts w:ascii="Calibri" w:cs="Calibri" w:eastAsia="Calibri" w:hAnsi="Calibri"/>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Financial Information.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shall deliver to each Major Purchaser (a) within 120 days after the end of each fiscal year, a balance sheet as of the end of the year and statements of income and cash flows for the year, prepared in accordance with generally accepted accounting principles consistently applied (“</w:t>
      </w:r>
      <w:r>
        <w:rPr>
          <w:rFonts w:ascii="Calibri" w:cs="Calibri" w:eastAsia="Calibri" w:hAnsi="Calibri"/>
          <w:b/>
          <w:bCs/>
          <w:i w:val="false"/>
          <w:iCs w:val="false"/>
          <w:caps w:val="false"/>
          <w:sz w:val="22"/>
          <w:szCs w:val="22"/>
        </w:rPr>
        <w:t xml:space="preserve">GAAP</w:t>
      </w:r>
      <w:r>
        <w:rPr>
          <w:rFonts w:ascii="Calibri" w:cs="Calibri" w:eastAsia="Calibri" w:hAnsi="Calibri"/>
          <w:b w:val="false"/>
          <w:bCs w:val="false"/>
          <w:i w:val="false"/>
          <w:iCs w:val="false"/>
          <w:caps w:val="false"/>
          <w:sz w:val="22"/>
          <w:szCs w:val="22"/>
        </w:rPr>
        <w:t xml:space="preserve">”) (and audited if the Company has obtained an audit); (b) within 45 days after the end of each of the first three fiscal quarters, an unaudited balance sheet as of the end of the quarter and unaudited statements of income and cash flows for the quarter, prepared in accordance with GAAP (except that they may be subject to normal year-end adjustments and omit footnotes); and (c) with each delivery under clause (a), a capitalization table showing the number of outstanding shares of each class and series of capital stock and all securities convertible into or exercisable for capital stock, in sufficient detail to permit the Major Purchaser to calculate its percentage ownership. The Company shall deliver the capitalization table described in clause (c) to any other Purchaser within 15 days after request, but not more than once in any fiscal year.</w:t>
      </w:r>
      <w:r>
        <w:rPr>
          <w:rStyle w:val="FootnoteReference"/>
        </w:rPr>
        <w:footnoteReference w:id="9"/>
      </w:r>
    </w:p>
    <w:p>
      <w:pPr>
        <w:tabs>
          <w:tab w:val="left" w:pos="720"/>
        </w:tabs>
        <w:spacing w:after="200" w:before="0"/>
        <w:ind w:left="0" w:firstLine="0"/>
      </w:pPr>
      <w:r>
        <w:rPr>
          <w:rFonts w:ascii="Calibri" w:cs="Calibri" w:eastAsia="Calibri" w:hAnsi="Calibri"/>
          <w:sz w:val="22"/>
          <w:szCs w:val="22"/>
        </w:rPr>
        <w:t xml:space="preserve">5.2</w:t>
      </w:r>
      <w:r>
        <w:rPr>
          <w:rFonts w:ascii="Calibri" w:cs="Calibri" w:eastAsia="Calibri" w:hAnsi="Calibri"/>
          <w:sz w:val="22"/>
          <w:szCs w:val="22"/>
        </w:rPr>
        <w:t xml:space="preserve">	</w:t>
      </w:r>
      <w:r>
        <w:rPr>
          <w:rFonts w:ascii="Calibri" w:cs="Calibri" w:eastAsia="Calibri" w:hAnsi="Calibri"/>
          <w:b/>
          <w:bCs/>
          <w:sz w:val="22"/>
          <w:szCs w:val="22"/>
        </w:rPr>
        <w:t xml:space="preserve">Inspection.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shall permit each Major Purchaser, at the Major Purchaser’s expense and during normal business hours, to visit and inspect the Company’s properties, examine its books of account and records, and discuss the Company’s affairs, finances and accounts with its officers, in each case as reasonably requested in connection with monitoring the Major Purchaser’s investment; provided that the Company is not obligated to provide access to any information that it reasonably and in good faith considers to be a trade secret or confidential information or the disclosure of which would adversely affect the attorney-client privilege.</w:t>
      </w:r>
    </w:p>
    <w:p>
      <w:pPr>
        <w:tabs>
          <w:tab w:val="left" w:pos="720"/>
        </w:tabs>
        <w:spacing w:after="200" w:before="0"/>
        <w:ind w:left="0" w:firstLine="0"/>
      </w:pPr>
      <w:r>
        <w:rPr>
          <w:rFonts w:ascii="Calibri" w:cs="Calibri" w:eastAsia="Calibri" w:hAnsi="Calibri"/>
          <w:sz w:val="22"/>
          <w:szCs w:val="22"/>
        </w:rPr>
        <w:t xml:space="preserve">5.3</w:t>
      </w:r>
      <w:r>
        <w:rPr>
          <w:rFonts w:ascii="Calibri" w:cs="Calibri" w:eastAsia="Calibri" w:hAnsi="Calibri"/>
          <w:sz w:val="22"/>
          <w:szCs w:val="22"/>
        </w:rPr>
        <w:t xml:space="preserve">	</w:t>
      </w:r>
      <w:r>
        <w:rPr>
          <w:rFonts w:ascii="Calibri" w:cs="Calibri" w:eastAsia="Calibri" w:hAnsi="Calibri"/>
          <w:b/>
          <w:bCs/>
          <w:sz w:val="22"/>
          <w:szCs w:val="22"/>
        </w:rPr>
        <w:t xml:space="preserve">Confidentiality; Competitors.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Purchaser shall keep confidential and shall not disclose, divulge or use for any purpose (other than to monitor or make decisions with respect to its investment in the Company) any confidential information obtained from the Company under this Agreement, unless the information (a) is or becomes generally known to the public other than through a breach by the Purchaser, (b) was independently developed by the Purchaser without use of the Company’s confidential information, or (c) was disclosed to the Purchaser by a third party without breach of an obligation of confidentiality to the Company; except that a Purchaser may disclose confidential information (i) to its attorneys, accountants, consultants and other professional advisers to the extent necessary to obtain their services in connection with its investment in the Company, (ii) to any Affiliate, partner, member, stockholder or wholly owned subsidiary of the Purchaser in the ordinary course of business, provided that the Purchaser informs that Person that the information is confidential and directs it to maintain the confidentiality, (iii) to a prospective purchaser of Shares from the Purchaser that agrees to be bound by this Section 5.3, or (iv) as required by law, regulation, court order or subpoena, provided that the Purchaser promptly notifies the Company and takes reasonable steps to minimize the disclosure. The Company is not required to deliver information under Section 5.1 or 5.2 to any Purchaser that the Board reasonably determines is a competitor of the Company, or an officer, director, employee or holder of 10% or more of the equity of a competitor, other than a venture capital fund or similar investor that holds a passive interest in a competitor.</w:t>
      </w:r>
    </w:p>
    <w:p>
      <w:pPr>
        <w:tabs>
          <w:tab w:val="left" w:pos="720"/>
        </w:tabs>
        <w:spacing w:after="200" w:before="0"/>
        <w:ind w:left="0" w:firstLine="0"/>
      </w:pPr>
      <w:r>
        <w:rPr>
          <w:rFonts w:ascii="Calibri" w:cs="Calibri" w:eastAsia="Calibri" w:hAnsi="Calibri"/>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Participation Right.</w:t>
      </w:r>
      <w:r>
        <w:rPr>
          <w:rFonts w:ascii="Calibri" w:cs="Calibri" w:eastAsia="Calibri" w:hAnsi="Calibri"/>
          <w:sz w:val="22"/>
          <w:szCs w:val="22"/>
        </w:rPr>
        <w:t xml:space="preserve"> </w:t>
      </w:r>
      <w:r>
        <w:rPr>
          <w:rStyle w:val="FootnoteReference"/>
        </w:rPr>
        <w:footnoteReference w:id="10"/>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Company proposes to offer or sell any New Securities, the Company shall first offer each Major Purchaser the right to purchase up to its Pro Rata Share of the New Securities on the terms described in this Section 5.4, subject to applicable securities laws and provided that the Company is not obligated to offer New Securities to any Major Purchaser that cannot demonstrate to the Company’s reasonable satisfaction that it is an “accredited investor” at the time of the offer or that is a Sanctioned Party. A Major Purchaser may apportion its Pro Rata Share among itself and its Affiliates.</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w:t>
      </w:r>
      <w:r>
        <w:rPr>
          <w:rFonts w:ascii="Calibri" w:cs="Calibri" w:eastAsia="Calibri" w:hAnsi="Calibri"/>
          <w:b/>
          <w:bCs/>
          <w:i w:val="false"/>
          <w:iCs w:val="false"/>
          <w:caps w:val="false"/>
          <w:sz w:val="22"/>
          <w:szCs w:val="22"/>
        </w:rPr>
        <w:t xml:space="preserve">New Securities</w:t>
      </w:r>
      <w:r>
        <w:rPr>
          <w:rFonts w:ascii="Calibri" w:cs="Calibri" w:eastAsia="Calibri" w:hAnsi="Calibri"/>
          <w:b w:val="false"/>
          <w:bCs w:val="false"/>
          <w:i w:val="false"/>
          <w:iCs w:val="false"/>
          <w:caps w:val="false"/>
          <w:sz w:val="22"/>
          <w:szCs w:val="22"/>
        </w:rPr>
        <w:t xml:space="preserve">” means any equity securities of the Company, whether or not currently authorized, and any rights, options or warrants to purchase equity securities, and any securities of any type that are, or may become, convertible into or exchangeable or exercisable for equity securities, other than (i) Exempted Securities (as defined in the Restated Certificate), (ii) shares of Common Stock issued in a firm-commitment underwritten public offering, and (iii) Shares issued under this Agreement. A Major Purchaser’s “</w:t>
      </w:r>
      <w:r>
        <w:rPr>
          <w:rFonts w:ascii="Calibri" w:cs="Calibri" w:eastAsia="Calibri" w:hAnsi="Calibri"/>
          <w:b/>
          <w:bCs/>
          <w:i w:val="false"/>
          <w:iCs w:val="false"/>
          <w:caps w:val="false"/>
          <w:sz w:val="22"/>
          <w:szCs w:val="22"/>
        </w:rPr>
        <w:t xml:space="preserve">Pro Rata Share</w:t>
      </w:r>
      <w:r>
        <w:rPr>
          <w:rFonts w:ascii="Calibri" w:cs="Calibri" w:eastAsia="Calibri" w:hAnsi="Calibri"/>
          <w:b w:val="false"/>
          <w:bCs w:val="false"/>
          <w:i w:val="false"/>
          <w:iCs w:val="false"/>
          <w:caps w:val="false"/>
          <w:sz w:val="22"/>
          <w:szCs w:val="22"/>
        </w:rPr>
        <w:t xml:space="preserve">” is the ratio of (x) the number of shares of Common Stock held by the Major Purchaser and its Affiliates (including all shares of Common Stock issuable upon conversion or exercise of Preferred Stock and other convertible or exercisable securities held by them) to (y) the total number of shares of Common Stock then outstanding, assuming full conversion and exercise of all outstanding Preferred Stock and other convertible and exercisable securities.</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shall give each Major Purchaser notice (the “</w:t>
      </w:r>
      <w:r>
        <w:rPr>
          <w:rFonts w:ascii="Calibri" w:cs="Calibri" w:eastAsia="Calibri" w:hAnsi="Calibri"/>
          <w:b/>
          <w:bCs/>
          <w:i w:val="false"/>
          <w:iCs w:val="false"/>
          <w:caps w:val="false"/>
          <w:sz w:val="22"/>
          <w:szCs w:val="22"/>
        </w:rPr>
        <w:t xml:space="preserve">Offer Notice</w:t>
      </w:r>
      <w:r>
        <w:rPr>
          <w:rFonts w:ascii="Calibri" w:cs="Calibri" w:eastAsia="Calibri" w:hAnsi="Calibri"/>
          <w:b w:val="false"/>
          <w:bCs w:val="false"/>
          <w:i w:val="false"/>
          <w:iCs w:val="false"/>
          <w:caps w:val="false"/>
          <w:sz w:val="22"/>
          <w:szCs w:val="22"/>
        </w:rPr>
        <w:t xml:space="preserve">”) stating its bona fide intention to offer New Securities, the number of New Securities to be offered, and the price and terms on which it proposes to offer them. Each Major Purchaser may elect, by notice to the Company within 15 days after the Offer Notice is given, to purchase up to its Pro Rata Share of the New Securities at the price and on the terms specified in the Offer Notice. The Company shall promptly notify each Major Purchaser that elects to purchase its full Pro Rata Share (a “</w:t>
      </w:r>
      <w:r>
        <w:rPr>
          <w:rFonts w:ascii="Calibri" w:cs="Calibri" w:eastAsia="Calibri" w:hAnsi="Calibri"/>
          <w:b/>
          <w:bCs/>
          <w:i w:val="false"/>
          <w:iCs w:val="false"/>
          <w:caps w:val="false"/>
          <w:sz w:val="22"/>
          <w:szCs w:val="22"/>
        </w:rPr>
        <w:t xml:space="preserve">Fully Exercising Purchaser</w:t>
      </w:r>
      <w:r>
        <w:rPr>
          <w:rFonts w:ascii="Calibri" w:cs="Calibri" w:eastAsia="Calibri" w:hAnsi="Calibri"/>
          <w:b w:val="false"/>
          <w:bCs w:val="false"/>
          <w:i w:val="false"/>
          <w:iCs w:val="false"/>
          <w:caps w:val="false"/>
          <w:sz w:val="22"/>
          <w:szCs w:val="22"/>
        </w:rPr>
        <w:t xml:space="preserve">”) of any other Major Purchaser’s failure to do so, and each Fully Exercising Purchaser may elect, by notice to the Company within 5 days after that notice, to purchase its proportionate share (based on the Pro Rata Shares of all Fully Exercising Purchasers that elect to participate) of the New Securities not purchased by the other Major Purchasers.</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may, during the 90 days following the expiration of the periods in Section 5.4(c), offer and sell the New Securities not purchased by the Major Purchasers to any Person at a price not less than, and on terms no more favorable to the purchaser than, those specified in the Offer Notice. If the Company does not enter into an agreement for the sale of the New Securities within that period, or if that agreement is not consummated within 30 days after it is signed, the right provided in this Section 5.4 is revived and the Company shall not offer the New Securities without first reoffering them to the Major Purchasers under this Section 5.4. The closing of any purchase by a Major Purchaser under this Section 5.4 will occur concurrently with, and on the same terms as, the sale of the New Securities to the other purchasers.</w:t>
      </w:r>
    </w:p>
    <w:p>
      <w:pPr>
        <w:tabs>
          <w:tab w:val="left" w:pos="1440"/>
        </w:tabs>
        <w:spacing w:after="200" w:before="0"/>
        <w:ind w:left="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[Alternative 1: If the Company closes a Qualified Financing after offering a Major Purchaser the opportunity to purchase New Securities in it under this Section 5.4 or Section 8.9(b), and the Major Purchaser and its Affiliates have not, at that closing, purchased at least [the Major Purchaser’s full Pro Rata Share] [[50]% of the Major Purchaser’s Pro Rata Share] of the New Securities offered (or, if less, the full amount they were permitted to purchase after any waiver under Section 8.9), the Major Purchaser and any transferee of its Shares cease to have any right under this Section 5.4 with respect to later offerings of New Securities and are not entitled under Section 5.5 to a participation right under the Next Financing Documents, but the Major Purchaser remains a Major Purchaser for all other purposes of this Agreement. A “</w:t>
      </w:r>
      <w:r>
        <w:rPr>
          <w:rFonts w:ascii="Calibri" w:cs="Calibri" w:eastAsia="Calibri" w:hAnsi="Calibri"/>
          <w:b/>
          <w:bCs/>
          <w:i w:val="false"/>
          <w:iCs w:val="false"/>
          <w:caps w:val="false"/>
          <w:sz w:val="22"/>
          <w:szCs w:val="22"/>
        </w:rPr>
        <w:t xml:space="preserve">Qualified Financing</w:t>
      </w:r>
      <w:r>
        <w:rPr>
          <w:rFonts w:ascii="Calibri" w:cs="Calibri" w:eastAsia="Calibri" w:hAnsi="Calibri"/>
          <w:b w:val="false"/>
          <w:bCs w:val="false"/>
          <w:i w:val="false"/>
          <w:iCs w:val="false"/>
          <w:caps w:val="false"/>
          <w:sz w:val="22"/>
          <w:szCs w:val="22"/>
        </w:rPr>
        <w:t xml:space="preserve">” is a bona fide equity financing of the Company for capital-raising purposes[, in which a Person that is not a Major Purchaser or an Affiliate of a Major Purchaser purchases at least [a majority] of the New Securities sold,] with aggregate gross cash proceeds to the Company of at least the Qualified Financing Threshold. This Section 5.4(e) does not apply to a Major Purchaser that was prohibited by applicable law from purchasing the New Securities.]</w:t>
      </w:r>
    </w:p>
    <w:p>
      <w:pPr>
        <w:tabs>
          <w:tab w:val="left" w:pos="1440"/>
        </w:tabs>
        <w:spacing w:after="200" w:before="0"/>
        <w:ind w:left="0" w:firstLine="720"/>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[Alternative 2: The rights in this Section 5.4 terminate upon the initial closing of the Next Financing (as defined in Section 5.5(a)), and no Purchaser is entitled under Section 5.5 to a participation right under the Next Financing Documents.]</w:t>
      </w:r>
    </w:p>
    <w:p>
      <w:pPr>
        <w:tabs>
          <w:tab w:val="left" w:pos="720"/>
        </w:tabs>
        <w:spacing w:after="200" w:before="0"/>
        <w:ind w:left="0" w:firstLine="0"/>
      </w:pPr>
      <w:r>
        <w:rPr>
          <w:rFonts w:ascii="Calibri" w:cs="Calibri" w:eastAsia="Calibri" w:hAnsi="Calibri"/>
          <w:sz w:val="22"/>
          <w:szCs w:val="22"/>
        </w:rPr>
        <w:t xml:space="preserve">5.5</w:t>
      </w:r>
      <w:r>
        <w:rPr>
          <w:rFonts w:ascii="Calibri" w:cs="Calibri" w:eastAsia="Calibri" w:hAnsi="Calibri"/>
          <w:sz w:val="22"/>
          <w:szCs w:val="22"/>
        </w:rPr>
        <w:t xml:space="preserve">	</w:t>
      </w:r>
      <w:r>
        <w:rPr>
          <w:rFonts w:ascii="Calibri" w:cs="Calibri" w:eastAsia="Calibri" w:hAnsi="Calibri"/>
          <w:b/>
          <w:bCs/>
          <w:sz w:val="22"/>
          <w:szCs w:val="22"/>
        </w:rPr>
        <w:t xml:space="preserve">Next Financing; Most Favored Nation.</w:t>
      </w:r>
      <w:r>
        <w:rPr>
          <w:rFonts w:ascii="Calibri" w:cs="Calibri" w:eastAsia="Calibri" w:hAnsi="Calibri"/>
          <w:sz w:val="22"/>
          <w:szCs w:val="22"/>
        </w:rPr>
        <w:t xml:space="preserve"> </w:t>
      </w:r>
      <w:r>
        <w:rPr>
          <w:rStyle w:val="FootnoteReference"/>
        </w:rPr>
        <w:footnoteReference w:id="11"/>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Definitions.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w:t>
      </w:r>
      <w:r>
        <w:rPr>
          <w:rFonts w:ascii="Calibri" w:cs="Calibri" w:eastAsia="Calibri" w:hAnsi="Calibri"/>
          <w:b/>
          <w:bCs/>
          <w:i w:val="false"/>
          <w:iCs w:val="false"/>
          <w:caps w:val="false"/>
          <w:sz w:val="22"/>
          <w:szCs w:val="22"/>
        </w:rPr>
        <w:t xml:space="preserve">Next Financing</w:t>
      </w:r>
      <w:r>
        <w:rPr>
          <w:rFonts w:ascii="Calibri" w:cs="Calibri" w:eastAsia="Calibri" w:hAnsi="Calibri"/>
          <w:b w:val="false"/>
          <w:bCs w:val="false"/>
          <w:i w:val="false"/>
          <w:iCs w:val="false"/>
          <w:caps w:val="false"/>
          <w:sz w:val="22"/>
          <w:szCs w:val="22"/>
        </w:rPr>
        <w:t xml:space="preserve">” means the first equity financing after the Agreement Date in which the Company issues a new class or series of Preferred Stock for capital-raising purposes (the “</w:t>
      </w:r>
      <w:r>
        <w:rPr>
          <w:rFonts w:ascii="Calibri" w:cs="Calibri" w:eastAsia="Calibri" w:hAnsi="Calibri"/>
          <w:b/>
          <w:bCs/>
          <w:i w:val="false"/>
          <w:iCs w:val="false"/>
          <w:caps w:val="false"/>
          <w:sz w:val="22"/>
          <w:szCs w:val="22"/>
        </w:rPr>
        <w:t xml:space="preserve">Next Financing Preferred</w:t>
      </w:r>
      <w:r>
        <w:rPr>
          <w:rFonts w:ascii="Calibri" w:cs="Calibri" w:eastAsia="Calibri" w:hAnsi="Calibri"/>
          <w:b w:val="false"/>
          <w:bCs w:val="false"/>
          <w:i w:val="false"/>
          <w:iCs w:val="false"/>
          <w:caps w:val="false"/>
          <w:sz w:val="22"/>
          <w:szCs w:val="22"/>
        </w:rPr>
        <w:t xml:space="preserve">”). The “</w:t>
      </w:r>
      <w:r>
        <w:rPr>
          <w:rFonts w:ascii="Calibri" w:cs="Calibri" w:eastAsia="Calibri" w:hAnsi="Calibri"/>
          <w:b/>
          <w:bCs/>
          <w:i w:val="false"/>
          <w:iCs w:val="false"/>
          <w:caps w:val="false"/>
          <w:sz w:val="22"/>
          <w:szCs w:val="22"/>
        </w:rPr>
        <w:t xml:space="preserve">Next Financing Documents</w:t>
      </w:r>
      <w:r>
        <w:rPr>
          <w:rFonts w:ascii="Calibri" w:cs="Calibri" w:eastAsia="Calibri" w:hAnsi="Calibri"/>
          <w:b w:val="false"/>
          <w:bCs w:val="false"/>
          <w:i w:val="false"/>
          <w:iCs w:val="false"/>
          <w:caps w:val="false"/>
          <w:sz w:val="22"/>
          <w:szCs w:val="22"/>
        </w:rPr>
        <w:t xml:space="preserve">” means the Restated Certificate as amended in the Next Financing and the investors’ rights, voting, right of first refusal and co-sale, and other agreements, if any, signed by the investors in the Next Financing. “</w:t>
      </w:r>
      <w:r>
        <w:rPr>
          <w:rFonts w:ascii="Calibri" w:cs="Calibri" w:eastAsia="Calibri" w:hAnsi="Calibri"/>
          <w:b/>
          <w:bCs/>
          <w:i w:val="false"/>
          <w:iCs w:val="false"/>
          <w:caps w:val="false"/>
          <w:sz w:val="22"/>
          <w:szCs w:val="22"/>
        </w:rPr>
        <w:t xml:space="preserve">Economic Terms</w:t>
      </w:r>
      <w:r>
        <w:rPr>
          <w:rFonts w:ascii="Calibri" w:cs="Calibri" w:eastAsia="Calibri" w:hAnsi="Calibri"/>
          <w:b w:val="false"/>
          <w:bCs w:val="false"/>
          <w:i w:val="false"/>
          <w:iCs w:val="false"/>
          <w:caps w:val="false"/>
          <w:sz w:val="22"/>
          <w:szCs w:val="22"/>
        </w:rPr>
        <w:t xml:space="preserve">” means, as to any class or series of Preferred Stock, its original issue price, conversion price and conversion ratio, liquidation preference amount and seniority, whether and to what extent its liquidation preference is participating, the form of any price-based anti-dilution protection, dividend rate and whether dividends are cumulative, any pay-to-play provision, redemption price, and any other term expressed as or derived from a price, valuation or dollar amount.</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Rights Granted to All Investors.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Next Financing Documents grant rights to all purchasers of the Next Financing Preferred that are not granted to the Purchasers under this Agreement (including registration rights, rights of first refusal and co-sale with respect to transfers by Key Holders, information rights and participation rights, in each case to the extent not conditioned on an ownership or investment threshold), the Company shall grant each Purchaser the same rights, on the same terms, with respect to its Shares, by including the Purchasers as parties to the Next Financing Documents or by amending this Agreement.</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Threshold-Based Rights.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any right under the Next Financing Documents is available only to holders that meet a share-ownership or investment-amount threshold (including rights granted to “Major Investors” or similarly defined holders), that right is available to a Purchaser only if the Purchaser meets the applicable threshold, but for that purpose (i) the Shares held by the Purchaser and its Affiliates count toward any share-based threshold on an as-converted basis, and (ii) the aggregate Purchase Price paid for the Shares held by the Purchaser and its Affiliates counts toward any dollar-based threshold. A Purchaser’s status as a Major Purchaser under this Agreement does not by itself entitle it to any threshold-based right under the Next Financing Documents.</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Charter Rights.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powers, preferences and special rights of the Next Financing Preferred under the Restated Certificate, other than its Economic Terms, are more favorable than those of the Series Seed Preferred Stock, the Company shall amend the Restated Certificate in the Next Financing so that the Series Seed Preferred Stock has substantially equivalent powers, preferences and special rights, adjusted to reflect its own Economic Terms. For this purpose, (i) the Series Seed Preferred Stock will exercise any approval or consent right of the Preferred Stock together with the Next Financing Preferred (and any other Preferred Stock) voting as a single class on an as-converted basis, and (ii) a separate class or series vote of the Next Financing Preferred, or a right to elect directors as a separate series, is not a right to which the Series Seed Preferred Stock is entitled under this Section 5.5.</w:t>
      </w:r>
    </w:p>
    <w:p>
      <w:pPr>
        <w:tabs>
          <w:tab w:val="left" w:pos="1440"/>
        </w:tabs>
        <w:spacing w:after="200" w:before="0"/>
        <w:ind w:left="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Exclusions.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Section 5.5 does not entitle any Purchaser to (i) the Economic Terms of the Next Financing Preferred; (ii) any right granted to an investor by name or under a side letter or similar agreement, including the right to designate a director or board observer, a management rights letter, or an investor-specific consent, information or participation right; or (iii) any right that terminated or was waived under this Agreement before the Next Financing.</w:t>
      </w:r>
    </w:p>
    <w:p>
      <w:pPr>
        <w:tabs>
          <w:tab w:val="left" w:pos="1440"/>
        </w:tabs>
        <w:spacing w:after="200" w:before="0"/>
        <w:ind w:left="0" w:firstLine="720"/>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Mechanics.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Purchaser shall sign the Next Financing Documents to the extent necessary to receive the rights described in this Section 5.5. The Company shall pay the reasonable fees and expenses, not to exceed $5,000 in the aggregate, of one counsel for the Purchasers in connection with their review of the Next Financing Documents. Upon the closing of the Next Financing, if the Next Financing Documents have been signed by the Company, the Requisite Purchasers and Qualified Key Holders holding a majority of the shares of Common Stock then held by all Qualified Key Holders, this Agreement (other than Section 2.6, Article 3, Article 4, Section 5.3, Section 6.3 and Article 8, and any obligations then accrued) terminates and is superseded by the Next Financing Documents, notwithstanding Section 8.9(a) and (b).</w:t>
      </w:r>
    </w:p>
    <w:p>
      <w:pPr>
        <w:tabs>
          <w:tab w:val="left" w:pos="720"/>
        </w:tabs>
        <w:spacing w:after="200" w:before="0"/>
        <w:ind w:left="0" w:firstLine="0"/>
      </w:pPr>
      <w:r>
        <w:rPr>
          <w:rFonts w:ascii="Calibri" w:cs="Calibri" w:eastAsia="Calibri" w:hAnsi="Calibri"/>
          <w:sz w:val="22"/>
          <w:szCs w:val="22"/>
        </w:rPr>
        <w:t xml:space="preserve">5.6</w:t>
      </w:r>
      <w:r>
        <w:rPr>
          <w:rFonts w:ascii="Calibri" w:cs="Calibri" w:eastAsia="Calibri" w:hAnsi="Calibri"/>
          <w:sz w:val="22"/>
          <w:szCs w:val="22"/>
        </w:rPr>
        <w:t xml:space="preserve">	</w:t>
      </w:r>
      <w:r>
        <w:rPr>
          <w:rFonts w:ascii="Calibri" w:cs="Calibri" w:eastAsia="Calibri" w:hAnsi="Calibri"/>
          <w:b/>
          <w:bCs/>
          <w:sz w:val="22"/>
          <w:szCs w:val="22"/>
        </w:rPr>
        <w:t xml:space="preserve">Qualified Small Business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shall use commercially reasonable efforts to refrain from taking any action that would reasonably be expected to cause the Shares to fail to qualify as “qualified small business stock” within the meaning of Section 1202(c) of the Code, unless the Board determines in good faith that the action is in the best interests of the Company. The Company shall submit to the Purchasers and the Internal Revenue Service any reports required under Section 1202(d)(1)(C) of the Code, and, within 20 business days after a Purchaser’s written request, shall deliver to the Purchaser a written statement as to whether, to the Company’s knowledge, the Purchaser’s Shares constitute qualified small business stock. The Company is not liable to any Purchaser for any error in that statement unless made in bad faith or with gross negligence.</w:t>
      </w:r>
    </w:p>
    <w:p>
      <w:pPr>
        <w:tabs>
          <w:tab w:val="left" w:pos="720"/>
        </w:tabs>
        <w:spacing w:after="200" w:before="0"/>
        <w:ind w:left="0" w:firstLine="0"/>
      </w:pPr>
      <w:r>
        <w:rPr>
          <w:rFonts w:ascii="Calibri" w:cs="Calibri" w:eastAsia="Calibri" w:hAnsi="Calibri"/>
          <w:sz w:val="22"/>
          <w:szCs w:val="22"/>
        </w:rPr>
        <w:t xml:space="preserve">5.7</w:t>
      </w:r>
      <w:r>
        <w:rPr>
          <w:rFonts w:ascii="Calibri" w:cs="Calibri" w:eastAsia="Calibri" w:hAnsi="Calibri"/>
          <w:sz w:val="22"/>
          <w:szCs w:val="22"/>
        </w:rPr>
        <w:t xml:space="preserve">	</w:t>
      </w:r>
      <w:r>
        <w:rPr>
          <w:rFonts w:ascii="Calibri" w:cs="Calibri" w:eastAsia="Calibri" w:hAnsi="Calibri"/>
          <w:b/>
          <w:bCs/>
          <w:sz w:val="22"/>
          <w:szCs w:val="22"/>
        </w:rPr>
        <w:t xml:space="preserve">Employee Agreements and Vesting.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Unless otherwise approved by the Board, the Company shall cause each Person employed or engaged by it with access to confidential information or trade secrets to sign an agreement regarding confidentiality and assignment of inventions substantially in the form made available to the Purchasers, and shall grant equity to employees, consultants and directors only on terms providing for vesting over not less than four years with a one-year cliff (or, for consultants and directors, monthly vesting over not less than [two] years) and a right of first refusal in favor of the Company.</w:t>
      </w:r>
    </w:p>
    <w:p>
      <w:pPr>
        <w:tabs>
          <w:tab w:val="left" w:pos="720"/>
        </w:tabs>
        <w:spacing w:after="200" w:before="0"/>
        <w:ind w:left="0" w:firstLine="0"/>
      </w:pPr>
      <w:r>
        <w:rPr>
          <w:rFonts w:ascii="Calibri" w:cs="Calibri" w:eastAsia="Calibri" w:hAnsi="Calibri"/>
          <w:sz w:val="22"/>
          <w:szCs w:val="22"/>
        </w:rPr>
        <w:t xml:space="preserve">5.8</w:t>
      </w:r>
      <w:r>
        <w:rPr>
          <w:rFonts w:ascii="Calibri" w:cs="Calibri" w:eastAsia="Calibri" w:hAnsi="Calibri"/>
          <w:sz w:val="22"/>
          <w:szCs w:val="22"/>
        </w:rPr>
        <w:t xml:space="preserve">	</w:t>
      </w:r>
      <w:r>
        <w:rPr>
          <w:rFonts w:ascii="Calibri" w:cs="Calibri" w:eastAsia="Calibri" w:hAnsi="Calibri"/>
          <w:b/>
          <w:bCs/>
          <w:sz w:val="22"/>
          <w:szCs w:val="22"/>
        </w:rPr>
        <w:t xml:space="preserve">Termination of Investor Rights.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covenants in Sections 5.1, 5.2, 5.4, 5.6 and 5.7 terminate upon the earlier of (a) the closing of the Company’s first firm-commitment underwritten public offering of Common Stock under an effective registration statement under the Securities Act (the “</w:t>
      </w:r>
      <w:r>
        <w:rPr>
          <w:rFonts w:ascii="Calibri" w:cs="Calibri" w:eastAsia="Calibri" w:hAnsi="Calibri"/>
          <w:b/>
          <w:bCs/>
          <w:i w:val="false"/>
          <w:iCs w:val="false"/>
          <w:caps w:val="false"/>
          <w:sz w:val="22"/>
          <w:szCs w:val="22"/>
        </w:rPr>
        <w:t xml:space="preserve">IPO</w:t>
      </w:r>
      <w:r>
        <w:rPr>
          <w:rFonts w:ascii="Calibri" w:cs="Calibri" w:eastAsia="Calibri" w:hAnsi="Calibri"/>
          <w:b w:val="false"/>
          <w:bCs w:val="false"/>
          <w:i w:val="false"/>
          <w:iCs w:val="false"/>
          <w:caps w:val="false"/>
          <w:sz w:val="22"/>
          <w:szCs w:val="22"/>
        </w:rPr>
        <w:t xml:space="preserve">”), and (b) the closing of a Deemed Liquidation Event (as defined in the Restated Certificate). In addition, the covenants in Sections 5.1 and 5.2 do not apply to any Purchaser for so long as it is a Sanctioned Party.</w:t>
      </w:r>
    </w:p>
    <w:p>
      <w:pPr>
        <w:spacing w:after="0" w:before="0"/>
        <w:jc w:val="center"/>
      </w:pPr>
      <w:r>
        <w:rPr>
          <w:rFonts w:ascii="Calibri" w:cs="Calibri" w:eastAsia="Calibri" w:hAnsi="Calibri"/>
          <w:b w:val="false"/>
          <w:bCs w:val="false"/>
          <w:sz w:val="22"/>
          <w:szCs w:val="22"/>
        </w:rPr>
        <w:t xml:space="preserve">Article 6</w:t>
      </w:r>
    </w:p>
    <w:p>
      <w:pPr>
        <w:spacing w:after="200" w:before="0"/>
        <w:jc w:val="center"/>
      </w:pPr>
      <w:r>
        <w:rPr>
          <w:rFonts w:ascii="Calibri" w:cs="Calibri" w:eastAsia="Calibri" w:hAnsi="Calibri"/>
          <w:b w:val="false"/>
          <w:bCs w:val="false"/>
          <w:sz w:val="22"/>
          <w:szCs w:val="22"/>
        </w:rPr>
        <w:t xml:space="preserve">RESTRICTIONS ON TRANSFER</w:t>
      </w:r>
    </w:p>
    <w:p>
      <w:pPr>
        <w:tabs>
          <w:tab w:val="left" w:pos="720"/>
        </w:tabs>
        <w:spacing w:after="200" w:before="0"/>
        <w:ind w:left="0" w:firstLine="0"/>
      </w:pPr>
      <w:r>
        <w:rPr>
          <w:rFonts w:ascii="Calibri" w:cs="Calibri" w:eastAsia="Calibri" w:hAnsi="Calibri"/>
          <w:sz w:val="22"/>
          <w:szCs w:val="22"/>
        </w:rPr>
        <w:t xml:space="preserve">6.1</w:t>
      </w:r>
      <w:r>
        <w:rPr>
          <w:rFonts w:ascii="Calibri" w:cs="Calibri" w:eastAsia="Calibri" w:hAnsi="Calibri"/>
          <w:sz w:val="22"/>
          <w:szCs w:val="22"/>
        </w:rPr>
        <w:t xml:space="preserve">	</w:t>
      </w:r>
      <w:r>
        <w:rPr>
          <w:rFonts w:ascii="Calibri" w:cs="Calibri" w:eastAsia="Calibri" w:hAnsi="Calibri"/>
          <w:b/>
          <w:bCs/>
          <w:sz w:val="22"/>
          <w:szCs w:val="22"/>
        </w:rPr>
        <w:t xml:space="preserve">Securities Law Restrictions.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Stockholder shall transfer any Shares or any other shares of the Company’s capital stock held by it (the “</w:t>
      </w:r>
      <w:r>
        <w:rPr>
          <w:rFonts w:ascii="Calibri" w:cs="Calibri" w:eastAsia="Calibri" w:hAnsi="Calibri"/>
          <w:b/>
          <w:bCs/>
          <w:i w:val="false"/>
          <w:iCs w:val="false"/>
          <w:caps w:val="false"/>
          <w:sz w:val="22"/>
          <w:szCs w:val="22"/>
        </w:rPr>
        <w:t xml:space="preserve">Securities</w:t>
      </w:r>
      <w:r>
        <w:rPr>
          <w:rFonts w:ascii="Calibri" w:cs="Calibri" w:eastAsia="Calibri" w:hAnsi="Calibri"/>
          <w:b w:val="false"/>
          <w:bCs w:val="false"/>
          <w:i w:val="false"/>
          <w:iCs w:val="false"/>
          <w:caps w:val="false"/>
          <w:sz w:val="22"/>
          <w:szCs w:val="22"/>
        </w:rPr>
        <w:t xml:space="preserve">”) unless (a) a registration statement under the Securities Act covering the transfer is in effect and the transfer is made in accordance with it, or (b) the Stockholder has notified the Company of the proposed transfer and, if the Company reasonably requests, has furnished the Company, at the Stockholder’s expense, with an opinion of counsel reasonably satisfactory to the Company that the transfer does not require registration under the Securities Act. No opinion is required for (i) a transfer in compliance with Rule 144 under the Securities Act, (ii) a transfer by a Stockholder that is an entity to its Affiliates, partners, members or stockholders, or (iii) a transfer by a Stockholder that is an individual, without consideration, to the Stockholder’s spouse or lineal descendants or ancestors, or to a trust for the benefit of any of them, for bona fide estate planning purposes; provided that in each case the transferee agrees in writing to be bound by this Agreement to the same extent as the transferor.</w:t>
      </w:r>
    </w:p>
    <w:p>
      <w:pPr>
        <w:tabs>
          <w:tab w:val="left" w:pos="720"/>
        </w:tabs>
        <w:spacing w:after="200" w:before="0"/>
        <w:ind w:left="0" w:firstLine="0"/>
      </w:pPr>
      <w:r>
        <w:rPr>
          <w:rFonts w:ascii="Calibri" w:cs="Calibri" w:eastAsia="Calibri" w:hAnsi="Calibri"/>
          <w:sz w:val="22"/>
          <w:szCs w:val="22"/>
        </w:rPr>
        <w:t xml:space="preserve">6.2</w:t>
      </w:r>
      <w:r>
        <w:rPr>
          <w:rFonts w:ascii="Calibri" w:cs="Calibri" w:eastAsia="Calibri" w:hAnsi="Calibri"/>
          <w:sz w:val="22"/>
          <w:szCs w:val="22"/>
        </w:rPr>
        <w:t xml:space="preserve">	</w:t>
      </w:r>
      <w:r>
        <w:rPr>
          <w:rFonts w:ascii="Calibri" w:cs="Calibri" w:eastAsia="Calibri" w:hAnsi="Calibri"/>
          <w:b/>
          <w:bCs/>
          <w:sz w:val="22"/>
          <w:szCs w:val="22"/>
        </w:rPr>
        <w:t xml:space="preserve">Key Holder Transfers; Right of First Refusal.</w:t>
      </w:r>
      <w:r>
        <w:rPr>
          <w:rFonts w:ascii="Calibri" w:cs="Calibri" w:eastAsia="Calibri" w:hAnsi="Calibri"/>
          <w:sz w:val="22"/>
          <w:szCs w:val="22"/>
        </w:rPr>
        <w:t xml:space="preserve"> </w:t>
      </w:r>
      <w:r>
        <w:rPr>
          <w:rStyle w:val="FootnoteReference"/>
        </w:rPr>
        <w:footnoteReference w:id="12"/>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Grant.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Key Holder grants to the Company, and then to the Major Purchasers, a right of first refusal to purchase all or any portion of the Transfer Stock that the Key Holder proposes to transfer, at the same price and on the same terms as those offered to the proposed transferee. “</w:t>
      </w:r>
      <w:r>
        <w:rPr>
          <w:rFonts w:ascii="Calibri" w:cs="Calibri" w:eastAsia="Calibri" w:hAnsi="Calibri"/>
          <w:b/>
          <w:bCs/>
          <w:i w:val="false"/>
          <w:iCs w:val="false"/>
          <w:caps w:val="false"/>
          <w:sz w:val="22"/>
          <w:szCs w:val="22"/>
        </w:rPr>
        <w:t xml:space="preserve">Transfer Stock</w:t>
      </w:r>
      <w:r>
        <w:rPr>
          <w:rFonts w:ascii="Calibri" w:cs="Calibri" w:eastAsia="Calibri" w:hAnsi="Calibri"/>
          <w:b w:val="false"/>
          <w:bCs w:val="false"/>
          <w:i w:val="false"/>
          <w:iCs w:val="false"/>
          <w:caps w:val="false"/>
          <w:sz w:val="22"/>
          <w:szCs w:val="22"/>
        </w:rPr>
        <w:t xml:space="preserve">” means all shares of capital stock of the Company held by a Key Holder, including shares acquired after the Agreement Date, but excluding any shares of Preferred Stock or Common Stock issued on conversion of Preferred Stock. To the extent any other agreement between the Company and a Key Holder contains a right of first refusal in favor of the Company, this Section 6.2 controls and compliance with it satisfies that other right.</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Notice.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 Key Holder proposing to transfer Transfer Stock shall deliver to the Company and each Major Purchaser a written notice (the “</w:t>
      </w:r>
      <w:r>
        <w:rPr>
          <w:rFonts w:ascii="Calibri" w:cs="Calibri" w:eastAsia="Calibri" w:hAnsi="Calibri"/>
          <w:b/>
          <w:bCs/>
          <w:i w:val="false"/>
          <w:iCs w:val="false"/>
          <w:caps w:val="false"/>
          <w:sz w:val="22"/>
          <w:szCs w:val="22"/>
        </w:rPr>
        <w:t xml:space="preserve">Transfer Notice</w:t>
      </w:r>
      <w:r>
        <w:rPr>
          <w:rFonts w:ascii="Calibri" w:cs="Calibri" w:eastAsia="Calibri" w:hAnsi="Calibri"/>
          <w:b w:val="false"/>
          <w:bCs w:val="false"/>
          <w:i w:val="false"/>
          <w:iCs w:val="false"/>
          <w:caps w:val="false"/>
          <w:sz w:val="22"/>
          <w:szCs w:val="22"/>
        </w:rPr>
        <w:t xml:space="preserve">”) describing the Transfer Stock to be transferred, the identity of the proposed transferee, the price and form of consideration, and the other material terms of the proposed transfer, at least 45 days before the proposed transfer.</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Company Right.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Company may elect, by notice to the Key Holder and the Major Purchasers within 15 days after delivery of the Transfer Notice, to purchase all or any portion of the Transfer Stock on the terms set forth in the Transfer Notice.</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Major Purchaser Right.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Company does not elect to purchase all of the Transfer Stock, each Major Purchaser may elect, by notice to the Key Holder and the Company within 10 days after the Company’s election period expires, to purchase up to its proportionate share of the Transfer Stock not purchased by the Company (based on the number of shares of Common Stock, on an as-converted basis, held by the Major Purchaser relative to all Major Purchasers), on the terms set forth in the Transfer Notice. A Major Purchaser that elects to purchase its full proportionate share may also elect, in the same notice, to purchase any Transfer Stock not purchased by other Major Purchasers, which will be allocated among the fully participating Major Purchasers in proportion to their holdings.</w:t>
      </w:r>
    </w:p>
    <w:p>
      <w:pPr>
        <w:tabs>
          <w:tab w:val="left" w:pos="1440"/>
        </w:tabs>
        <w:spacing w:after="200" w:before="0"/>
        <w:ind w:left="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Closing; Sale to Transferee.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the Company or the Major Purchasers elect to purchase Transfer Stock, the purchase will close within 45 days after delivery of the Transfer Notice, and if the consideration proposed in the Transfer Notice is not cash, the Company or the purchasing Major Purchasers may pay the cash equivalent as determined in good faith by the Board. If the Company and the Major Purchasers, collectively, do not elect to purchase all of the Transfer Stock, their elections are deemed withdrawn, and the Key Holder may transfer all, but not less than all, of the Transfer Stock to the proposed transferee on terms no more favorable to the transferee than those in the Transfer Notice, within 60 days after delivery of the Transfer Notice, provided that the transferee agrees in writing to be bound by this Agreement as a Key Holder with respect to the shares transferred. Any Transfer Stock not transferred within that period is again subject to this Section 6.2.</w:t>
      </w:r>
    </w:p>
    <w:p>
      <w:pPr>
        <w:tabs>
          <w:tab w:val="left" w:pos="1440"/>
        </w:tabs>
        <w:spacing w:after="200" w:before="0"/>
        <w:ind w:left="0" w:firstLine="720"/>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Exempt Transfers.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Section 6.2 does not apply to (i) a transfer by a Key Holder that is an individual, without consideration, to the Key Holder’s spouse or lineal descendants or ancestors, or to a trust or other entity wholly owned by or for the benefit of the Key Holder or any of them, for bona fide estate planning purposes; (ii) a transfer by a Key Holder that is an entity to its equity holders without consideration; (iii) a repurchase of Transfer Stock by the Company from a Key Holder at no more than the price originally paid under an agreement containing vesting or repurchase provisions approved by the Board; (iv) a transfer in connection with a Deemed Liquidation Event or the IPO; or (v) a transfer approved by the Board and the Requisite Purchasers; provided that in the case of clauses (i) and (ii) the transferee agrees in writing to be bound by this Agreement as a Key Holder with respect to the shares transferred.</w:t>
      </w:r>
    </w:p>
    <w:p>
      <w:pPr>
        <w:tabs>
          <w:tab w:val="left" w:pos="720"/>
        </w:tabs>
        <w:spacing w:after="200" w:before="0"/>
        <w:ind w:left="0" w:firstLine="0"/>
      </w:pPr>
      <w:r>
        <w:rPr>
          <w:rFonts w:ascii="Calibri" w:cs="Calibri" w:eastAsia="Calibri" w:hAnsi="Calibri"/>
          <w:sz w:val="22"/>
          <w:szCs w:val="22"/>
        </w:rPr>
        <w:t xml:space="preserve">6.3</w:t>
      </w:r>
      <w:r>
        <w:rPr>
          <w:rFonts w:ascii="Calibri" w:cs="Calibri" w:eastAsia="Calibri" w:hAnsi="Calibri"/>
          <w:sz w:val="22"/>
          <w:szCs w:val="22"/>
        </w:rPr>
        <w:t xml:space="preserve">	</w:t>
      </w:r>
      <w:r>
        <w:rPr>
          <w:rFonts w:ascii="Calibri" w:cs="Calibri" w:eastAsia="Calibri" w:hAnsi="Calibri"/>
          <w:b/>
          <w:bCs/>
          <w:sz w:val="22"/>
          <w:szCs w:val="22"/>
        </w:rPr>
        <w:t xml:space="preserve">Market Stand-Off.</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In connection with the IPO, each Stockholder shall not, without the prior written consent of the managing underwriter, sell, offer to sell, pledge, lend or otherwise transfer or dispose of (or enter into any swap or other arrangement that transfers the economic consequences of ownership of) any Securities for the period, not to exceed 180 days after the date of the final prospectus, requested by the Company and the managing underwriter, provided that all officers and directors of the Company and all holders of more than 1% of the Company’s outstanding capital stock are subject to the same restrictions. Each Stockholder shall sign any customary lock-up agreement reasonably requested by the underwriters consistent with this Section 6.3, and the Company may impose stop-transfer instructions to enforce it.</w:t>
      </w:r>
    </w:p>
    <w:p>
      <w:pPr>
        <w:tabs>
          <w:tab w:val="left" w:pos="720"/>
        </w:tabs>
        <w:spacing w:after="200" w:before="0"/>
        <w:ind w:left="0" w:firstLine="0"/>
      </w:pPr>
      <w:r>
        <w:rPr>
          <w:rFonts w:ascii="Calibri" w:cs="Calibri" w:eastAsia="Calibri" w:hAnsi="Calibri"/>
          <w:sz w:val="22"/>
          <w:szCs w:val="22"/>
        </w:rPr>
        <w:t xml:space="preserve">6.4</w:t>
      </w:r>
      <w:r>
        <w:rPr>
          <w:rFonts w:ascii="Calibri" w:cs="Calibri" w:eastAsia="Calibri" w:hAnsi="Calibri"/>
          <w:sz w:val="22"/>
          <w:szCs w:val="22"/>
        </w:rPr>
        <w:t xml:space="preserve">	</w:t>
      </w:r>
      <w:r>
        <w:rPr>
          <w:rFonts w:ascii="Calibri" w:cs="Calibri" w:eastAsia="Calibri" w:hAnsi="Calibri"/>
          <w:b/>
          <w:bCs/>
          <w:sz w:val="22"/>
          <w:szCs w:val="22"/>
        </w:rPr>
        <w:t xml:space="preserve">Legends.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certificate, instrument or book entry representing Securities will be notated with the legend in Section 4.6 and with a legend substantially as follows: “THE SECURITIES REPRESENTED HEREBY ARE SUBJECT TO AN INVESTMENT AGREEMENT, AS MAY BE AMENDED FROM TIME TO TIME (A COPY OF WHICH MAY BE OBTAINED FROM THE COMPANY), WHICH INCLUDES VOTING OBLIGATIONS, A RIGHT OF FIRST REFUSAL, A DRAG-ALONG OBLIGATION AND OTHER RESTRICTIONS ON TRANSFER. BY ACCEPTING ANY INTEREST IN THESE SECURITIES, THE PERSON ACCEPTING THAT INTEREST AGREES TO BE BOUND BY THAT AGREEMENT.” The Company shall remove the legend in Section 4.6 upon request of a holder if the Securities are registered or may be sold without restriction under Rule 144, and shall remove the legend in this Section 6.4 upon termination of this Agreement.</w:t>
      </w:r>
    </w:p>
    <w:p>
      <w:pPr>
        <w:tabs>
          <w:tab w:val="left" w:pos="720"/>
        </w:tabs>
        <w:spacing w:after="200" w:before="0"/>
        <w:ind w:left="0" w:firstLine="0"/>
      </w:pPr>
      <w:r>
        <w:rPr>
          <w:rFonts w:ascii="Calibri" w:cs="Calibri" w:eastAsia="Calibri" w:hAnsi="Calibri"/>
          <w:sz w:val="22"/>
          <w:szCs w:val="22"/>
        </w:rPr>
        <w:t xml:space="preserve">6.5</w:t>
      </w:r>
      <w:r>
        <w:rPr>
          <w:rFonts w:ascii="Calibri" w:cs="Calibri" w:eastAsia="Calibri" w:hAnsi="Calibri"/>
          <w:sz w:val="22"/>
          <w:szCs w:val="22"/>
        </w:rPr>
        <w:t xml:space="preserve">	</w:t>
      </w:r>
      <w:r>
        <w:rPr>
          <w:rFonts w:ascii="Calibri" w:cs="Calibri" w:eastAsia="Calibri" w:hAnsi="Calibri"/>
          <w:b/>
          <w:bCs/>
          <w:sz w:val="22"/>
          <w:szCs w:val="22"/>
        </w:rPr>
        <w:t xml:space="preserve">Transfers Void; Transferees Bound.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transfer of Securities not made in compliance with this Agreement is void, will not be recorded on the books of the Company, and will not be recognized by the Company. Each transferee of Securities, as a condition to the Company’s recognition of the transfer, shall agree in writing to be bound by this Agreement in the same capacity as the transferor, and the Company shall update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accordingly.</w:t>
      </w:r>
    </w:p>
    <w:p>
      <w:pPr>
        <w:spacing w:after="0" w:before="0"/>
        <w:jc w:val="center"/>
      </w:pPr>
      <w:r>
        <w:rPr>
          <w:rFonts w:ascii="Calibri" w:cs="Calibri" w:eastAsia="Calibri" w:hAnsi="Calibri"/>
          <w:b w:val="false"/>
          <w:bCs w:val="false"/>
          <w:sz w:val="22"/>
          <w:szCs w:val="22"/>
        </w:rPr>
        <w:t xml:space="preserve">Article 7</w:t>
      </w:r>
    </w:p>
    <w:p>
      <w:pPr>
        <w:spacing w:after="200" w:before="0"/>
        <w:jc w:val="center"/>
      </w:pPr>
      <w:r>
        <w:rPr>
          <w:rFonts w:ascii="Calibri" w:cs="Calibri" w:eastAsia="Calibri" w:hAnsi="Calibri"/>
          <w:b w:val="false"/>
          <w:bCs w:val="false"/>
          <w:sz w:val="22"/>
          <w:szCs w:val="22"/>
        </w:rPr>
        <w:t xml:space="preserve">VOTING; BOARD OF DIRECTORS; DRAG-ALONG</w:t>
      </w:r>
    </w:p>
    <w:p>
      <w:pPr>
        <w:tabs>
          <w:tab w:val="left" w:pos="720"/>
        </w:tabs>
        <w:spacing w:after="200" w:before="0"/>
        <w:ind w:left="0" w:firstLine="0"/>
      </w:pPr>
      <w:r>
        <w:rPr>
          <w:rFonts w:ascii="Calibri" w:cs="Calibri" w:eastAsia="Calibri" w:hAnsi="Calibri"/>
          <w:sz w:val="22"/>
          <w:szCs w:val="22"/>
        </w:rPr>
        <w:t xml:space="preserve">7.1</w:t>
      </w:r>
      <w:r>
        <w:rPr>
          <w:rFonts w:ascii="Calibri" w:cs="Calibri" w:eastAsia="Calibri" w:hAnsi="Calibri"/>
          <w:sz w:val="22"/>
          <w:szCs w:val="22"/>
        </w:rPr>
        <w:t xml:space="preserve">	</w:t>
      </w:r>
      <w:r>
        <w:rPr>
          <w:rFonts w:ascii="Calibri" w:cs="Calibri" w:eastAsia="Calibri" w:hAnsi="Calibri"/>
          <w:b/>
          <w:bCs/>
          <w:sz w:val="22"/>
          <w:szCs w:val="22"/>
        </w:rPr>
        <w:t xml:space="preserve">Board Size.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Stockholder shall vote, or cause to be voted, all shares of the Company’s capital stock entitled to vote in the election of directors that are owned by the Stockholder or over which the Stockholder has voting control (the “</w:t>
      </w:r>
      <w:r>
        <w:rPr>
          <w:rFonts w:ascii="Calibri" w:cs="Calibri" w:eastAsia="Calibri" w:hAnsi="Calibri"/>
          <w:b/>
          <w:bCs/>
          <w:i w:val="false"/>
          <w:iCs w:val="false"/>
          <w:caps w:val="false"/>
          <w:sz w:val="22"/>
          <w:szCs w:val="22"/>
        </w:rPr>
        <w:t xml:space="preserve">Voting Shares</w:t>
      </w:r>
      <w:r>
        <w:rPr>
          <w:rFonts w:ascii="Calibri" w:cs="Calibri" w:eastAsia="Calibri" w:hAnsi="Calibri"/>
          <w:b w:val="false"/>
          <w:bCs w:val="false"/>
          <w:i w:val="false"/>
          <w:iCs w:val="false"/>
          <w:caps w:val="false"/>
          <w:sz w:val="22"/>
          <w:szCs w:val="22"/>
        </w:rPr>
        <w:t xml:space="preserve">”), from time to time and at all times, in whatever manner is necessary to ensure that the authorized size of the Board is the total number of directors set forth in the Board Composition.</w:t>
      </w:r>
    </w:p>
    <w:p>
      <w:pPr>
        <w:tabs>
          <w:tab w:val="left" w:pos="720"/>
        </w:tabs>
        <w:spacing w:after="200" w:before="0"/>
        <w:ind w:left="0" w:firstLine="0"/>
      </w:pPr>
      <w:r>
        <w:rPr>
          <w:rFonts w:ascii="Calibri" w:cs="Calibri" w:eastAsia="Calibri" w:hAnsi="Calibri"/>
          <w:sz w:val="22"/>
          <w:szCs w:val="22"/>
        </w:rPr>
        <w:t xml:space="preserve">7.2</w:t>
      </w:r>
      <w:r>
        <w:rPr>
          <w:rFonts w:ascii="Calibri" w:cs="Calibri" w:eastAsia="Calibri" w:hAnsi="Calibri"/>
          <w:sz w:val="22"/>
          <w:szCs w:val="22"/>
        </w:rPr>
        <w:t xml:space="preserve">	</w:t>
      </w:r>
      <w:r>
        <w:rPr>
          <w:rFonts w:ascii="Calibri" w:cs="Calibri" w:eastAsia="Calibri" w:hAnsi="Calibri"/>
          <w:b/>
          <w:bCs/>
          <w:sz w:val="22"/>
          <w:szCs w:val="22"/>
        </w:rPr>
        <w:t xml:space="preserve">Board Composition.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Stockholder shall vote, or cause to be voted, all Voting Shares, from time to time and at all times, in whatever manner is necessary to ensure that at each annual or special meeting of stockholders at which directors are elected, or in any written consent of stockholders, the following persons are elected to the Board:</w:t>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as the Common Director(s) under the Restated Certificate, the number of individuals equal to the number of Common Designees in the Board Composition (the “</w:t>
      </w:r>
      <w:r>
        <w:rPr>
          <w:rFonts w:ascii="Calibri" w:cs="Calibri" w:eastAsia="Calibri" w:hAnsi="Calibri"/>
          <w:b/>
          <w:bCs/>
          <w:i w:val="false"/>
          <w:iCs w:val="false"/>
          <w:caps w:val="false"/>
          <w:sz w:val="22"/>
          <w:szCs w:val="22"/>
        </w:rPr>
        <w:t xml:space="preserve">Common Designees</w:t>
      </w:r>
      <w:r>
        <w:rPr>
          <w:rFonts w:ascii="Calibri" w:cs="Calibri" w:eastAsia="Calibri" w:hAnsi="Calibri"/>
          <w:b w:val="false"/>
          <w:bCs w:val="false"/>
          <w:i w:val="false"/>
          <w:iCs w:val="false"/>
          <w:caps w:val="false"/>
          <w:sz w:val="22"/>
          <w:szCs w:val="22"/>
        </w:rPr>
        <w:t xml:space="preserve">”), designated from time to time in a writing delivered to the Company by Qualified Key Holders holding a majority of the shares of Common Stock then held by all Qualified Key Holders. A “</w:t>
      </w:r>
      <w:r>
        <w:rPr>
          <w:rFonts w:ascii="Calibri" w:cs="Calibri" w:eastAsia="Calibri" w:hAnsi="Calibri"/>
          <w:b/>
          <w:bCs/>
          <w:i w:val="false"/>
          <w:iCs w:val="false"/>
          <w:caps w:val="false"/>
          <w:sz w:val="22"/>
          <w:szCs w:val="22"/>
        </w:rPr>
        <w:t xml:space="preserve">Qualified Key Holder</w:t>
      </w:r>
      <w:r>
        <w:rPr>
          <w:rFonts w:ascii="Calibri" w:cs="Calibri" w:eastAsia="Calibri" w:hAnsi="Calibri"/>
          <w:b w:val="false"/>
          <w:bCs w:val="false"/>
          <w:i w:val="false"/>
          <w:iCs w:val="false"/>
          <w:caps w:val="false"/>
          <w:sz w:val="22"/>
          <w:szCs w:val="22"/>
        </w:rPr>
        <w:t xml:space="preserve">” is a Key Holder that (i) if an individual, is then providing services to the Company as an employee or consultant (other than solely as a member of the Board), or (ii) if an entity, is owned or controlled by an individual who is then providing those services;</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as the Series Seed Director(s) under the Restated Certificate, the number of individuals equal to the number of Series Seed Designees in the Board Composition (the “</w:t>
      </w:r>
      <w:r>
        <w:rPr>
          <w:rFonts w:ascii="Calibri" w:cs="Calibri" w:eastAsia="Calibri" w:hAnsi="Calibri"/>
          <w:b/>
          <w:bCs/>
          <w:i w:val="false"/>
          <w:iCs w:val="false"/>
          <w:caps w:val="false"/>
          <w:sz w:val="22"/>
          <w:szCs w:val="22"/>
        </w:rPr>
        <w:t xml:space="preserve">Series Seed Designees</w:t>
      </w:r>
      <w:r>
        <w:rPr>
          <w:rFonts w:ascii="Calibri" w:cs="Calibri" w:eastAsia="Calibri" w:hAnsi="Calibri"/>
          <w:b w:val="false"/>
          <w:bCs w:val="false"/>
          <w:i w:val="false"/>
          <w:iCs w:val="false"/>
          <w:caps w:val="false"/>
          <w:sz w:val="22"/>
          <w:szCs w:val="22"/>
        </w:rPr>
        <w:t xml:space="preserve">”), designated from time to time in a writing delivered to the Company by the Requisite Purchasers; and</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as the At-Large Director(s) under the Restated Certificate, the number of individuals equal to the number of Mutual Designees in the Board Composition (the “</w:t>
      </w:r>
      <w:r>
        <w:rPr>
          <w:rFonts w:ascii="Calibri" w:cs="Calibri" w:eastAsia="Calibri" w:hAnsi="Calibri"/>
          <w:b/>
          <w:bCs/>
          <w:i w:val="false"/>
          <w:iCs w:val="false"/>
          <w:caps w:val="false"/>
          <w:sz w:val="22"/>
          <w:szCs w:val="22"/>
        </w:rPr>
        <w:t xml:space="preserve">Mutual Designees</w:t>
      </w:r>
      <w:r>
        <w:rPr>
          <w:rFonts w:ascii="Calibri" w:cs="Calibri" w:eastAsia="Calibri" w:hAnsi="Calibri"/>
          <w:b w:val="false"/>
          <w:bCs w:val="false"/>
          <w:i w:val="false"/>
          <w:iCs w:val="false"/>
          <w:caps w:val="false"/>
          <w:sz w:val="22"/>
          <w:szCs w:val="22"/>
        </w:rPr>
        <w:t xml:space="preserve">” and, together with the Common Designees and the Series Seed Designees, the “</w:t>
      </w:r>
      <w:r>
        <w:rPr>
          <w:rFonts w:ascii="Calibri" w:cs="Calibri" w:eastAsia="Calibri" w:hAnsi="Calibri"/>
          <w:b/>
          <w:bCs/>
          <w:i w:val="false"/>
          <w:iCs w:val="false"/>
          <w:caps w:val="false"/>
          <w:sz w:val="22"/>
          <w:szCs w:val="22"/>
        </w:rPr>
        <w:t xml:space="preserve">Board Designees</w:t>
      </w:r>
      <w:r>
        <w:rPr>
          <w:rFonts w:ascii="Calibri" w:cs="Calibri" w:eastAsia="Calibri" w:hAnsi="Calibri"/>
          <w:b w:val="false"/>
          <w:bCs w:val="false"/>
          <w:i w:val="false"/>
          <w:iCs w:val="false"/>
          <w:caps w:val="false"/>
          <w:sz w:val="22"/>
          <w:szCs w:val="22"/>
        </w:rPr>
        <w:t xml:space="preserve">”), each of whom is not an employee or officer of the Company, a Key Holder, or an Affiliate of any Purchaser or Key Holder (service as a director of the Company does not by itself make a person an Affiliate of the Company), and who is designated from time to time in a writing delivered to the Company and signed by both the Requisite Purchasers and Qualified Key Holders holding a majority of the shares of Common Stock then held by all Qualified Key Holders.</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If the Persons entitled to designate a Board Designee have not done so, or if a designation would cause the Company to violate applicable sanctions laws, the seat will be filled by vote of the stockholders entitled to elect that director under the Restated Certificate. The right to designate a Board Designee is personal to the Persons described in this Section 7.2 and is not transferable to any transferee of shares except by an amendment under Section 8.9.</w:t>
      </w:r>
    </w:p>
    <w:p>
      <w:pPr>
        <w:tabs>
          <w:tab w:val="left" w:pos="720"/>
        </w:tabs>
        <w:spacing w:after="200" w:before="0"/>
        <w:ind w:left="0" w:firstLine="0"/>
      </w:pPr>
      <w:r>
        <w:rPr>
          <w:rFonts w:ascii="Calibri" w:cs="Calibri" w:eastAsia="Calibri" w:hAnsi="Calibri"/>
          <w:sz w:val="22"/>
          <w:szCs w:val="22"/>
        </w:rPr>
        <w:t xml:space="preserve">7.3</w:t>
      </w:r>
      <w:r>
        <w:rPr>
          <w:rFonts w:ascii="Calibri" w:cs="Calibri" w:eastAsia="Calibri" w:hAnsi="Calibri"/>
          <w:sz w:val="22"/>
          <w:szCs w:val="22"/>
        </w:rPr>
        <w:t xml:space="preserve">	</w:t>
      </w:r>
      <w:r>
        <w:rPr>
          <w:rFonts w:ascii="Calibri" w:cs="Calibri" w:eastAsia="Calibri" w:hAnsi="Calibri"/>
          <w:b/>
          <w:bCs/>
          <w:sz w:val="22"/>
          <w:szCs w:val="22"/>
        </w:rPr>
        <w:t xml:space="preserve">Removal and Vacancies.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Stockholder shall vote, or cause to be voted, all Voting Shares in whatever manner is necessary to ensure that (a) a Board Designee is removed from the Board promptly upon the written request of the Persons entitled to designate that Board Designee, or if the Board Designee or the Person entitled to designate him or her becomes a Sanctioned Party; (b) no Board Designee is removed from the Board, other than for cause, except in accordance with clause (a); and (c) any vacancy in a Board Designee’s seat is filled only by a Person designated in accordance with Section 7.2. The Company shall call a special meeting of stockholders, or circulate a written consent, to elect, remove or replace a director promptly upon the written request of any Person entitled to designate that director.</w:t>
      </w:r>
    </w:p>
    <w:p>
      <w:pPr>
        <w:tabs>
          <w:tab w:val="left" w:pos="720"/>
        </w:tabs>
        <w:spacing w:after="200" w:before="0"/>
        <w:ind w:left="0" w:firstLine="0"/>
      </w:pPr>
      <w:r>
        <w:rPr>
          <w:rFonts w:ascii="Calibri" w:cs="Calibri" w:eastAsia="Calibri" w:hAnsi="Calibri"/>
          <w:sz w:val="22"/>
          <w:szCs w:val="22"/>
        </w:rPr>
        <w:t xml:space="preserve">7.4</w:t>
      </w:r>
      <w:r>
        <w:rPr>
          <w:rFonts w:ascii="Calibri" w:cs="Calibri" w:eastAsia="Calibri" w:hAnsi="Calibri"/>
          <w:sz w:val="22"/>
          <w:szCs w:val="22"/>
        </w:rPr>
        <w:t xml:space="preserve">	</w:t>
      </w:r>
      <w:r>
        <w:rPr>
          <w:rFonts w:ascii="Calibri" w:cs="Calibri" w:eastAsia="Calibri" w:hAnsi="Calibri"/>
          <w:b/>
          <w:bCs/>
          <w:sz w:val="22"/>
          <w:szCs w:val="22"/>
        </w:rPr>
        <w:t xml:space="preserve">Vote to Increase Authorized Common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Stockholder shall vote, or cause to be voted, all Voting Shares in whatever manner is necessary to increase the number of authorized shares of Common Stock from time to time to ensure that there are sufficient shares of Common Stock available for conversion of all outstanding Preferred Stock.</w:t>
      </w:r>
    </w:p>
    <w:p>
      <w:pPr>
        <w:tabs>
          <w:tab w:val="left" w:pos="720"/>
        </w:tabs>
        <w:spacing w:after="200" w:before="0"/>
        <w:ind w:left="0" w:firstLine="0"/>
      </w:pPr>
      <w:r>
        <w:rPr>
          <w:rFonts w:ascii="Calibri" w:cs="Calibri" w:eastAsia="Calibri" w:hAnsi="Calibri"/>
          <w:sz w:val="22"/>
          <w:szCs w:val="22"/>
        </w:rPr>
        <w:t xml:space="preserve">7.5</w:t>
      </w:r>
      <w:r>
        <w:rPr>
          <w:rFonts w:ascii="Calibri" w:cs="Calibri" w:eastAsia="Calibri" w:hAnsi="Calibri"/>
          <w:sz w:val="22"/>
          <w:szCs w:val="22"/>
        </w:rPr>
        <w:t xml:space="preserve">	</w:t>
      </w:r>
      <w:r>
        <w:rPr>
          <w:rFonts w:ascii="Calibri" w:cs="Calibri" w:eastAsia="Calibri" w:hAnsi="Calibri"/>
          <w:b/>
          <w:bCs/>
          <w:sz w:val="22"/>
          <w:szCs w:val="22"/>
        </w:rPr>
        <w:t xml:space="preserve">Drag-Along.</w:t>
      </w:r>
      <w:r>
        <w:rPr>
          <w:rFonts w:ascii="Calibri" w:cs="Calibri" w:eastAsia="Calibri" w:hAnsi="Calibri"/>
          <w:sz w:val="22"/>
          <w:szCs w:val="22"/>
        </w:rPr>
        <w:t xml:space="preserve"> </w:t>
      </w:r>
      <w:r>
        <w:rPr>
          <w:rStyle w:val="FootnoteReference"/>
        </w:rPr>
        <w:footnoteReference w:id="13"/>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Approval.</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 Sale of the Company is approved by (i) the Requisite Purchasers, (ii) Qualified Key Holders holding a majority of the shares of Common Stock then held by all Qualified Key Holders, and (iii) the Board (the approvals in clauses (i) and (ii) to be in writing and to specify that this Section 7.5 applies to the transaction), then, subject to the conditions in Section 7.6, each Stockholder shall (A) if the transaction requires stockholder approval, vote all Voting Shares in favor of, and adopt, the Sale of the Company and any related amendment of the Restated Certificate, and against any proposal that could reasonably be expected to delay or impair it; (B) if the transaction is a Stock Sale, sell the same proportion of its shares of capital stock as is being sold, in the aggregate, by the holders of Preferred Stock that approved the Sale of the Company under clause (i), to the same Person and on the same terms, subject to Section 7.6; (C) sign and deliver all related documentation and take any other action in support of the Sale of the Company that the Company or the Requisite Purchasers reasonably request, including instruments of conveyance and transfer, purchase and merger agreements, indemnity, escrow and release agreements in customary form, consents, waivers, governmental filings and certificates duly endorsed for transfer, free and clear of liens; (D) refrain from exercising any dissenters’ or appraisal rights under applicable law and from asserting any claim challenging the Sale of the Company or this Agreement; and (E) consent to the appointment of a stockholder representative and the establishment of any escrow or expense fund approved by the Requisite Purchasers in connection with the Sale of the Company. A “</w:t>
      </w:r>
      <w:r>
        <w:rPr>
          <w:rFonts w:ascii="Calibri" w:cs="Calibri" w:eastAsia="Calibri" w:hAnsi="Calibri"/>
          <w:b/>
          <w:bCs/>
          <w:i w:val="false"/>
          <w:iCs w:val="false"/>
          <w:caps w:val="false"/>
          <w:sz w:val="22"/>
          <w:szCs w:val="22"/>
        </w:rPr>
        <w:t xml:space="preserve">Sale of the Company</w:t>
      </w:r>
      <w:r>
        <w:rPr>
          <w:rFonts w:ascii="Calibri" w:cs="Calibri" w:eastAsia="Calibri" w:hAnsi="Calibri"/>
          <w:b w:val="false"/>
          <w:bCs w:val="false"/>
          <w:i w:val="false"/>
          <w:iCs w:val="false"/>
          <w:caps w:val="false"/>
          <w:sz w:val="22"/>
          <w:szCs w:val="22"/>
        </w:rPr>
        <w:t xml:space="preserve">” means (x) a transaction or series of related transactions in which a Person or group of related Persons acquires from stockholders of the Company shares representing more than 50% of the outstanding voting power of the Company (a “</w:t>
      </w:r>
      <w:r>
        <w:rPr>
          <w:rFonts w:ascii="Calibri" w:cs="Calibri" w:eastAsia="Calibri" w:hAnsi="Calibri"/>
          <w:b/>
          <w:bCs/>
          <w:i w:val="false"/>
          <w:iCs w:val="false"/>
          <w:caps w:val="false"/>
          <w:sz w:val="22"/>
          <w:szCs w:val="22"/>
        </w:rPr>
        <w:t xml:space="preserve">Stock Sale</w:t>
      </w:r>
      <w:r>
        <w:rPr>
          <w:rFonts w:ascii="Calibri" w:cs="Calibri" w:eastAsia="Calibri" w:hAnsi="Calibri"/>
          <w:b w:val="false"/>
          <w:bCs w:val="false"/>
          <w:i w:val="false"/>
          <w:iCs w:val="false"/>
          <w:caps w:val="false"/>
          <w:sz w:val="22"/>
          <w:szCs w:val="22"/>
        </w:rPr>
        <w:t xml:space="preserve">”), or (y) a Deemed Liquidation Event.</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Restriction on Stock Sales.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Stockholder shall be a party to any Stock Sale unless all holders of Preferred Stock are allowed to participate in it and the consideration received is allocated among the participating holders in the manner specified in the Restated Certificate as if the Stock Sale were a Deemed Liquidation Event, unless the Requisite Purchasers elect otherwise by notice to the Company at least 10 days before the Stock Sale.</w:t>
      </w:r>
    </w:p>
    <w:p>
      <w:pPr>
        <w:tabs>
          <w:tab w:val="left" w:pos="720"/>
        </w:tabs>
        <w:spacing w:after="200" w:before="0"/>
        <w:ind w:left="0" w:firstLine="0"/>
      </w:pPr>
      <w:r>
        <w:rPr>
          <w:rFonts w:ascii="Calibri" w:cs="Calibri" w:eastAsia="Calibri" w:hAnsi="Calibri"/>
          <w:sz w:val="22"/>
          <w:szCs w:val="22"/>
        </w:rPr>
        <w:t xml:space="preserve">7.6</w:t>
      </w:r>
      <w:r>
        <w:rPr>
          <w:rFonts w:ascii="Calibri" w:cs="Calibri" w:eastAsia="Calibri" w:hAnsi="Calibri"/>
          <w:sz w:val="22"/>
          <w:szCs w:val="22"/>
        </w:rPr>
        <w:t xml:space="preserve">	</w:t>
      </w:r>
      <w:r>
        <w:rPr>
          <w:rFonts w:ascii="Calibri" w:cs="Calibri" w:eastAsia="Calibri" w:hAnsi="Calibri"/>
          <w:b/>
          <w:bCs/>
          <w:sz w:val="22"/>
          <w:szCs w:val="22"/>
        </w:rPr>
        <w:t xml:space="preserve">Conditions to Drag-Along.</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 Stockholder is not required to comply with Section 7.5 in connection with a proposed Sale of the Company (the “</w:t>
      </w:r>
      <w:r>
        <w:rPr>
          <w:rFonts w:ascii="Calibri" w:cs="Calibri" w:eastAsia="Calibri" w:hAnsi="Calibri"/>
          <w:b/>
          <w:bCs/>
          <w:i w:val="false"/>
          <w:iCs w:val="false"/>
          <w:caps w:val="false"/>
          <w:sz w:val="22"/>
          <w:szCs w:val="22"/>
        </w:rPr>
        <w:t xml:space="preserve">Proposed Sale</w:t>
      </w:r>
      <w:r>
        <w:rPr>
          <w:rFonts w:ascii="Calibri" w:cs="Calibri" w:eastAsia="Calibri" w:hAnsi="Calibri"/>
          <w:b w:val="false"/>
          <w:bCs w:val="false"/>
          <w:i w:val="false"/>
          <w:iCs w:val="false"/>
          <w:caps w:val="false"/>
          <w:sz w:val="22"/>
          <w:szCs w:val="22"/>
        </w:rPr>
        <w:t xml:space="preserve">”) unless:</w:t>
      </w:r>
    </w:p>
    <w:p>
      <w:pPr>
        <w:tabs>
          <w:tab w:val="left" w:pos="1440"/>
        </w:tabs>
        <w:spacing w:after="200" w:before="0"/>
        <w:ind w:left="0" w:firstLine="720"/>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representations and warranties to be made by the Stockholder in connection with the Proposed Sale are made severally and not jointly and are limited to representations and warranties regarding authority, ownership and the ability to convey title to its shares, including that (i) the Stockholder holds all right, title and interest in and to the shares it purports to hold, free and clear of all liens and encumbrances, (ii) the Stockholder’s obligations in connection with the transaction have been duly authorized, if applicable, (iii) the documents to be signed by the Stockholder have been duly signed and delivered and are enforceable (subject to customary limitations) against the Stockholder in accordance with their terms, and (iv) neither the signing and delivery of those documents nor the performance of the Stockholder’s obligations under them will breach any agreement to which the Stockholder is a party or any law or order applicable to the Stockholder;</w:t>
      </w:r>
    </w:p>
    <w:p>
      <w:pPr>
        <w:tabs>
          <w:tab w:val="left" w:pos="1440"/>
        </w:tabs>
        <w:spacing w:after="200" w:before="0"/>
        <w:ind w:left="0" w:firstLine="720"/>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Stockholder is not required to agree (unless the Stockholder is an officer, director or employee of the Company) to any restrictive covenant in connection with the Proposed Sale, including any covenant not to compete or not to solicit customers, employees or suppliers, or to any release of claims other than a release in customary form of claims arising solely in its capacity as a stockholder;</w:t>
      </w:r>
    </w:p>
    <w:p>
      <w:pPr>
        <w:tabs>
          <w:tab w:val="left" w:pos="1440"/>
        </w:tabs>
        <w:spacing w:after="200" w:before="0"/>
        <w:ind w:left="0" w:firstLine="720"/>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Stockholder is not liable for the breach of any representation, warranty or covenant made by any other Person in connection with the Proposed Sale, other than the Company, except to the extent that funds may be paid out of an escrow established to cover breaches of representations, warranties and covenants of the Company or of identical representations, warranties and covenants made by all stockholders;</w:t>
      </w:r>
    </w:p>
    <w:p>
      <w:pPr>
        <w:tabs>
          <w:tab w:val="left" w:pos="1440"/>
        </w:tabs>
        <w:spacing w:after="200" w:before="0"/>
        <w:ind w:left="0" w:firstLine="720"/>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Stockholder’s liability is limited to its applicable share (determined based on the proceeds payable to each stockholder in the Proposed Sale in accordance with the Restated Certificate) of a negotiated aggregate indemnification amount that applies equally to all stockholders and that in no event exceeds the consideration payable to the Stockholder in the Proposed Sale, except with respect to claims related to fraud by the Stockholder; and</w:t>
      </w:r>
    </w:p>
    <w:p>
      <w:pPr>
        <w:tabs>
          <w:tab w:val="left" w:pos="1440"/>
        </w:tabs>
        <w:spacing w:after="200" w:before="0"/>
        <w:ind w:left="0" w:firstLine="720"/>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upon consummation of the Proposed Sale, (i) each holder of each class or series of the Company’s capital stock receives the same form of consideration for its shares of that class or series as is received by the other holders of that class or series, (ii) each holder of a series of Preferred Stock receives the same amount of consideration per share of that series as the other holders of that series, (iii) each holder of Common Stock receives the same amount of consideration per share of Common Stock as the other holders of Common Stock, and (iv) unless waived under the Restated Certificate, the aggregate consideration receivable by all holders of Preferred Stock and Common Stock is allocated among them on the basis of the relative liquidation preferences to which they are entitled in a Deemed Liquidation Event under the Restated Certificate in effect immediately before the Proposed Sale (assuming for this purpose that the Proposed Sale is a Deemed Liquidation Event).</w:t>
      </w:r>
    </w:p>
    <w:p>
      <w:pPr>
        <w:tabs>
          <w:tab w:val="left" w:pos="720"/>
        </w:tabs>
        <w:spacing w:after="200" w:before="0"/>
        <w:ind w:left="0" w:firstLine="0"/>
      </w:pPr>
      <w:r>
        <w:rPr>
          <w:rFonts w:ascii="Calibri" w:cs="Calibri" w:eastAsia="Calibri" w:hAnsi="Calibri"/>
          <w:sz w:val="22"/>
          <w:szCs w:val="22"/>
        </w:rPr>
        <w:t xml:space="preserve">7.7</w:t>
      </w:r>
      <w:r>
        <w:rPr>
          <w:rFonts w:ascii="Calibri" w:cs="Calibri" w:eastAsia="Calibri" w:hAnsi="Calibri"/>
          <w:sz w:val="22"/>
          <w:szCs w:val="22"/>
        </w:rPr>
        <w:t xml:space="preserve">	</w:t>
      </w:r>
      <w:r>
        <w:rPr>
          <w:rFonts w:ascii="Calibri" w:cs="Calibri" w:eastAsia="Calibri" w:hAnsi="Calibri"/>
          <w:b/>
          <w:bCs/>
          <w:sz w:val="22"/>
          <w:szCs w:val="22"/>
        </w:rPr>
        <w:t xml:space="preserve">Irrevocable Proxy and Power of Attorney.</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Stockholder constitutes and appoints the then-current Chief Executive Officer of the Company and a designee of the Requisite Purchasers (each, a “</w:t>
      </w:r>
      <w:r>
        <w:rPr>
          <w:rFonts w:ascii="Calibri" w:cs="Calibri" w:eastAsia="Calibri" w:hAnsi="Calibri"/>
          <w:b/>
          <w:bCs/>
          <w:i w:val="false"/>
          <w:iCs w:val="false"/>
          <w:caps w:val="false"/>
          <w:sz w:val="22"/>
          <w:szCs w:val="22"/>
        </w:rPr>
        <w:t xml:space="preserve">Proxyholder</w:t>
      </w:r>
      <w:r>
        <w:rPr>
          <w:rFonts w:ascii="Calibri" w:cs="Calibri" w:eastAsia="Calibri" w:hAnsi="Calibri"/>
          <w:b w:val="false"/>
          <w:bCs w:val="false"/>
          <w:i w:val="false"/>
          <w:iCs w:val="false"/>
          <w:caps w:val="false"/>
          <w:sz w:val="22"/>
          <w:szCs w:val="22"/>
        </w:rPr>
        <w:t xml:space="preserve">”), and each of them, with full power of substitution, as the Stockholder’s proxy and attorney-in-fact, to vote all Voting Shares and to sign and deliver any documentation required by this Agreement on the Stockholder’s behalf with respect to the matters in Sections 7.1 through 7.5, if and only if the Stockholder (a) fails to vote or sign within five business days after the Company’s request, (b) is prohibited from voting under applicable sanctions or other laws, or (c) attempts to vote or act in a manner inconsistent with this Agreement. The proxy and power of attorney granted under this Section 7.7 are given in consideration of the agreements of the parties in connection with the transactions contemplated by this Agreement, are coupled with an interest, and are irrevocable until this Agreement terminates. Each Stockholder revokes any prior proxy or power of attorney with respect to the Voting Shares and shall not grant any other proxy, deposit any Voting Shares in a voting trust, or enter into any other voting arrangement with respect to the matters in this Article 7 while this Agreement is in effect.</w:t>
      </w:r>
    </w:p>
    <w:p>
      <w:pPr>
        <w:tabs>
          <w:tab w:val="left" w:pos="720"/>
        </w:tabs>
        <w:spacing w:after="200" w:before="0"/>
        <w:ind w:left="0" w:firstLine="0"/>
      </w:pPr>
      <w:r>
        <w:rPr>
          <w:rFonts w:ascii="Calibri" w:cs="Calibri" w:eastAsia="Calibri" w:hAnsi="Calibri"/>
          <w:sz w:val="22"/>
          <w:szCs w:val="22"/>
        </w:rPr>
        <w:t xml:space="preserve">7.8</w:t>
      </w:r>
      <w:r>
        <w:rPr>
          <w:rFonts w:ascii="Calibri" w:cs="Calibri" w:eastAsia="Calibri" w:hAnsi="Calibri"/>
          <w:sz w:val="22"/>
          <w:szCs w:val="22"/>
        </w:rPr>
        <w:t xml:space="preserve">	</w:t>
      </w:r>
      <w:r>
        <w:rPr>
          <w:rFonts w:ascii="Calibri" w:cs="Calibri" w:eastAsia="Calibri" w:hAnsi="Calibri"/>
          <w:b/>
          <w:bCs/>
          <w:sz w:val="22"/>
          <w:szCs w:val="22"/>
        </w:rPr>
        <w:t xml:space="preserve">Specific Enforcement.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party acknowledges that the other parties would be irreparably damaged if this Article 7 or Article 6 were not performed in accordance with its terms, and agrees that each of the Company and the Stockholders is entitled to an injunction to prevent breaches of those Articles and to specific enforcement of them, in addition to any other remedy to which it is entitled, without the posting of a bond. Each party shall cooperate in seeking an expedited schedule in any litigation seeking an injunction or order of specific performance.</w:t>
      </w:r>
    </w:p>
    <w:p>
      <w:pPr>
        <w:tabs>
          <w:tab w:val="left" w:pos="720"/>
        </w:tabs>
        <w:spacing w:after="200" w:before="0"/>
        <w:ind w:left="0" w:firstLine="0"/>
      </w:pPr>
      <w:r>
        <w:rPr>
          <w:rFonts w:ascii="Calibri" w:cs="Calibri" w:eastAsia="Calibri" w:hAnsi="Calibri"/>
          <w:sz w:val="22"/>
          <w:szCs w:val="22"/>
        </w:rPr>
        <w:t xml:space="preserve">7.9</w:t>
      </w:r>
      <w:r>
        <w:rPr>
          <w:rFonts w:ascii="Calibri" w:cs="Calibri" w:eastAsia="Calibri" w:hAnsi="Calibri"/>
          <w:sz w:val="22"/>
          <w:szCs w:val="22"/>
        </w:rPr>
        <w:t xml:space="preserve">	</w:t>
      </w:r>
      <w:r>
        <w:rPr>
          <w:rFonts w:ascii="Calibri" w:cs="Calibri" w:eastAsia="Calibri" w:hAnsi="Calibri"/>
          <w:b/>
          <w:bCs/>
          <w:sz w:val="22"/>
          <w:szCs w:val="22"/>
        </w:rPr>
        <w:t xml:space="preserve">“Bad Actor” Matters.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Person with the right to designate or participate in the designation of a Board Designee represents that, to that Person’s knowledge, no Disqualification Event is applicable to that Person, any Board Designee it has designated (who, as of the Agreement Date, is identified under “Initial Board Designees”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or any beneficial owner of that Person’s securities for purposes of Rule 506(d) under the Securities Act, except for a Disqualification Event as to which Rule 506(d)(2)(ii) or (iii) or (d)(3) applies, and covenants not to designate any individual who, to its knowledge, is subject to such a Disqualification Event, to notify the Company promptly if one becomes applicable, and to remove and replace any Board Designee who becomes subject to one.</w:t>
      </w:r>
    </w:p>
    <w:p>
      <w:pPr>
        <w:tabs>
          <w:tab w:val="left" w:pos="720"/>
        </w:tabs>
        <w:spacing w:after="200" w:before="0"/>
        <w:ind w:left="0" w:firstLine="0"/>
      </w:pPr>
      <w:r>
        <w:rPr>
          <w:rFonts w:ascii="Calibri" w:cs="Calibri" w:eastAsia="Calibri" w:hAnsi="Calibri"/>
          <w:sz w:val="22"/>
          <w:szCs w:val="22"/>
        </w:rPr>
        <w:t xml:space="preserve">7.10</w:t>
      </w:r>
      <w:r>
        <w:rPr>
          <w:rFonts w:ascii="Calibri" w:cs="Calibri" w:eastAsia="Calibri" w:hAnsi="Calibri"/>
          <w:sz w:val="22"/>
          <w:szCs w:val="22"/>
        </w:rPr>
        <w:t xml:space="preserve">	</w:t>
      </w:r>
      <w:r>
        <w:rPr>
          <w:rFonts w:ascii="Calibri" w:cs="Calibri" w:eastAsia="Calibri" w:hAnsi="Calibri"/>
          <w:b/>
          <w:bCs/>
          <w:sz w:val="22"/>
          <w:szCs w:val="22"/>
        </w:rPr>
        <w:t xml:space="preserve">Additional Stockholders.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after the Agreement Date the Company issues shares of capital stock (or options or warrants to purchase capital stock) to any Person who, after the issuance, would hold 1% or more of the Company’s outstanding capital stock (treating all outstanding options, warrants and convertible securities as exercised or converted), the Company shall cause that Person, as a condition to the issuance, to become a party to this Agreement as a Stockholder by signing a counterpart signature page or adoption agreement, and the Company shall update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accordingly. A Person who becomes a party under this Section 7.10 is a Key Holder only if the Company so designates in the adoption agreement.</w:t>
      </w:r>
    </w:p>
    <w:p>
      <w:pPr>
        <w:tabs>
          <w:tab w:val="left" w:pos="720"/>
        </w:tabs>
        <w:spacing w:after="200" w:before="0"/>
        <w:ind w:left="0" w:firstLine="0"/>
      </w:pPr>
      <w:r>
        <w:rPr>
          <w:rFonts w:ascii="Calibri" w:cs="Calibri" w:eastAsia="Calibri" w:hAnsi="Calibri"/>
          <w:sz w:val="22"/>
          <w:szCs w:val="22"/>
        </w:rPr>
        <w:t xml:space="preserve">7.11</w:t>
      </w:r>
      <w:r>
        <w:rPr>
          <w:rFonts w:ascii="Calibri" w:cs="Calibri" w:eastAsia="Calibri" w:hAnsi="Calibri"/>
          <w:sz w:val="22"/>
          <w:szCs w:val="22"/>
        </w:rPr>
        <w:t xml:space="preserve">	</w:t>
      </w:r>
      <w:r>
        <w:rPr>
          <w:rFonts w:ascii="Calibri" w:cs="Calibri" w:eastAsia="Calibri" w:hAnsi="Calibri"/>
          <w:b/>
          <w:bCs/>
          <w:sz w:val="22"/>
          <w:szCs w:val="22"/>
        </w:rPr>
        <w:t xml:space="preserve">No Liability for Election of Designees.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Stockholder, and no Affiliate of any Stockholder, has any liability as a result of designating a person for election as a director, voting for a person so designated, or any act or omission of that person in his or her capacity as a director.</w:t>
      </w:r>
    </w:p>
    <w:p>
      <w:pPr>
        <w:spacing w:after="0" w:before="0"/>
        <w:jc w:val="center"/>
      </w:pPr>
      <w:r>
        <w:rPr>
          <w:rFonts w:ascii="Calibri" w:cs="Calibri" w:eastAsia="Calibri" w:hAnsi="Calibri"/>
          <w:b w:val="false"/>
          <w:bCs w:val="false"/>
          <w:sz w:val="22"/>
          <w:szCs w:val="22"/>
        </w:rPr>
        <w:t xml:space="preserve">Article 8</w:t>
      </w:r>
    </w:p>
    <w:p>
      <w:pPr>
        <w:spacing w:after="200" w:before="0"/>
        <w:jc w:val="center"/>
      </w:pPr>
      <w:r>
        <w:rPr>
          <w:rFonts w:ascii="Calibri" w:cs="Calibri" w:eastAsia="Calibri" w:hAnsi="Calibri"/>
          <w:b w:val="false"/>
          <w:bCs w:val="false"/>
          <w:sz w:val="22"/>
          <w:szCs w:val="22"/>
        </w:rPr>
        <w:t xml:space="preserve">GENERAL PROVISIONS</w:t>
      </w:r>
    </w:p>
    <w:p>
      <w:pPr>
        <w:tabs>
          <w:tab w:val="left" w:pos="720"/>
        </w:tabs>
        <w:spacing w:after="200" w:before="0"/>
        <w:ind w:left="0" w:firstLine="0"/>
      </w:pPr>
      <w:r>
        <w:rPr>
          <w:rFonts w:ascii="Calibri" w:cs="Calibri" w:eastAsia="Calibri" w:hAnsi="Calibri"/>
          <w:sz w:val="22"/>
          <w:szCs w:val="22"/>
        </w:rPr>
        <w:t xml:space="preserve">8.1</w:t>
      </w:r>
      <w:r>
        <w:rPr>
          <w:rFonts w:ascii="Calibri" w:cs="Calibri" w:eastAsia="Calibri" w:hAnsi="Calibri"/>
          <w:sz w:val="22"/>
          <w:szCs w:val="22"/>
        </w:rPr>
        <w:t xml:space="preserve">	</w:t>
      </w:r>
      <w:r>
        <w:rPr>
          <w:rFonts w:ascii="Calibri" w:cs="Calibri" w:eastAsia="Calibri" w:hAnsi="Calibri"/>
          <w:b/>
          <w:bCs/>
          <w:sz w:val="22"/>
          <w:szCs w:val="22"/>
        </w:rPr>
        <w:t xml:space="preserve">Survival.</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representations and warranties of the Company and the Purchasers in this Agreement survive the execution and delivery of this Agreement and each Closing and are not affected by any investigation made by or on behalf of the Purchasers or the Company.</w:t>
      </w:r>
    </w:p>
    <w:p>
      <w:pPr>
        <w:tabs>
          <w:tab w:val="left" w:pos="720"/>
        </w:tabs>
        <w:spacing w:after="200" w:before="0"/>
        <w:ind w:left="0" w:firstLine="0"/>
      </w:pPr>
      <w:r>
        <w:rPr>
          <w:rFonts w:ascii="Calibri" w:cs="Calibri" w:eastAsia="Calibri" w:hAnsi="Calibri"/>
          <w:sz w:val="22"/>
          <w:szCs w:val="22"/>
        </w:rPr>
        <w:t xml:space="preserve">8.2</w:t>
      </w:r>
      <w:r>
        <w:rPr>
          <w:rFonts w:ascii="Calibri" w:cs="Calibri" w:eastAsia="Calibri" w:hAnsi="Calibri"/>
          <w:sz w:val="22"/>
          <w:szCs w:val="22"/>
        </w:rPr>
        <w:t xml:space="preserve">	</w:t>
      </w:r>
      <w:r>
        <w:rPr>
          <w:rFonts w:ascii="Calibri" w:cs="Calibri" w:eastAsia="Calibri" w:hAnsi="Calibri"/>
          <w:b/>
          <w:bCs/>
          <w:sz w:val="22"/>
          <w:szCs w:val="22"/>
        </w:rPr>
        <w:t xml:space="preserve">Successors and Assigns.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Agreement binds and benefits the parties and their respective successors and permitted assigns. A Purchaser may assign its rights under this Agreement, together with the related obligations, to a transferee of Shares that (a) is an Affiliate of the Purchaser, (b) is a member of the Purchaser’s immediate family or a trust for the benefit of the Purchaser or members of the Purchaser’s immediate family, or (c) after the transfer, holds (together with its Affiliates) Shares with an aggregate Purchase Price of at least the Major Purchaser Threshold, provided that in each case the transferee is not a Sanctioned Party and agrees in writing to be bound by this Agreement; except that the right to designate a Board Designee may be transferred only as provided in Section 7.2. Nothing in this Agreement, express or implied, confers on any Person other than the parties and their successors and permitted assigns any right, remedy or obligation under or by reason of this Agreement.</w:t>
      </w:r>
    </w:p>
    <w:p>
      <w:pPr>
        <w:tabs>
          <w:tab w:val="left" w:pos="720"/>
        </w:tabs>
        <w:spacing w:after="200" w:before="0"/>
        <w:ind w:left="0" w:firstLine="0"/>
      </w:pPr>
      <w:r>
        <w:rPr>
          <w:rFonts w:ascii="Calibri" w:cs="Calibri" w:eastAsia="Calibri" w:hAnsi="Calibri"/>
          <w:sz w:val="22"/>
          <w:szCs w:val="22"/>
        </w:rPr>
        <w:t xml:space="preserve">8.3</w:t>
      </w:r>
      <w:r>
        <w:rPr>
          <w:rFonts w:ascii="Calibri" w:cs="Calibri" w:eastAsia="Calibri" w:hAnsi="Calibri"/>
          <w:sz w:val="22"/>
          <w:szCs w:val="22"/>
        </w:rPr>
        <w:t xml:space="preserve">	</w:t>
      </w:r>
      <w:r>
        <w:rPr>
          <w:rFonts w:ascii="Calibri" w:cs="Calibri" w:eastAsia="Calibri" w:hAnsi="Calibri"/>
          <w:b/>
          <w:bCs/>
          <w:sz w:val="22"/>
          <w:szCs w:val="22"/>
        </w:rPr>
        <w:t xml:space="preserve">Governing Law.</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Agreement is governed by the internal law of the State of Delaware, without regard to conflict of law principles that would result in the application of any law other than the law of the State of Delaware.</w:t>
      </w:r>
    </w:p>
    <w:p>
      <w:pPr>
        <w:tabs>
          <w:tab w:val="left" w:pos="720"/>
        </w:tabs>
        <w:spacing w:after="200" w:before="0"/>
        <w:ind w:left="0" w:firstLine="0"/>
      </w:pPr>
      <w:r>
        <w:rPr>
          <w:rFonts w:ascii="Calibri" w:cs="Calibri" w:eastAsia="Calibri" w:hAnsi="Calibri"/>
          <w:sz w:val="22"/>
          <w:szCs w:val="22"/>
        </w:rPr>
        <w:t xml:space="preserve">8.4</w:t>
      </w:r>
      <w:r>
        <w:rPr>
          <w:rFonts w:ascii="Calibri" w:cs="Calibri" w:eastAsia="Calibri" w:hAnsi="Calibri"/>
          <w:sz w:val="22"/>
          <w:szCs w:val="22"/>
        </w:rPr>
        <w:t xml:space="preserve">	</w:t>
      </w:r>
      <w:r>
        <w:rPr>
          <w:rFonts w:ascii="Calibri" w:cs="Calibri" w:eastAsia="Calibri" w:hAnsi="Calibri"/>
          <w:b/>
          <w:bCs/>
          <w:sz w:val="22"/>
          <w:szCs w:val="22"/>
        </w:rPr>
        <w:t xml:space="preserve">Counterparts; Electronic Signatures.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Agreement may be signed in two or more counterparts, each of which is deemed an original and all of which together constitute one instrument. Counterparts may be delivered by electronic mail (including PDF or any electronic signature complying with the U.S. ESIGN Act of 2000) or other transmission method, and any counterpart so delivered is deemed duly and validly delivered and is valid and effective for all purposes.</w:t>
      </w:r>
    </w:p>
    <w:p>
      <w:pPr>
        <w:tabs>
          <w:tab w:val="left" w:pos="720"/>
        </w:tabs>
        <w:spacing w:after="200" w:before="0"/>
        <w:ind w:left="0" w:firstLine="0"/>
      </w:pPr>
      <w:r>
        <w:rPr>
          <w:rFonts w:ascii="Calibri" w:cs="Calibri" w:eastAsia="Calibri" w:hAnsi="Calibri"/>
          <w:sz w:val="22"/>
          <w:szCs w:val="22"/>
        </w:rPr>
        <w:t xml:space="preserve">8.5</w:t>
      </w:r>
      <w:r>
        <w:rPr>
          <w:rFonts w:ascii="Calibri" w:cs="Calibri" w:eastAsia="Calibri" w:hAnsi="Calibri"/>
          <w:sz w:val="22"/>
          <w:szCs w:val="22"/>
        </w:rPr>
        <w:t xml:space="preserve">	</w:t>
      </w:r>
      <w:r>
        <w:rPr>
          <w:rFonts w:ascii="Calibri" w:cs="Calibri" w:eastAsia="Calibri" w:hAnsi="Calibri"/>
          <w:b/>
          <w:bCs/>
          <w:sz w:val="22"/>
          <w:szCs w:val="22"/>
        </w:rPr>
        <w:t xml:space="preserve">Titles and Subtitles.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The titles and subtitles used in this Agreement are for convenience only and are not to be considered in construing or interpreting this Agreement. References to Sections, Articles and Exhibits are to sections, articles and exhibits of this Agreement unless otherwise stated.</w:t>
      </w:r>
    </w:p>
    <w:p>
      <w:pPr>
        <w:tabs>
          <w:tab w:val="left" w:pos="720"/>
        </w:tabs>
        <w:spacing w:after="200" w:before="0"/>
        <w:ind w:left="0" w:firstLine="0"/>
      </w:pPr>
      <w:r>
        <w:rPr>
          <w:rFonts w:ascii="Calibri" w:cs="Calibri" w:eastAsia="Calibri" w:hAnsi="Calibri"/>
          <w:sz w:val="22"/>
          <w:szCs w:val="22"/>
        </w:rPr>
        <w:t xml:space="preserve">8.6</w:t>
      </w:r>
      <w:r>
        <w:rPr>
          <w:rFonts w:ascii="Calibri" w:cs="Calibri" w:eastAsia="Calibri" w:hAnsi="Calibri"/>
          <w:sz w:val="22"/>
          <w:szCs w:val="22"/>
        </w:rPr>
        <w:t xml:space="preserve">	</w:t>
      </w:r>
      <w:r>
        <w:rPr>
          <w:rFonts w:ascii="Calibri" w:cs="Calibri" w:eastAsia="Calibri" w:hAnsi="Calibri"/>
          <w:b/>
          <w:bCs/>
          <w:sz w:val="22"/>
          <w:szCs w:val="22"/>
        </w:rPr>
        <w:t xml:space="preserve">Notices.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All notices and other communications under this Agreement must be in writing and are deemed given upon the earlier of actual receipt and (a) personal delivery to the party to be notified, (b) when sent by electronic mail during the recipient’s normal business hours, or if sent outside those hours, on the recipient’s next business day, (c) five days after being sent by registered or certified mail, return receipt requested, postage prepaid, or (d) one business day after deposit with a nationally recognized overnight courier, freight prepaid, specifying next business day delivery, with written verification of receipt. Notices must be sent to the parties at their addresses or electronic mail addresses set forth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or the signature pages, or at such other address as a party designates by notice given in accordance with this Section 8.6. A copy of any notice to the Company (which does not itself constitute notice) must also be sent to Company Counsel. Each Stockholder consents to receive any notice under the Delaware General Corporation Law by electronic mail at the address set forth on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as updated from time to time by notice to the Company.</w:t>
      </w:r>
    </w:p>
    <w:p>
      <w:pPr>
        <w:tabs>
          <w:tab w:val="left" w:pos="720"/>
        </w:tabs>
        <w:spacing w:after="200" w:before="0"/>
        <w:ind w:left="0" w:firstLine="0"/>
      </w:pPr>
      <w:r>
        <w:rPr>
          <w:rFonts w:ascii="Calibri" w:cs="Calibri" w:eastAsia="Calibri" w:hAnsi="Calibri"/>
          <w:sz w:val="22"/>
          <w:szCs w:val="22"/>
        </w:rPr>
        <w:t xml:space="preserve">8.7</w:t>
      </w:r>
      <w:r>
        <w:rPr>
          <w:rFonts w:ascii="Calibri" w:cs="Calibri" w:eastAsia="Calibri" w:hAnsi="Calibri"/>
          <w:sz w:val="22"/>
          <w:szCs w:val="22"/>
        </w:rPr>
        <w:t xml:space="preserve">	</w:t>
      </w:r>
      <w:r>
        <w:rPr>
          <w:rFonts w:ascii="Calibri" w:cs="Calibri" w:eastAsia="Calibri" w:hAnsi="Calibri"/>
          <w:b/>
          <w:bCs/>
          <w:sz w:val="22"/>
          <w:szCs w:val="22"/>
        </w:rPr>
        <w:t xml:space="preserve">No Finder’s Fees.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party represents to the other parties that it is not and will not be obligated for any finder’s fee or commission in connection with this transaction, and shall indemnify and hold harmless the other parties from any such fee or commission for which it or its officers, employees or representatives is responsible.</w:t>
      </w:r>
    </w:p>
    <w:p>
      <w:pPr>
        <w:tabs>
          <w:tab w:val="left" w:pos="720"/>
        </w:tabs>
        <w:spacing w:after="200" w:before="0"/>
        <w:ind w:left="0" w:firstLine="0"/>
      </w:pPr>
      <w:r>
        <w:rPr>
          <w:rFonts w:ascii="Calibri" w:cs="Calibri" w:eastAsia="Calibri" w:hAnsi="Calibri"/>
          <w:sz w:val="22"/>
          <w:szCs w:val="22"/>
        </w:rPr>
        <w:t xml:space="preserve">8.8</w:t>
      </w:r>
      <w:r>
        <w:rPr>
          <w:rFonts w:ascii="Calibri" w:cs="Calibri" w:eastAsia="Calibri" w:hAnsi="Calibri"/>
          <w:sz w:val="22"/>
          <w:szCs w:val="22"/>
        </w:rPr>
        <w:t xml:space="preserve">	</w:t>
      </w:r>
      <w:r>
        <w:rPr>
          <w:rFonts w:ascii="Calibri" w:cs="Calibri" w:eastAsia="Calibri" w:hAnsi="Calibri"/>
          <w:b/>
          <w:bCs/>
          <w:sz w:val="22"/>
          <w:szCs w:val="22"/>
        </w:rPr>
        <w:t xml:space="preserve">Fees and Expenses.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party shall pay its own costs and expenses in connection with the negotiation, execution, delivery and performance of this Agreement, except that the Company shall, at the Initial Closing, reimburse the reasonable fees and expenses of one counsel for the Purchasers in an amount not to exceed the Purchaser Counsel Expense Cap.</w:t>
      </w:r>
    </w:p>
    <w:p>
      <w:pPr>
        <w:tabs>
          <w:tab w:val="left" w:pos="720"/>
        </w:tabs>
        <w:spacing w:after="200" w:before="0"/>
        <w:ind w:left="0" w:firstLine="0"/>
      </w:pPr>
      <w:r>
        <w:rPr>
          <w:rFonts w:ascii="Calibri" w:cs="Calibri" w:eastAsia="Calibri" w:hAnsi="Calibri"/>
          <w:sz w:val="22"/>
          <w:szCs w:val="22"/>
        </w:rPr>
        <w:t xml:space="preserve">8.9</w:t>
      </w:r>
      <w:r>
        <w:rPr>
          <w:rFonts w:ascii="Calibri" w:cs="Calibri" w:eastAsia="Calibri" w:hAnsi="Calibri"/>
          <w:sz w:val="22"/>
          <w:szCs w:val="22"/>
        </w:rPr>
        <w:t xml:space="preserve">	</w:t>
      </w:r>
      <w:r>
        <w:rPr>
          <w:rFonts w:ascii="Calibri" w:cs="Calibri" w:eastAsia="Calibri" w:hAnsi="Calibri"/>
          <w:b/>
          <w:bCs/>
          <w:sz w:val="22"/>
          <w:szCs w:val="22"/>
        </w:rPr>
        <w:t xml:space="preserve">Amendments and Waivers.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term of this Agreement may be amended, terminated or waived (either generally or in a particular instance, and either retroactively or prospectively) only with the written consent of the Company and the Requisite Purchasers; except that (a) Sections 7.2(a), 7.2(c) and 7.5(a)(ii), and any other provision of this Agreement that would be amended, terminated or waived in a manner that adversely affects the Key Holders disproportionately to the Purchasers, may be amended, terminated or waived only with the additional written consent of Qualified Key Holders holding a majority of the shares of Common Stock then held by all Qualified Key Holders; (b) no amendment, termination or waiver that applies to a Purchaser in a manner adversely different from the other Purchasers is effective against that Purchaser without its written consent, except that a waiver of Section 5.4 for a particular offering of New Securities applies to the Major Purchasers in the same manner if each Major Purchaser that then holds rights under Section 5.4 and did not consent to the waiver is offered the opportunity to purchase, on the same terms as the other Major Purchasers, at least the same proportion of its Pro Rata Share as any other Major Purchaser purchases in that offering; (c) any provision may be waived by the party entitled to its benefit on that party’s own behalf; and (d) the Company may update </w:t>
      </w:r>
      <w:r>
        <w:rPr>
          <w:rFonts w:ascii="Calibri" w:cs="Calibri" w:eastAsia="Calibri" w:hAnsi="Calibri"/>
          <w:b/>
          <w:bCs/>
          <w:i w:val="false"/>
          <w:iCs w:val="false"/>
          <w:caps w:val="false"/>
          <w:sz w:val="22"/>
          <w:szCs w:val="22"/>
        </w:rPr>
        <w:t xml:space="preserve">Exhibit A</w:t>
      </w:r>
      <w:r>
        <w:rPr>
          <w:rFonts w:ascii="Calibri" w:cs="Calibri" w:eastAsia="Calibri" w:hAnsi="Calibri"/>
          <w:b w:val="false"/>
          <w:bCs w:val="false"/>
          <w:i w:val="false"/>
          <w:iCs w:val="false"/>
          <w:caps w:val="false"/>
          <w:sz w:val="22"/>
          <w:szCs w:val="22"/>
        </w:rPr>
        <w:t xml:space="preserve"> without the consent of any other party to reflect Additional Closings, transfers and joinders made in accordance with this Agreement. An amendment, termination or waiver effected in accordance with this Section 8.9 binds each party and each of its successors and permitted assigns, whether or not that party consented to it, and the Company shall give prompt notice of it to each party that did not consent. The signing by the Company and the Requisite Purchasers of Next Financing Documents in accordance with Section 5.5 is an amendment of this Agreement for purposes of this Section 8.9.</w:t>
      </w:r>
    </w:p>
    <w:p>
      <w:pPr>
        <w:tabs>
          <w:tab w:val="left" w:pos="720"/>
        </w:tabs>
        <w:spacing w:after="200" w:before="0"/>
        <w:ind w:left="0" w:firstLine="0"/>
      </w:pPr>
      <w:r>
        <w:rPr>
          <w:rFonts w:ascii="Calibri" w:cs="Calibri" w:eastAsia="Calibri" w:hAnsi="Calibri"/>
          <w:sz w:val="22"/>
          <w:szCs w:val="22"/>
        </w:rPr>
        <w:t xml:space="preserve">8.10</w:t>
      </w:r>
      <w:r>
        <w:rPr>
          <w:rFonts w:ascii="Calibri" w:cs="Calibri" w:eastAsia="Calibri" w:hAnsi="Calibri"/>
          <w:sz w:val="22"/>
          <w:szCs w:val="22"/>
        </w:rPr>
        <w:t xml:space="preserve">	</w:t>
      </w:r>
      <w:r>
        <w:rPr>
          <w:rFonts w:ascii="Calibri" w:cs="Calibri" w:eastAsia="Calibri" w:hAnsi="Calibri"/>
          <w:b/>
          <w:bCs/>
          <w:sz w:val="22"/>
          <w:szCs w:val="22"/>
        </w:rPr>
        <w:t xml:space="preserve">Severability.</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If any provision of this Agreement is held to be invalid, illegal or unenforceable, that holding does not affect the validity, legality or enforceability of any other provision, and the invalid provision will be reformed and construed so that it is valid, legal and enforceable to the maximum extent permitted by law.</w:t>
      </w:r>
    </w:p>
    <w:p>
      <w:pPr>
        <w:tabs>
          <w:tab w:val="left" w:pos="720"/>
        </w:tabs>
        <w:spacing w:after="200" w:before="0"/>
        <w:ind w:left="0" w:firstLine="0"/>
      </w:pPr>
      <w:r>
        <w:rPr>
          <w:rFonts w:ascii="Calibri" w:cs="Calibri" w:eastAsia="Calibri" w:hAnsi="Calibri"/>
          <w:sz w:val="22"/>
          <w:szCs w:val="22"/>
        </w:rPr>
        <w:t xml:space="preserve">8.11</w:t>
      </w:r>
      <w:r>
        <w:rPr>
          <w:rFonts w:ascii="Calibri" w:cs="Calibri" w:eastAsia="Calibri" w:hAnsi="Calibri"/>
          <w:sz w:val="22"/>
          <w:szCs w:val="22"/>
        </w:rPr>
        <w:t xml:space="preserve">	</w:t>
      </w:r>
      <w:r>
        <w:rPr>
          <w:rFonts w:ascii="Calibri" w:cs="Calibri" w:eastAsia="Calibri" w:hAnsi="Calibri"/>
          <w:b/>
          <w:bCs/>
          <w:sz w:val="22"/>
          <w:szCs w:val="22"/>
        </w:rPr>
        <w:t xml:space="preserve">Delays or Omissions.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No delay or omission in exercising any right, power or remedy under this Agreement impairs that right, power or remedy or operates as a waiver of any breach or default, and any waiver must be in writing and is effective only to the extent specifically set forth in it.</w:t>
      </w:r>
    </w:p>
    <w:p>
      <w:pPr>
        <w:tabs>
          <w:tab w:val="left" w:pos="720"/>
        </w:tabs>
        <w:spacing w:after="200" w:before="0"/>
        <w:ind w:left="0" w:firstLine="0"/>
      </w:pPr>
      <w:r>
        <w:rPr>
          <w:rFonts w:ascii="Calibri" w:cs="Calibri" w:eastAsia="Calibri" w:hAnsi="Calibri"/>
          <w:sz w:val="22"/>
          <w:szCs w:val="22"/>
        </w:rPr>
        <w:t xml:space="preserve">8.12</w:t>
      </w:r>
      <w:r>
        <w:rPr>
          <w:rFonts w:ascii="Calibri" w:cs="Calibri" w:eastAsia="Calibri" w:hAnsi="Calibri"/>
          <w:sz w:val="22"/>
          <w:szCs w:val="22"/>
        </w:rPr>
        <w:t xml:space="preserve">	</w:t>
      </w:r>
      <w:r>
        <w:rPr>
          <w:rFonts w:ascii="Calibri" w:cs="Calibri" w:eastAsia="Calibri" w:hAnsi="Calibri"/>
          <w:b/>
          <w:bCs/>
          <w:sz w:val="22"/>
          <w:szCs w:val="22"/>
        </w:rPr>
        <w:t xml:space="preserve">Entire Agreement.</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This Agreement (including its Exhibits) together with the Restated Certificate constitutes the full and entire understanding and agreement among the parties with respect to its subject matter, and any other written or oral agreement relating to that subject matter existing between or among any of the parties is expressly canceled.</w:t>
      </w:r>
    </w:p>
    <w:p>
      <w:pPr>
        <w:tabs>
          <w:tab w:val="left" w:pos="720"/>
        </w:tabs>
        <w:spacing w:after="200" w:before="0"/>
        <w:ind w:left="0" w:firstLine="0"/>
      </w:pPr>
      <w:r>
        <w:rPr>
          <w:rFonts w:ascii="Calibri" w:cs="Calibri" w:eastAsia="Calibri" w:hAnsi="Calibri"/>
          <w:sz w:val="22"/>
          <w:szCs w:val="22"/>
        </w:rPr>
        <w:t xml:space="preserve">8.13</w:t>
      </w:r>
      <w:r>
        <w:rPr>
          <w:rFonts w:ascii="Calibri" w:cs="Calibri" w:eastAsia="Calibri" w:hAnsi="Calibri"/>
          <w:sz w:val="22"/>
          <w:szCs w:val="22"/>
        </w:rPr>
        <w:t xml:space="preserve">	</w:t>
      </w:r>
      <w:r>
        <w:rPr>
          <w:rFonts w:ascii="Calibri" w:cs="Calibri" w:eastAsia="Calibri" w:hAnsi="Calibri"/>
          <w:b/>
          <w:bCs/>
          <w:sz w:val="22"/>
          <w:szCs w:val="22"/>
        </w:rPr>
        <w:t xml:space="preserve">Dispute Resolution; Jury Waiver.</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party irrevocably and unconditionally submits to the exclusive jurisdiction of the Court of Chancery of the State of Delaware (or, if that court lacks subject matter jurisdiction, the Superior Court of the State of Delaware or the United States District Court for the District of Delaware) for any suit, action or proceeding arising out of or based upon this Agreement, agrees not to commence any such suit, action or proceeding except in those courts, and waives any claim that it is not subject to the jurisdiction of those courts, that the venue is improper, or that the forum is inconvenient. EACH PARTY WAIVES ITS RIGHT TO A JURY TRIAL OF ANY CLAIM OR CAUSE OF ACTION BASED UPON OR ARISING OUT OF THIS AGREEMENT, THE SHARES OR THE SUBJECT MATTER OF THIS AGREEMENT. In any action to enforce or interpret this Agreement, the prevailing party is entitled to reasonable attorneys’ fees, costs and necessary disbursements in addition to any other relief to which it is entitled.</w:t>
      </w:r>
    </w:p>
    <w:p>
      <w:pPr>
        <w:tabs>
          <w:tab w:val="left" w:pos="720"/>
        </w:tabs>
        <w:spacing w:after="200" w:before="0"/>
        <w:ind w:left="0" w:firstLine="0"/>
      </w:pPr>
      <w:r>
        <w:rPr>
          <w:rFonts w:ascii="Calibri" w:cs="Calibri" w:eastAsia="Calibri" w:hAnsi="Calibri"/>
          <w:sz w:val="22"/>
          <w:szCs w:val="22"/>
        </w:rPr>
        <w:t xml:space="preserve">8.14</w:t>
      </w:r>
      <w:r>
        <w:rPr>
          <w:rFonts w:ascii="Calibri" w:cs="Calibri" w:eastAsia="Calibri" w:hAnsi="Calibri"/>
          <w:sz w:val="22"/>
          <w:szCs w:val="22"/>
        </w:rPr>
        <w:t xml:space="preserve">	</w:t>
      </w:r>
      <w:r>
        <w:rPr>
          <w:rFonts w:ascii="Calibri" w:cs="Calibri" w:eastAsia="Calibri" w:hAnsi="Calibri"/>
          <w:b/>
          <w:bCs/>
          <w:sz w:val="22"/>
          <w:szCs w:val="22"/>
        </w:rPr>
        <w:t xml:space="preserve">Aggregation of Stock.</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All Shares and other securities held or acquired by a Purchaser and its Affiliates are aggregated for the purpose of determining the availability of any right under this Agreement, and those Affiliates may apportion the right among themselves in any manner they choose.</w:t>
      </w:r>
    </w:p>
    <w:p>
      <w:pPr>
        <w:tabs>
          <w:tab w:val="left" w:pos="720"/>
        </w:tabs>
        <w:spacing w:after="200" w:before="0"/>
        <w:ind w:left="0" w:firstLine="0"/>
      </w:pPr>
      <w:r>
        <w:rPr>
          <w:rFonts w:ascii="Calibri" w:cs="Calibri" w:eastAsia="Calibri" w:hAnsi="Calibri"/>
          <w:sz w:val="22"/>
          <w:szCs w:val="22"/>
        </w:rPr>
        <w:t xml:space="preserve">8.15</w:t>
      </w:r>
      <w:r>
        <w:rPr>
          <w:rFonts w:ascii="Calibri" w:cs="Calibri" w:eastAsia="Calibri" w:hAnsi="Calibri"/>
          <w:sz w:val="22"/>
          <w:szCs w:val="22"/>
        </w:rPr>
        <w:t xml:space="preserve">	</w:t>
      </w:r>
      <w:r>
        <w:rPr>
          <w:rFonts w:ascii="Calibri" w:cs="Calibri" w:eastAsia="Calibri" w:hAnsi="Calibri"/>
          <w:b/>
          <w:bCs/>
          <w:sz w:val="22"/>
          <w:szCs w:val="22"/>
        </w:rPr>
        <w:t xml:space="preserve">Termination.</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Unless terminated earlier under Section 5.5(f), this Agreement terminates, and the rights and obligations under Articles 5, 6 and 7 cease, upon the earlier of (a) the closing of the IPO and (b) the closing of a Deemed Liquidation Event (except that Sections 7.5 through 7.8 continue after the closing of a Sale of the Company to the extent necessary to enforce them with respect to that Sale of the Company). Section 2.6, Article 3, Article 4, Section 5.3, Section 6.3 and this Article 8 survive any termination of this Agreement.</w:t>
      </w:r>
    </w:p>
    <w:p>
      <w:pPr>
        <w:tabs>
          <w:tab w:val="left" w:pos="720"/>
        </w:tabs>
        <w:spacing w:after="200" w:before="0"/>
        <w:ind w:left="0" w:firstLine="0"/>
      </w:pPr>
      <w:r>
        <w:rPr>
          <w:rFonts w:ascii="Calibri" w:cs="Calibri" w:eastAsia="Calibri" w:hAnsi="Calibri"/>
          <w:sz w:val="22"/>
          <w:szCs w:val="22"/>
        </w:rPr>
        <w:t xml:space="preserve">8.16</w:t>
      </w:r>
      <w:r>
        <w:rPr>
          <w:rFonts w:ascii="Calibri" w:cs="Calibri" w:eastAsia="Calibri" w:hAnsi="Calibri"/>
          <w:sz w:val="22"/>
          <w:szCs w:val="22"/>
        </w:rPr>
        <w:t xml:space="preserve">	</w:t>
      </w:r>
      <w:r>
        <w:rPr>
          <w:rFonts w:ascii="Calibri" w:cs="Calibri" w:eastAsia="Calibri" w:hAnsi="Calibri"/>
          <w:b/>
          <w:bCs/>
          <w:sz w:val="22"/>
          <w:szCs w:val="22"/>
        </w:rPr>
        <w:t xml:space="preserve">Further Assurances.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Each party shall, at the request of another party, sign and deliver any further instruments and take any further action reasonably requested to carry out the intent of this Agreement.</w:t>
      </w:r>
    </w:p>
    <w:p>
      <w:pPr>
        <w:tabs>
          <w:tab w:val="left" w:pos="720"/>
        </w:tabs>
        <w:spacing w:after="200" w:before="0"/>
        <w:ind w:left="0" w:firstLine="0"/>
      </w:pPr>
      <w:r>
        <w:rPr>
          <w:rFonts w:ascii="Calibri" w:cs="Calibri" w:eastAsia="Calibri" w:hAnsi="Calibri"/>
          <w:sz w:val="22"/>
          <w:szCs w:val="22"/>
        </w:rPr>
        <w:t xml:space="preserve">8.17</w:t>
      </w:r>
      <w:r>
        <w:rPr>
          <w:rFonts w:ascii="Calibri" w:cs="Calibri" w:eastAsia="Calibri" w:hAnsi="Calibri"/>
          <w:sz w:val="22"/>
          <w:szCs w:val="22"/>
        </w:rPr>
        <w:t xml:space="preserve">	</w:t>
      </w:r>
      <w:r>
        <w:rPr>
          <w:rFonts w:ascii="Calibri" w:cs="Calibri" w:eastAsia="Calibri" w:hAnsi="Calibri"/>
          <w:b/>
          <w:bCs/>
          <w:sz w:val="22"/>
          <w:szCs w:val="22"/>
        </w:rPr>
        <w:t xml:space="preserve">Stock Splits and Recapitalizations.</w:t>
      </w:r>
      <w:r>
        <w:rPr>
          <w:rFonts w:ascii="Calibri" w:cs="Calibri" w:eastAsia="Calibri" w:hAnsi="Calibri"/>
          <w:sz w:val="22"/>
          <w:szCs w:val="22"/>
        </w:rPr>
        <w:t xml:space="preserve"> </w:t>
      </w:r>
      <w:r>
        <w:rPr>
          <w:rFonts w:ascii="Calibri" w:cs="Calibri" w:eastAsia="Calibri" w:hAnsi="Calibri"/>
          <w:b w:val="false"/>
          <w:bCs w:val="false"/>
          <w:i w:val="false"/>
          <w:iCs w:val="false"/>
          <w:caps w:val="false"/>
          <w:sz w:val="22"/>
          <w:szCs w:val="22"/>
        </w:rPr>
        <w:t xml:space="preserve">Any shares of capital stock of the Company issued to a Stockholder after the Agreement Date, including in a stock split, stock dividend, recapitalization or reorganization, are subject to this Agreement.</w:t>
      </w:r>
    </w:p>
    <w:p>
      <w:pPr>
        <w:spacing w:after="200"/>
        <w:jc w:val="center"/>
      </w:pPr>
      <w:r>
        <w:rPr>
          <w:rFonts w:ascii="Calibri" w:cs="Calibri" w:eastAsia="Calibri" w:hAnsi="Calibri"/>
          <w:sz w:val="22"/>
          <w:szCs w:val="22"/>
        </w:rPr>
        <w:t xml:space="preserve">[</w:t>
      </w:r>
      <w:r>
        <w:rPr>
          <w:rFonts w:ascii="Calibri" w:cs="Calibri" w:eastAsia="Calibri" w:hAnsi="Calibri"/>
          <w:i/>
          <w:iCs/>
          <w:sz w:val="22"/>
          <w:szCs w:val="22"/>
        </w:rPr>
        <w:t xml:space="preserve">Signature pages follow</w:t>
      </w:r>
      <w:r>
        <w:rPr>
          <w:rFonts w:ascii="Calibri" w:cs="Calibri" w:eastAsia="Calibri" w:hAnsi="Calibri"/>
          <w:sz w:val="22"/>
          <w:szCs w:val="22"/>
        </w:rPr>
        <w:t xml:space="preserve">]</w:t>
      </w:r>
    </w:p>
    <w:p>
      <w:pPr>
        <w:sectPr>
          <w:footerReference w:type="default" r:id="rId7"/>
          <w:footerReference w:type="first" r:id="rId8"/>
          <w:type w:val="nextPage"/>
          <w:pgSz w:w="12240" w:h="15840" w:orient="portrait"/>
          <w:pgMar w:top="1440" w:right="1440" w:bottom="1440" w:left="1440" w:header="708" w:footer="708" w:gutter="0"/>
          <w:pgNumType/>
          <w:titlePg/>
          <w:docGrid w:linePitch="360"/>
        </w:sectPr>
      </w:pPr>
    </w:p>
    <w:p>
      <w:pPr>
        <w:spacing w:after="240"/>
        <w:ind w:firstLine="720"/>
      </w:pPr>
      <w:r>
        <w:rPr>
          <w:rFonts w:ascii="Calibri" w:cs="Calibri" w:eastAsia="Calibri" w:hAnsi="Calibri"/>
          <w:b w:val="false"/>
          <w:bCs w:val="false"/>
          <w:i w:val="false"/>
          <w:iCs w:val="false"/>
          <w:caps w:val="false"/>
          <w:sz w:val="22"/>
          <w:szCs w:val="22"/>
        </w:rPr>
        <w:t xml:space="preserve">The parties are signing this Agreement on the Agreement Date, or, in the case of a New Purchaser, on the date of the applicable Additional Closing.</w:t>
      </w:r>
    </w:p>
    <w:p>
      <w:pPr>
        <w:keepNext/>
        <w:spacing w:after="200" w:before="360"/>
      </w:pPr>
      <w:r>
        <w:rPr>
          <w:rFonts w:ascii="Calibri" w:cs="Calibri" w:eastAsia="Calibri" w:hAnsi="Calibri"/>
          <w:b/>
          <w:bCs/>
          <w:sz w:val="22"/>
          <w:szCs w:val="22"/>
        </w:rPr>
        <w:t xml:space="preserve">COMPANY:</w:t>
      </w:r>
    </w:p>
    <w:p>
      <w:pPr>
        <w:keepNext/>
        <w:spacing w:after="0"/>
        <w:ind w:left="4320"/>
      </w:pPr>
      <w:r>
        <w:rPr>
          <w:rFonts w:ascii="Calibri" w:cs="Calibri" w:eastAsia="Calibri" w:hAnsi="Calibri"/>
          <w:b w:val="false"/>
          <w:bCs w:val="false"/>
          <w:i w:val="false"/>
          <w:iCs w:val="false"/>
          <w:caps w:val="false"/>
          <w:sz w:val="22"/>
          <w:szCs w:val="22"/>
        </w:rPr>
        <w:t xml:space="preserve">[COMPANY NAME]</w:t>
      </w:r>
    </w:p>
    <w:p>
      <w:pPr>
        <w:keepNext/>
        <w:tabs>
          <w:tab w:val="left" w:pos="5040"/>
        </w:tabs>
        <w:spacing w:after="0" w:before="240"/>
        <w:ind w:left="4320"/>
      </w:pPr>
      <w:r>
        <w:rPr>
          <w:rFonts w:ascii="Calibri" w:cs="Calibri" w:eastAsia="Calibri" w:hAnsi="Calibri"/>
          <w:sz w:val="22"/>
          <w:szCs w:val="22"/>
        </w:rPr>
        <w:t xml:space="preserve">By:	______________________________</w:t>
      </w:r>
    </w:p>
    <w:p>
      <w:pPr>
        <w:keepNext/>
        <w:spacing w:after="0"/>
        <w:ind w:left="5040"/>
      </w:pPr>
      <w:r>
        <w:rPr>
          <w:rFonts w:ascii="Calibri" w:cs="Calibri" w:eastAsia="Calibri" w:hAnsi="Calibri"/>
          <w:b w:val="false"/>
          <w:bCs w:val="false"/>
          <w:i w:val="false"/>
          <w:iCs w:val="false"/>
          <w:caps w:val="false"/>
          <w:sz w:val="22"/>
          <w:szCs w:val="22"/>
        </w:rPr>
        <w:t xml:space="preserve">Name:</w:t>
      </w:r>
    </w:p>
    <w:p>
      <w:pPr>
        <w:keepNext/>
        <w:spacing w:after="0"/>
        <w:ind w:left="5040"/>
      </w:pPr>
      <w:r>
        <w:rPr>
          <w:rFonts w:ascii="Calibri" w:cs="Calibri" w:eastAsia="Calibri" w:hAnsi="Calibri"/>
          <w:b w:val="false"/>
          <w:bCs w:val="false"/>
          <w:i w:val="false"/>
          <w:iCs w:val="false"/>
          <w:caps w:val="false"/>
          <w:sz w:val="22"/>
          <w:szCs w:val="22"/>
        </w:rPr>
        <w:t xml:space="preserve">Title:</w:t>
      </w:r>
    </w:p>
    <w:p>
      <w:pPr>
        <w:keepNext/>
        <w:spacing w:after="0"/>
        <w:ind w:left="5040"/>
      </w:pPr>
      <w:r>
        <w:rPr>
          <w:rFonts w:ascii="Calibri" w:cs="Calibri" w:eastAsia="Calibri" w:hAnsi="Calibri"/>
          <w:b w:val="false"/>
          <w:bCs w:val="false"/>
          <w:i w:val="false"/>
          <w:iCs w:val="false"/>
          <w:caps w:val="false"/>
          <w:sz w:val="22"/>
          <w:szCs w:val="22"/>
        </w:rPr>
        <w:t xml:space="preserve">Address:</w:t>
      </w:r>
    </w:p>
    <w:p>
      <w:pPr>
        <w:keepNext/>
        <w:spacing w:after="0"/>
        <w:ind w:left="5040"/>
      </w:pPr>
      <w:r>
        <w:rPr>
          <w:rFonts w:ascii="Calibri" w:cs="Calibri" w:eastAsia="Calibri" w:hAnsi="Calibri"/>
          <w:b w:val="false"/>
          <w:bCs w:val="false"/>
          <w:i w:val="false"/>
          <w:iCs w:val="false"/>
          <w:caps w:val="false"/>
          <w:sz w:val="22"/>
          <w:szCs w:val="22"/>
        </w:rPr>
        <w:t xml:space="preserve">Email:</w:t>
      </w:r>
    </w:p>
    <w:p>
      <w:pPr>
        <w:keepNext/>
        <w:spacing w:after="200" w:before="360"/>
      </w:pPr>
      <w:r>
        <w:rPr>
          <w:rFonts w:ascii="Calibri" w:cs="Calibri" w:eastAsia="Calibri" w:hAnsi="Calibri"/>
          <w:b/>
          <w:bCs/>
          <w:sz w:val="22"/>
          <w:szCs w:val="22"/>
        </w:rPr>
        <w:t xml:space="preserve">PURCHASER:</w:t>
      </w:r>
    </w:p>
    <w:p>
      <w:pPr>
        <w:keepNext/>
        <w:spacing w:after="0"/>
        <w:ind w:left="4320"/>
      </w:pPr>
      <w:r>
        <w:rPr>
          <w:rFonts w:ascii="Calibri" w:cs="Calibri" w:eastAsia="Calibri" w:hAnsi="Calibri"/>
          <w:b w:val="false"/>
          <w:bCs w:val="false"/>
          <w:i w:val="false"/>
          <w:iCs w:val="false"/>
          <w:caps w:val="false"/>
          <w:sz w:val="22"/>
          <w:szCs w:val="22"/>
        </w:rPr>
        <w:t xml:space="preserve">[PURCHASER NAME]</w:t>
      </w:r>
    </w:p>
    <w:p>
      <w:pPr>
        <w:keepNext/>
        <w:tabs>
          <w:tab w:val="left" w:pos="5040"/>
        </w:tabs>
        <w:spacing w:after="0" w:before="240"/>
        <w:ind w:left="4320"/>
      </w:pPr>
      <w:r>
        <w:rPr>
          <w:rFonts w:ascii="Calibri" w:cs="Calibri" w:eastAsia="Calibri" w:hAnsi="Calibri"/>
          <w:sz w:val="22"/>
          <w:szCs w:val="22"/>
        </w:rPr>
        <w:t xml:space="preserve">By:	______________________________</w:t>
      </w:r>
    </w:p>
    <w:p>
      <w:pPr>
        <w:keepNext/>
        <w:spacing w:after="0"/>
        <w:ind w:left="5040"/>
      </w:pPr>
      <w:r>
        <w:rPr>
          <w:rFonts w:ascii="Calibri" w:cs="Calibri" w:eastAsia="Calibri" w:hAnsi="Calibri"/>
          <w:b w:val="false"/>
          <w:bCs w:val="false"/>
          <w:i w:val="false"/>
          <w:iCs w:val="false"/>
          <w:caps w:val="false"/>
          <w:sz w:val="22"/>
          <w:szCs w:val="22"/>
        </w:rPr>
        <w:t xml:space="preserve">Name:</w:t>
      </w:r>
    </w:p>
    <w:p>
      <w:pPr>
        <w:keepNext/>
        <w:spacing w:after="0"/>
        <w:ind w:left="5040"/>
      </w:pPr>
      <w:r>
        <w:rPr>
          <w:rFonts w:ascii="Calibri" w:cs="Calibri" w:eastAsia="Calibri" w:hAnsi="Calibri"/>
          <w:b w:val="false"/>
          <w:bCs w:val="false"/>
          <w:i w:val="false"/>
          <w:iCs w:val="false"/>
          <w:caps w:val="false"/>
          <w:sz w:val="22"/>
          <w:szCs w:val="22"/>
        </w:rPr>
        <w:t xml:space="preserve">Title:</w:t>
      </w:r>
    </w:p>
    <w:p>
      <w:pPr>
        <w:keepNext/>
        <w:spacing w:after="0"/>
        <w:ind w:left="5040"/>
      </w:pPr>
      <w:r>
        <w:rPr>
          <w:rFonts w:ascii="Calibri" w:cs="Calibri" w:eastAsia="Calibri" w:hAnsi="Calibri"/>
          <w:b w:val="false"/>
          <w:bCs w:val="false"/>
          <w:i w:val="false"/>
          <w:iCs w:val="false"/>
          <w:caps w:val="false"/>
          <w:sz w:val="22"/>
          <w:szCs w:val="22"/>
        </w:rPr>
        <w:t xml:space="preserve">Address:</w:t>
      </w:r>
    </w:p>
    <w:p>
      <w:pPr>
        <w:keepNext/>
        <w:spacing w:after="0"/>
        <w:ind w:left="5040"/>
      </w:pPr>
      <w:r>
        <w:rPr>
          <w:rFonts w:ascii="Calibri" w:cs="Calibri" w:eastAsia="Calibri" w:hAnsi="Calibri"/>
          <w:b w:val="false"/>
          <w:bCs w:val="false"/>
          <w:i w:val="false"/>
          <w:iCs w:val="false"/>
          <w:caps w:val="false"/>
          <w:sz w:val="22"/>
          <w:szCs w:val="22"/>
        </w:rPr>
        <w:t xml:space="preserve">Email:</w:t>
      </w:r>
    </w:p>
    <w:p>
      <w:pPr>
        <w:spacing w:after="480" w:before="200"/>
      </w:pPr>
      <w:r>
        <w:rPr>
          <w:rFonts w:ascii="Calibri" w:cs="Calibri" w:eastAsia="Calibri" w:hAnsi="Calibri"/>
          <w:b w:val="false"/>
          <w:bCs w:val="false"/>
          <w:i/>
          <w:iCs/>
          <w:caps w:val="false"/>
          <w:sz w:val="22"/>
          <w:szCs w:val="22"/>
        </w:rPr>
        <w:t xml:space="preserve">[For a Purchaser that is an individual, delete the “By,” “Name” and “Title” lines.]</w:t>
      </w:r>
    </w:p>
    <w:p>
      <w:pPr>
        <w:keepNext/>
        <w:spacing w:after="200" w:before="360"/>
      </w:pPr>
      <w:r>
        <w:rPr>
          <w:rFonts w:ascii="Calibri" w:cs="Calibri" w:eastAsia="Calibri" w:hAnsi="Calibri"/>
          <w:b/>
          <w:bCs/>
          <w:sz w:val="22"/>
          <w:szCs w:val="22"/>
        </w:rPr>
        <w:t xml:space="preserve">KEY HOLDER:</w:t>
      </w:r>
    </w:p>
    <w:p>
      <w:pPr>
        <w:keepNext/>
        <w:spacing w:after="0" w:before="240"/>
        <w:ind w:left="4320"/>
      </w:pPr>
      <w:r>
        <w:rPr>
          <w:rFonts w:ascii="Calibri" w:cs="Calibri" w:eastAsia="Calibri" w:hAnsi="Calibri"/>
          <w:sz w:val="22"/>
          <w:szCs w:val="22"/>
        </w:rPr>
        <w:t xml:space="preserve">______________________________</w:t>
      </w:r>
    </w:p>
    <w:p>
      <w:pPr>
        <w:keepNext/>
        <w:spacing w:after="0"/>
        <w:ind w:left="4320"/>
      </w:pPr>
      <w:r>
        <w:rPr>
          <w:rFonts w:ascii="Calibri" w:cs="Calibri" w:eastAsia="Calibri" w:hAnsi="Calibri"/>
          <w:b w:val="false"/>
          <w:bCs w:val="false"/>
          <w:i w:val="false"/>
          <w:iCs w:val="false"/>
          <w:caps w:val="false"/>
          <w:sz w:val="22"/>
          <w:szCs w:val="22"/>
        </w:rPr>
        <w:t xml:space="preserve">[KEY HOLDER NAME]</w:t>
      </w:r>
    </w:p>
    <w:p>
      <w:pPr>
        <w:keepNext/>
        <w:spacing w:after="0"/>
        <w:ind w:left="5040"/>
      </w:pPr>
      <w:r>
        <w:rPr>
          <w:rFonts w:ascii="Calibri" w:cs="Calibri" w:eastAsia="Calibri" w:hAnsi="Calibri"/>
          <w:b w:val="false"/>
          <w:bCs w:val="false"/>
          <w:i w:val="false"/>
          <w:iCs w:val="false"/>
          <w:caps w:val="false"/>
          <w:sz w:val="22"/>
          <w:szCs w:val="22"/>
        </w:rPr>
        <w:t xml:space="preserve">Address:</w:t>
      </w:r>
    </w:p>
    <w:p>
      <w:pPr>
        <w:keepNext/>
        <w:spacing w:after="0"/>
        <w:ind w:left="5040"/>
      </w:pPr>
      <w:r>
        <w:rPr>
          <w:rFonts w:ascii="Calibri" w:cs="Calibri" w:eastAsia="Calibri" w:hAnsi="Calibri"/>
          <w:b w:val="false"/>
          <w:bCs w:val="false"/>
          <w:i w:val="false"/>
          <w:iCs w:val="false"/>
          <w:caps w:val="false"/>
          <w:sz w:val="22"/>
          <w:szCs w:val="22"/>
        </w:rPr>
        <w:t xml:space="preserve">Email:</w:t>
      </w:r>
    </w:p>
    <w:p>
      <w:pPr>
        <w:sectPr>
          <w:footerReference w:type="default" r:id="rId9"/>
          <w:type w:val="nextPage"/>
          <w:pgSz w:w="12240" w:h="15840" w:orient="portrait"/>
          <w:pgMar w:top="1440" w:right="1440" w:bottom="1440" w:left="1440" w:header="708" w:footer="708" w:gutter="0"/>
          <w:pgNumType/>
          <w:docGrid w:linePitch="360"/>
        </w:sectPr>
      </w:pPr>
    </w:p>
    <w:p>
      <w:pPr>
        <w:spacing w:after="0" w:before="0"/>
        <w:jc w:val="center"/>
      </w:pPr>
      <w:r>
        <w:rPr>
          <w:rFonts w:ascii="Calibri" w:cs="Calibri" w:eastAsia="Calibri" w:hAnsi="Calibri"/>
          <w:b/>
          <w:bCs/>
          <w:sz w:val="22"/>
          <w:szCs w:val="22"/>
        </w:rPr>
        <w:t xml:space="preserve">EXHIBIT A</w:t>
      </w:r>
    </w:p>
    <w:p>
      <w:pPr>
        <w:spacing w:after="360" w:before="0"/>
        <w:jc w:val="center"/>
      </w:pPr>
      <w:r>
        <w:rPr>
          <w:rFonts w:ascii="Calibri" w:cs="Calibri" w:eastAsia="Calibri" w:hAnsi="Calibri"/>
          <w:b/>
          <w:bCs/>
          <w:sz w:val="22"/>
          <w:szCs w:val="22"/>
        </w:rPr>
        <w:t xml:space="preserve">SCHEDULE OF PURCHASERS AND KEY HOLDERS</w:t>
      </w:r>
    </w:p>
    <w:p>
      <w:pPr>
        <w:keepNext/>
        <w:spacing w:after="200" w:before="120"/>
      </w:pPr>
      <w:r>
        <w:rPr>
          <w:rFonts w:ascii="Calibri" w:cs="Calibri" w:eastAsia="Calibri" w:hAnsi="Calibri"/>
          <w:b/>
          <w:bCs/>
          <w:sz w:val="22"/>
          <w:szCs w:val="22"/>
        </w:rPr>
        <w:t xml:space="preserve">Purchasers</w:t>
      </w:r>
      <w:r>
        <w:rPr>
          <w:rStyle w:val="FootnoteReference"/>
        </w:rPr>
        <w:footnoteReference w:id="14"/>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Purchaser (name, address, email, closing date)</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Cash Purchase Price</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Convertible Securities (type, principal or purchase amount, accrued interest)</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Conversion price per share</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Convertible Security Shares [and series]</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Shares purchased for cash</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Total Shares</w:t>
            </w:r>
          </w:p>
        </w:tc>
        <w:tc>
          <w:tcPr>
            <w:tcW w:type="dxa" w:w="117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Foreign person (Y/N)</w:t>
            </w:r>
          </w:p>
        </w:tc>
      </w:tr>
      <w:tr>
        <w:trPr>
          <w:cantSplit/>
          <w:tblHeader w:val="false"/>
        </w:trPr>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w:t>
            </w: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w:t>
            </w: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r>
      <w:tr>
        <w:trPr>
          <w:cantSplit/>
          <w:tblHeader w:val="false"/>
        </w:trPr>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w:t>
            </w: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w:t>
            </w: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r>
      <w:tr>
        <w:trPr>
          <w:cantSplit/>
          <w:tblHeader w:val="false"/>
        </w:trPr>
        <w:tc>
          <w:tcPr>
            <w:tcW w:type="dxa" w:w="117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Total</w:t>
            </w:r>
          </w:p>
        </w:tc>
        <w:tc>
          <w:tcPr>
            <w:tcW w:type="dxa" w:w="117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w:t>
            </w: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c>
          <w:tcPr>
            <w:tcW w:type="dxa" w:w="1170"/>
            <w:tcMar>
              <w:top w:type="dxa" w:w="60"/>
              <w:left w:type="dxa" w:w="100"/>
              <w:bottom w:type="dxa" w:w="60"/>
              <w:right w:type="dxa" w:w="100"/>
            </w:tcMar>
          </w:tcPr>
          <w:p>
            <w:pPr>
              <w:spacing w:after="0" w:before="0"/>
            </w:pPr>
          </w:p>
        </w:tc>
      </w:tr>
    </w:tbl>
    <w:p>
      <w:pPr>
        <w:spacing w:after="0"/>
      </w:pPr>
    </w:p>
    <w:p>
      <w:pPr>
        <w:keepNext/>
        <w:spacing w:after="200" w:before="120"/>
      </w:pPr>
      <w:r>
        <w:rPr>
          <w:rFonts w:ascii="Calibri" w:cs="Calibri" w:eastAsia="Calibri" w:hAnsi="Calibri"/>
          <w:b/>
          <w:bCs/>
          <w:sz w:val="22"/>
          <w:szCs w:val="22"/>
        </w:rPr>
        <w:t xml:space="preserve">Key Holders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0"/>
        <w:gridCol w:w="3480"/>
        <w:gridCol w:w="3480"/>
      </w:tblGrid>
      <w:tr>
        <w:trPr>
          <w:cantSplit/>
          <w:tblHeader/>
        </w:trPr>
        <w:tc>
          <w:tcPr>
            <w:tcW w:type="dxa" w:w="6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Key Holder (name, address, email)</w:t>
            </w:r>
          </w:p>
        </w:tc>
        <w:tc>
          <w:tcPr>
            <w:tcW w:type="dxa" w:w="348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Shares of Common Stock held</w:t>
            </w:r>
          </w:p>
        </w:tc>
        <w:tc>
          <w:tcPr>
            <w:tcW w:type="dxa" w:w="348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Options held</w:t>
            </w:r>
          </w:p>
        </w:tc>
      </w:tr>
    </w:tbl>
    <w:p>
      <w:pPr>
        <w:spacing w:after="0"/>
      </w:pPr>
    </w:p>
    <w:p>
      <w:pPr>
        <w:keepNext/>
        <w:spacing w:after="200" w:before="120"/>
      </w:pPr>
      <w:r>
        <w:rPr>
          <w:rFonts w:ascii="Calibri" w:cs="Calibri" w:eastAsia="Calibri" w:hAnsi="Calibri"/>
          <w:b/>
          <w:bCs/>
          <w:sz w:val="22"/>
          <w:szCs w:val="22"/>
        </w:rPr>
        <w:t xml:space="preserve">Initial Board Designees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0"/>
        <w:gridCol w:w="3480"/>
        <w:gridCol w:w="3480"/>
      </w:tblGrid>
      <w:tr>
        <w:trPr>
          <w:cantSplit/>
          <w:tblHeader/>
        </w:trPr>
        <w:tc>
          <w:tcPr>
            <w:tcW w:type="dxa" w:w="6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Seat</w:t>
            </w:r>
          </w:p>
        </w:tc>
        <w:tc>
          <w:tcPr>
            <w:tcW w:type="dxa" w:w="348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Designee</w:t>
            </w:r>
          </w:p>
        </w:tc>
        <w:tc>
          <w:tcPr>
            <w:tcW w:type="dxa" w:w="348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Designated by</w:t>
            </w:r>
          </w:p>
        </w:tc>
      </w:tr>
      <w:tr>
        <w:trPr>
          <w:cantSplit/>
          <w:tblHeader w:val="false"/>
        </w:trPr>
        <w:tc>
          <w:tcPr>
            <w:tcW w:type="dxa" w:w="6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Common Designee[s]</w:t>
            </w:r>
          </w:p>
        </w:tc>
        <w:tc>
          <w:tcPr>
            <w:tcW w:type="dxa" w:w="3480"/>
            <w:tcMar>
              <w:top w:type="dxa" w:w="60"/>
              <w:left w:type="dxa" w:w="100"/>
              <w:bottom w:type="dxa" w:w="60"/>
              <w:right w:type="dxa" w:w="100"/>
            </w:tcMar>
          </w:tcPr>
          <w:p>
            <w:pPr>
              <w:spacing w:after="0" w:before="0"/>
            </w:pPr>
          </w:p>
        </w:tc>
        <w:tc>
          <w:tcPr>
            <w:tcW w:type="dxa" w:w="348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Qualified Key Holders</w:t>
            </w:r>
          </w:p>
        </w:tc>
      </w:tr>
      <w:tr>
        <w:trPr>
          <w:cantSplit/>
          <w:tblHeader w:val="false"/>
        </w:trPr>
        <w:tc>
          <w:tcPr>
            <w:tcW w:type="dxa" w:w="6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Series Seed Designee[s]</w:t>
            </w:r>
          </w:p>
        </w:tc>
        <w:tc>
          <w:tcPr>
            <w:tcW w:type="dxa" w:w="3480"/>
            <w:tcMar>
              <w:top w:type="dxa" w:w="60"/>
              <w:left w:type="dxa" w:w="100"/>
              <w:bottom w:type="dxa" w:w="60"/>
              <w:right w:type="dxa" w:w="100"/>
            </w:tcMar>
          </w:tcPr>
          <w:p>
            <w:pPr>
              <w:spacing w:after="0" w:before="0"/>
            </w:pPr>
          </w:p>
        </w:tc>
        <w:tc>
          <w:tcPr>
            <w:tcW w:type="dxa" w:w="348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Requisite Purchasers</w:t>
            </w:r>
          </w:p>
        </w:tc>
      </w:tr>
      <w:tr>
        <w:trPr>
          <w:cantSplit/>
          <w:tblHeader w:val="false"/>
        </w:trPr>
        <w:tc>
          <w:tcPr>
            <w:tcW w:type="dxa" w:w="600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Mutual Designee[s]</w:t>
            </w:r>
          </w:p>
        </w:tc>
        <w:tc>
          <w:tcPr>
            <w:tcW w:type="dxa" w:w="3480"/>
            <w:tcMar>
              <w:top w:type="dxa" w:w="60"/>
              <w:left w:type="dxa" w:w="100"/>
              <w:bottom w:type="dxa" w:w="60"/>
              <w:right w:type="dxa" w:w="100"/>
            </w:tcMar>
          </w:tcPr>
          <w:p>
            <w:pPr>
              <w:spacing w:after="0" w:before="0"/>
            </w:pPr>
          </w:p>
        </w:tc>
        <w:tc>
          <w:tcPr>
            <w:tcW w:type="dxa" w:w="348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Requisite Purchasers and Qualified Key Holders</w:t>
            </w:r>
          </w:p>
        </w:tc>
      </w:tr>
    </w:tbl>
    <w:p>
      <w:pPr>
        <w:spacing w:after="0"/>
      </w:pPr>
    </w:p>
    <w:p>
      <w:pPr>
        <w:sectPr>
          <w:footerReference w:type="default" r:id="rId10"/>
          <w:type w:val="nextPage"/>
          <w:pgSz w:w="15840" w:h="12240" w:orient="landscape"/>
          <w:pgMar w:top="1440" w:right="1440" w:bottom="1440" w:left="1440" w:header="708" w:footer="708" w:gutter="0"/>
          <w:pgNumType/>
          <w:docGrid w:linePitch="360"/>
        </w:sectPr>
      </w:pPr>
    </w:p>
    <w:p>
      <w:pPr>
        <w:spacing w:after="0" w:before="0"/>
        <w:jc w:val="center"/>
      </w:pPr>
      <w:r>
        <w:rPr>
          <w:rFonts w:ascii="Calibri" w:cs="Calibri" w:eastAsia="Calibri" w:hAnsi="Calibri"/>
          <w:b/>
          <w:bCs/>
          <w:sz w:val="22"/>
          <w:szCs w:val="22"/>
        </w:rPr>
        <w:t xml:space="preserve">EXHIBIT B</w:t>
      </w:r>
    </w:p>
    <w:p>
      <w:pPr>
        <w:spacing w:after="360" w:before="0"/>
        <w:jc w:val="center"/>
      </w:pPr>
      <w:r>
        <w:rPr>
          <w:rFonts w:ascii="Calibri" w:cs="Calibri" w:eastAsia="Calibri" w:hAnsi="Calibri"/>
          <w:b/>
          <w:bCs/>
          <w:sz w:val="22"/>
          <w:szCs w:val="22"/>
        </w:rPr>
        <w:t xml:space="preserve">FORM OF RESTATED CERTIFICATE</w:t>
      </w:r>
    </w:p>
    <w:p>
      <w:pPr>
        <w:spacing w:after="200"/>
        <w:jc w:val="center"/>
      </w:pPr>
      <w:r>
        <w:rPr>
          <w:rFonts w:ascii="Calibri" w:cs="Calibri" w:eastAsia="Calibri" w:hAnsi="Calibri"/>
          <w:b w:val="false"/>
          <w:bCs w:val="false"/>
          <w:i w:val="false"/>
          <w:iCs w:val="false"/>
          <w:caps w:val="false"/>
          <w:sz w:val="22"/>
          <w:szCs w:val="22"/>
        </w:rPr>
        <w:t xml:space="preserve">[Attach the Amended and Restated Certificate of Incorporation.]</w:t>
      </w:r>
    </w:p>
    <w:p>
      <w:pPr>
        <w:sectPr>
          <w:footerReference w:type="default" r:id="rId11"/>
          <w:type w:val="nextPage"/>
          <w:pgSz w:w="12240" w:h="15840" w:orient="portrait"/>
          <w:pgMar w:top="1440" w:right="1440" w:bottom="1440" w:left="1440" w:header="708" w:footer="708" w:gutter="0"/>
          <w:pgNumType/>
          <w:docGrid w:linePitch="360"/>
        </w:sectPr>
      </w:pPr>
    </w:p>
    <w:p>
      <w:pPr>
        <w:spacing w:after="0" w:before="0"/>
        <w:jc w:val="center"/>
      </w:pPr>
      <w:r>
        <w:rPr>
          <w:rFonts w:ascii="Calibri" w:cs="Calibri" w:eastAsia="Calibri" w:hAnsi="Calibri"/>
          <w:b/>
          <w:bCs/>
          <w:sz w:val="22"/>
          <w:szCs w:val="22"/>
        </w:rPr>
        <w:t xml:space="preserve">EXHIBIT C</w:t>
      </w:r>
    </w:p>
    <w:p>
      <w:pPr>
        <w:spacing w:after="360" w:before="0"/>
        <w:jc w:val="center"/>
      </w:pPr>
      <w:r>
        <w:rPr>
          <w:rFonts w:ascii="Calibri" w:cs="Calibri" w:eastAsia="Calibri" w:hAnsi="Calibri"/>
          <w:b/>
          <w:bCs/>
          <w:sz w:val="22"/>
          <w:szCs w:val="22"/>
        </w:rPr>
        <w:t xml:space="preserve">DISCLOSURE SCHEDULE</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This Disclosure Schedule is delivered by the Company under the Series Seed Preferred Stock Investment Agreement (the “</w:t>
      </w:r>
      <w:r>
        <w:rPr>
          <w:rFonts w:ascii="Calibri" w:cs="Calibri" w:eastAsia="Calibri" w:hAnsi="Calibri"/>
          <w:b/>
          <w:bCs/>
          <w:i w:val="false"/>
          <w:iCs w:val="false"/>
          <w:caps w:val="false"/>
          <w:sz w:val="22"/>
          <w:szCs w:val="22"/>
        </w:rPr>
        <w:t xml:space="preserve">Agreement</w:t>
      </w:r>
      <w:r>
        <w:rPr>
          <w:rFonts w:ascii="Calibri" w:cs="Calibri" w:eastAsia="Calibri" w:hAnsi="Calibri"/>
          <w:b w:val="false"/>
          <w:bCs w:val="false"/>
          <w:i w:val="false"/>
          <w:iCs w:val="false"/>
          <w:caps w:val="false"/>
          <w:sz w:val="22"/>
          <w:szCs w:val="22"/>
        </w:rPr>
        <w:t xml:space="preserve">”). It is arranged in sections corresponding to the numbered sections of Article 3 of the Agreement, and a disclosure in any section qualifies the other sections of Article 3 to the extent it is reasonably apparent from the face of the disclosure that it applies to them. The inclusion of any item in this Disclosure Schedule is not an admission that the item is material or that it is outside the ordinary course of business. Capitalized terms used but not defined in this Disclosure Schedule have the meanings given in the Agreement.</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If no disclosure appears below, the Company is making the representations and warranties in Article 3 without exception.</w:t>
      </w:r>
      <w:r>
        <w:rPr>
          <w:rStyle w:val="FootnoteReference"/>
        </w:rPr>
        <w:footnoteReference w:id="15"/>
      </w:r>
    </w:p>
    <w:p>
      <w:pPr>
        <w:keepNext/>
        <w:spacing w:after="200" w:before="120"/>
      </w:pPr>
      <w:r>
        <w:rPr>
          <w:rFonts w:ascii="Calibri" w:cs="Calibri" w:eastAsia="Calibri" w:hAnsi="Calibri"/>
          <w:b/>
          <w:bCs/>
          <w:sz w:val="22"/>
          <w:szCs w:val="22"/>
        </w:rPr>
        <w:t xml:space="preserve">Section 3.2(d) (Key Holder Shares and Vesting)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00"/>
        <w:gridCol w:w="1500"/>
        <w:gridCol w:w="1200"/>
        <w:gridCol w:w="1760"/>
      </w:tblGrid>
      <w:tr>
        <w:trPr>
          <w:cantSplit/>
          <w:tblHeader/>
        </w:trPr>
        <w:tc>
          <w:tcPr>
            <w:tcW w:type="dxa" w:w="20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Key Holder</w:t>
            </w:r>
          </w:p>
        </w:tc>
        <w:tc>
          <w:tcPr>
            <w:tcW w:type="dxa" w:w="12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Shares</w:t>
            </w:r>
          </w:p>
        </w:tc>
        <w:tc>
          <w:tcPr>
            <w:tcW w:type="dxa" w:w="17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Vesting commencement date</w:t>
            </w:r>
          </w:p>
        </w:tc>
        <w:tc>
          <w:tcPr>
            <w:tcW w:type="dxa" w:w="15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Vested as of Agreement Date</w:t>
            </w:r>
          </w:p>
        </w:tc>
        <w:tc>
          <w:tcPr>
            <w:tcW w:type="dxa" w:w="120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Unvested</w:t>
            </w:r>
          </w:p>
        </w:tc>
        <w:tc>
          <w:tcPr>
            <w:tcW w:type="dxa" w:w="1760"/>
            <w:shd w:fill="E7E6E6" w:color="auto" w:val="clear"/>
            <w:tcMar>
              <w:top w:type="dxa" w:w="60"/>
              <w:left w:type="dxa" w:w="100"/>
              <w:bottom w:type="dxa" w:w="60"/>
              <w:right w:type="dxa" w:w="100"/>
            </w:tcMar>
          </w:tcPr>
          <w:p>
            <w:pPr>
              <w:spacing w:after="0" w:before="0"/>
            </w:pPr>
            <w:r>
              <w:rPr>
                <w:rFonts w:ascii="Calibri" w:cs="Calibri" w:eastAsia="Calibri" w:hAnsi="Calibri"/>
                <w:b/>
                <w:bCs/>
                <w:i w:val="false"/>
                <w:iCs w:val="false"/>
                <w:caps w:val="false"/>
                <w:sz w:val="18"/>
                <w:szCs w:val="18"/>
              </w:rPr>
              <w:t xml:space="preserve">Acceleration terms</w:t>
            </w:r>
          </w:p>
        </w:tc>
      </w:tr>
    </w:tbl>
    <w:p>
      <w:pPr>
        <w:spacing w:after="0"/>
      </w:pPr>
    </w:p>
    <w:p>
      <w:pPr>
        <w:keepNext/>
        <w:spacing w:after="200" w:before="120"/>
      </w:pPr>
      <w:r>
        <w:rPr>
          <w:rFonts w:ascii="Calibri" w:cs="Calibri" w:eastAsia="Calibri" w:hAnsi="Calibri"/>
          <w:b/>
          <w:bCs/>
          <w:sz w:val="22"/>
          <w:szCs w:val="22"/>
        </w:rPr>
        <w:t xml:space="preserve">Section 3.2 (Capitalization)</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[Optional: attach the post-closing capitalization table showing outstanding Common Stock, Preferred Stock by series, outstanding options, the unallocated Stock Plan reserve, and any warrants or other rights.]</w:t>
      </w:r>
    </w:p>
    <w:p>
      <w:pPr>
        <w:keepNext/>
        <w:spacing w:after="200" w:before="120"/>
      </w:pPr>
      <w:r>
        <w:rPr>
          <w:rFonts w:ascii="Calibri" w:cs="Calibri" w:eastAsia="Calibri" w:hAnsi="Calibri"/>
          <w:b/>
          <w:bCs/>
          <w:sz w:val="22"/>
          <w:szCs w:val="22"/>
        </w:rPr>
        <w:t xml:space="preserve">Section [___] ([Heading])</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[Disclosure.]</w:t>
      </w:r>
    </w:p>
    <w:p>
      <w:pPr>
        <w:sectPr>
          <w:footerReference w:type="default" r:id="rId12"/>
          <w:type w:val="nextPage"/>
          <w:pgSz w:w="12240" w:h="15840" w:orient="portrait"/>
          <w:pgMar w:top="1440" w:right="1440" w:bottom="1440" w:left="1440" w:header="708" w:footer="708" w:gutter="0"/>
          <w:pgNumType/>
          <w:docGrid w:linePitch="360"/>
        </w:sectPr>
      </w:pPr>
    </w:p>
    <w:p>
      <w:pPr>
        <w:spacing w:after="0" w:before="0"/>
        <w:jc w:val="center"/>
      </w:pPr>
      <w:r>
        <w:rPr>
          <w:rFonts w:ascii="Calibri" w:cs="Calibri" w:eastAsia="Calibri" w:hAnsi="Calibri"/>
          <w:b/>
          <w:bCs/>
          <w:sz w:val="22"/>
          <w:szCs w:val="22"/>
        </w:rPr>
        <w:t xml:space="preserve">EXHIBIT D</w:t>
      </w:r>
    </w:p>
    <w:p>
      <w:pPr>
        <w:spacing w:after="360" w:before="0"/>
        <w:jc w:val="center"/>
      </w:pPr>
      <w:r>
        <w:rPr>
          <w:rFonts w:ascii="Calibri" w:cs="Calibri" w:eastAsia="Calibri" w:hAnsi="Calibri"/>
          <w:b/>
          <w:bCs/>
          <w:sz w:val="22"/>
          <w:szCs w:val="22"/>
        </w:rPr>
        <w:t xml:space="preserve">SPOUSAL CONSENT</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I am the spouse of the Key Holder named below. I have read the Series Seed Preferred Stock Investment Agreement (the “</w:t>
      </w:r>
      <w:r>
        <w:rPr>
          <w:rFonts w:ascii="Calibri" w:cs="Calibri" w:eastAsia="Calibri" w:hAnsi="Calibri"/>
          <w:b/>
          <w:bCs/>
          <w:i w:val="false"/>
          <w:iCs w:val="false"/>
          <w:caps w:val="false"/>
          <w:sz w:val="22"/>
          <w:szCs w:val="22"/>
        </w:rPr>
        <w:t xml:space="preserve">Agreement</w:t>
      </w:r>
      <w:r>
        <w:rPr>
          <w:rFonts w:ascii="Calibri" w:cs="Calibri" w:eastAsia="Calibri" w:hAnsi="Calibri"/>
          <w:b w:val="false"/>
          <w:bCs w:val="false"/>
          <w:i w:val="false"/>
          <w:iCs w:val="false"/>
          <w:caps w:val="false"/>
          <w:sz w:val="22"/>
          <w:szCs w:val="22"/>
        </w:rPr>
        <w:t xml:space="preserve">”) to which this consent is attached, and I understand that it contains a right of first refusal, a drag-along obligation, voting obligations and other restrictions that apply to shares of capital stock of the Company held by my spouse, including any community property or other interest I may have in those shares. I consent to the Agreement and agree that my interest, if any, in those shares is bound by it and that I will take no action to hinder its operation. I agree that my spouse may act alone with respect to those shares under the Agreement, and I appoint my spouse as my attorney-in-fact with respect to any amendment, waiver or exercise of rights under the Agreement. I have had the opportunity to consult with independent counsel.</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______________________________</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[Spouse Name]</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Date:</w:t>
      </w:r>
    </w:p>
    <w:p>
      <w:pPr>
        <w:keepNext w:val="false"/>
        <w:spacing w:after="200" w:before="0"/>
        <w:ind w:firstLine="720"/>
        <w:jc w:val="left"/>
      </w:pPr>
      <w:r>
        <w:rPr>
          <w:rFonts w:ascii="Calibri" w:cs="Calibri" w:eastAsia="Calibri" w:hAnsi="Calibri"/>
          <w:b w:val="false"/>
          <w:bCs w:val="false"/>
          <w:i w:val="false"/>
          <w:iCs w:val="false"/>
          <w:caps w:val="false"/>
          <w:sz w:val="22"/>
          <w:szCs w:val="22"/>
        </w:rPr>
        <w:t xml:space="preserve">Key Holder: [Key Holder Name]</w:t>
      </w:r>
    </w:p>
    <w:sectPr>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w:t>
    </w:r>
    <w:r>
      <w:rPr>
        <w:rFonts w:ascii="Calibri" w:cs="Calibri" w:eastAsia="Calibri" w:hAnsi="Calibri"/>
        <w:i/>
        <w:iCs/>
        <w:sz w:val="22"/>
        <w:szCs w:val="22"/>
      </w:rPr>
      <w:t xml:space="preserve">Signature page to Series Seed Preferred Stock Investment Agreement</w:t>
    </w:r>
    <w:r>
      <w:rPr>
        <w:rFonts w:ascii="Calibri" w:cs="Calibri" w:eastAsia="Calibri" w:hAnsi="Calibri"/>
        <w:sz w:val="22"/>
        <w:szCs w:val="22"/>
      </w:rPr>
      <w:t xml:space="preserve">]</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Drafting note: This Agreement combines, in one document, the functions of the four NVCA model agreements, in the NVCA order: Articles 2 through 4 and 8 correspond to the Stock Purchase Agreement; Article 5 to the Investors’ Rights Agreement; Article 6 to the Right of First Refusal and Co-Sale Agreement (without a co-sale right); and Article 7 to the Voting Agreement. Section 5.5 provides for the transition to a full NVCA suite in the next financing. Every deal-specific term is in the Deal Terms table in Section 1.1, on Exhibit A, or in the Disclosure Schedule, so that the body of the Agreement need not be edited. Drafting notes are for the users of this form and should be deleted before the Agreement is signed.</w:t>
      </w:r>
    </w:p>
  </w:footnote>
  <w:footnote w:id="2">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Fill in the Deal Terms from the Term Sheet. Three numbers must match other documents exactly: the Purchase Price must equal the Original Issue Price in the Restated Certificate; the Board Composition counts must match the director counts in Section 3.2(a) of Part B of Article Fourth of the Restated Certificate and the Board size in the Bylaws; and, if Convertible Securities convert into Series Seed-1 Preferred Stock, their conversion price must equal the Series Seed-1 Original Issue Price in the Restated Certificate. If the Company’s option pool is being increased in connection with the financing, state the post-increase numbers for the Stock Plan.</w:t>
      </w:r>
    </w:p>
  </w:footnote>
  <w:footnote w:id="3">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A management rights letter gives a fund the contractual management rights that are one element of qualifying as a “venture capital operating company” under the ERISA plan asset regulations; whether a fund qualifies depends on its own circumstances. Include the bracketed sentence if any Major Purchaser is a fund that requests one; otherwise delete it.</w:t>
      </w:r>
    </w:p>
  </w:footnote>
  <w:footnote w:id="4">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If no SAFEs or convertible notes are converting at the Initial Closing, state “None” in the Convertible Securities row of the Deal Terms and leave the rest of the Agreement as is; Section 2.6, the bracket in Section 2.2, the references in Sections 2.5, 3.2(c), 3.11 and 3.12, and the Convertible Securities columns on Exhibit A then have no effect and may be deleted or left in place. Each holder of a Convertible Security should sign this Agreement as a Purchaser even if it is not investing new cash. If a Convertible Security converts at a price below the Purchase Price, use the Series Seed-1 Preferred Stock alternative in the Restated Certificate, which gives those shares a liquidation preference equal to the price actually paid.</w:t>
      </w:r>
    </w:p>
  </w:footnote>
  <w:footnote w:id="5">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representations are deliberately shorter than the NVCA model’s. They cover the matters that surface real diligence issues at the seed stage (capitalization, intellectual property, employee assignments, material agreements, undisclosed liabilities, taxes, sanctions, bad-actor status and QSBS eligibility), and omit matters that rarely do.</w:t>
      </w:r>
    </w:p>
  </w:footnote>
  <w:footnote w:id="6">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NVCA model’s CFIUS, Outbound Investment Security Program and Data Security Program representations are deliberately omitted; they rarely surface anything at the seed stage. A Purchaser that is a “foreign person” under the DPA discloses that status on Exhibit A (see Section 4.8), and if such a Purchaser will hold a board seat, observer right or access to material nonpublic technical information, consult counsel about whether a CFIUS filing is required.</w:t>
      </w:r>
    </w:p>
  </w:footnote>
  <w:footnote w:id="7">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For stock issued after July 4, 2025, Section 1202 of the Code excludes 50%, 75% or 100% of the gain on qualified small business stock held for three, four or five years, respectively, subject to a per-issuer cap and a $75,000,000 gross assets test (indexed for inflation after 2026). Investors who care about Section 1202 treatment should confirm the Company’s eligibility independently.</w:t>
      </w:r>
    </w:p>
  </w:footnote>
  <w:footnote w:id="8">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CFIUS “foreign person” status is reported on Exhibit A rather than represented, so that a foreign investor can participate in the financing without editing the body of this Agreement. If a foreign person will hold a board seat, observer right or access to material nonpublic technical information, consult counsel about whether a CFIUS filing is required.</w:t>
      </w:r>
    </w:p>
  </w:footnote>
  <w:footnote w:id="9">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Information rights are limited to Major Purchasers, as in the NVCA model. The NVCA model also includes a waiver by the investors of their statutory inspection rights under Section 220 of the Delaware General Corporation Law; this form omits the waiver.</w:t>
      </w:r>
    </w:p>
  </w:footnote>
  <w:footnote w:id="10">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 5.4 is the NVCA model’s right of first offer, condensed. It is limited to Major Purchasers and carries the overallotment right in Section 5.4(c). Sections 5.4(e) and 5.4(f) are optional alternatives; keep one or neither. Alternative 1 is a pay-to-play provision that reaches only the participation right: a Major Purchaser that does not buy its required share of a Qualified Financing loses the right for later rounds, including any participation right that Section 5.5 would otherwise carry into the next round’s documents, and keeps everything else. It is narrower than the NVCA model charter’s Special Mandatory Conversion, which converts some or all of a holder’s Preferred Stock to Common Stock if the holder does not buy its full pro rata amount; that is a feature of the stock, belongs in the charter, and is left out of this form. Because the Qualified Financing will usually be the Next Financing, the forfeiture matters mainly for what the next round’s documents give the holder, and the next-round investors remain free to grant a participation right on their own terms. If Alternative 1 is used, choose the full-share or percentage trigger and match it in the Term Sheet, decide whether a round led by existing holders counts, and fill in the Qualified Financing Threshold in Section 1.1; if it is not used, delete it and the Qualified Financing Threshold row. Alternative 2 follows the one-round pattern of the Y Combinator pro rata side letter: the right covers every issuance through the next preferred stock financing and ends there, and later participation rights are whatever the next round’s documents provide. Without either alternative, the right continues until this Agreement terminates under Section 5.5(f), and Section 5.5(b) and (c) carry a participation right into the next round. Section 8.9(b) lets the Requisite Purchasers waive Section 5.4 for a particular round if every Major Purchaser is offered the same proportion of its share as any other Major Purchaser buys.</w:t>
      </w:r>
    </w:p>
  </w:footnote>
  <w:footnote w:id="11">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 5.5 is written to be self-executing at the next financing: rights that the next-round documents give to every investor flow to the Series Seed holders; rights that depend on a threshold flow to them only if they meet the threshold, counting their Series Seed shares; and nothing negotiated by name or by side letter, and none of the new series’ economic terms, flows to them. The former Series Seed language under which every Major Purchaser automatically remained a “Major Investor” in the next round has been removed.</w:t>
      </w:r>
    </w:p>
  </w:footnote>
  <w:footnote w:id="12">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 6.2 replaces the Series Seed approach under which the Company agreed to “obtain and maintain” a right of first refusal elsewhere. The right is now stated in this Agreement in the NVCA form, with the Company first and the Major Purchasers second. A co-sale right is intentionally omitted; Section 5.5(b) carries one to the Series Seed holders if the next-round investors receive it.</w:t>
      </w:r>
    </w:p>
  </w:footnote>
  <w:footnote w:id="13">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Sections 7.5 and 7.6 are the NVCA model’s drag-along, condensed. Because the Board is one of the approving parties, counsel should be mindful of the fiduciary considerations discussed in In re Trados Inc. Shareholder Litigation (Del. Ch. 2013).</w:t>
      </w:r>
    </w:p>
  </w:footnote>
  <w:footnote w:id="14">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Complete one row per Purchaser at each Closing, or one row per Convertible Security if a Purchaser holds more than one Convertible Security converting at different prices. If a Purchaser is both converting a Convertible Security and investing cash, use one row. Identify the series (Series Seed or Series Seed-1) of each block of shares if more than one series is issued. A Purchaser that is a “foreign person” under the DPA should indicate that in the column provided. The Initial Board Designees table identifies the individuals designated to each Board seat at the Initial Closing.</w:t>
      </w:r>
    </w:p>
  </w:footnote>
  <w:footnote w:id="15">
    <w:p>
      <w:pPr>
        <w:spacing w:after="0"/>
      </w:pPr>
      <w:r>
        <w:rPr>
          <w:rStyle w:val="FootnoteReference"/>
        </w:rPr>
        <w:footnoteRef/>
      </w:r>
      <w:r>
        <w:rPr>
          <w:rFonts w:ascii="Calibri" w:cs="Calibri" w:eastAsia="Calibri" w:hAnsi="Calibri"/>
          <w:b w:val="false"/>
          <w:bCs w:val="false"/>
          <w:i w:val="false"/>
          <w:iCs w:val="false"/>
          <w:caps w:val="false"/>
          <w:sz w:val="20"/>
          <w:szCs w:val="20"/>
        </w:rPr>
        <w:t xml:space="preserve">The Disclosure Schedule is the Company’s opportunity to qualify the representations in Article 3. Common seed-stage disclosures are departed founders holding equity, open-source dependencies and third-party licenses (Section 3.7), service providers who have not signed invention assignment agreements (Section 3.8), and contracts above the $50,000 threshold (Section 3.11). A section with nothing to disclose may be omitted.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Seed Preferred Stock Investment Agreement</dc:title>
  <dc:creator>Series Sane</dc:creator>
  <dc:description>Series Sane open-source seed financing documents</dc:description>
  <cp:lastModifiedBy>Un-named</cp:lastModifiedBy>
  <cp:revision>1</cp:revision>
  <dcterms:created xsi:type="dcterms:W3CDTF">2026-10-11T23:41:02.659Z</dcterms:created>
  <dcterms:modified xsi:type="dcterms:W3CDTF">2026-10-11T23:41:02.662Z</dcterms:modified>
</cp:coreProperties>
</file>

<file path=docProps/custom.xml><?xml version="1.0" encoding="utf-8"?>
<Properties xmlns="http://schemas.openxmlformats.org/officeDocument/2006/custom-properties" xmlns:vt="http://schemas.openxmlformats.org/officeDocument/2006/docPropsVTypes"/>
</file>