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8A50A" w14:textId="77777777" w:rsidR="00241E38" w:rsidRPr="00830F2F" w:rsidRDefault="00000000" w:rsidP="00830F2F">
      <w:pPr>
        <w:spacing w:after="360" w:line="276" w:lineRule="auto"/>
        <w:jc w:val="center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SERIES SEED VARIABLE REFERENCE MAP</w:t>
      </w:r>
    </w:p>
    <w:p w14:paraId="29CB3833" w14:textId="77777777" w:rsidR="00241E38" w:rsidRPr="00830F2F" w:rsidRDefault="00000000">
      <w:pPr>
        <w:spacing w:after="10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Document Key: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 TS = Term </w:t>
      </w:r>
      <w:proofErr w:type="gramStart"/>
      <w:r w:rsidRPr="00830F2F">
        <w:rPr>
          <w:rFonts w:ascii="Calibri" w:eastAsia="Calibri" w:hAnsi="Calibri" w:cs="Calibri"/>
          <w:color w:val="000000"/>
          <w:sz w:val="22"/>
          <w:szCs w:val="22"/>
        </w:rPr>
        <w:t>Sheet  |</w:t>
      </w:r>
      <w:proofErr w:type="gramEnd"/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 IA = Investment </w:t>
      </w:r>
      <w:proofErr w:type="gramStart"/>
      <w:r w:rsidRPr="00830F2F">
        <w:rPr>
          <w:rFonts w:ascii="Calibri" w:eastAsia="Calibri" w:hAnsi="Calibri" w:cs="Calibri"/>
          <w:color w:val="000000"/>
          <w:sz w:val="22"/>
          <w:szCs w:val="22"/>
        </w:rPr>
        <w:t>Agreement  |</w:t>
      </w:r>
      <w:proofErr w:type="gramEnd"/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 Cert = Certificate of Incorporation</w:t>
      </w:r>
    </w:p>
    <w:p w14:paraId="7437D4F1" w14:textId="77777777" w:rsidR="00241E38" w:rsidRPr="00830F2F" w:rsidRDefault="00000000">
      <w:pPr>
        <w:spacing w:after="20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color w:val="000000"/>
          <w:sz w:val="22"/>
          <w:szCs w:val="22"/>
        </w:rPr>
        <w:t>All variables marked with an asterisk (*) have cross-document dependencies that must be reconciled.</w:t>
      </w:r>
    </w:p>
    <w:p w14:paraId="1CF10848" w14:textId="77777777" w:rsidR="00241E38" w:rsidRPr="00830F2F" w:rsidRDefault="00000000">
      <w:pPr>
        <w:spacing w:before="240" w:after="12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1.  COMPANY INFORMATION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800"/>
        <w:gridCol w:w="1440"/>
        <w:gridCol w:w="4000"/>
      </w:tblGrid>
      <w:tr w:rsidR="00241E38" w:rsidRPr="00830F2F" w14:paraId="0E5FEB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766D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Variable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90C77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Doc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40915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Section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13CB0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Operative Use</w:t>
            </w:r>
          </w:p>
        </w:tc>
      </w:tr>
      <w:tr w:rsidR="00241E38" w:rsidRPr="00830F2F" w14:paraId="33D5EC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E8327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Company Name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E5978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IA, 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F3507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Header; IA Preamble; Cert Art 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2BC1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Legal entity identification; all signature blocks; filing name</w:t>
            </w:r>
          </w:p>
        </w:tc>
      </w:tr>
      <w:tr w:rsidR="00241E38" w:rsidRPr="00830F2F" w14:paraId="1AD24A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DA506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State of Incorporation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4A7ED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F0E3A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Header; IA Exh A §1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99C6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Governs corporate </w:t>
            </w:r>
            <w:proofErr w:type="gramStart"/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law;</w:t>
            </w:r>
            <w:proofErr w:type="gramEnd"/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filing jurisdiction</w:t>
            </w:r>
          </w:p>
        </w:tc>
      </w:tr>
      <w:tr w:rsidR="00241E38" w:rsidRPr="00830F2F" w14:paraId="4EE2F2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D62F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Registered Office Address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1A36D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B65D7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2BD6F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Delaware statutory compliance; service of process</w:t>
            </w:r>
          </w:p>
        </w:tc>
      </w:tr>
      <w:tr w:rsidR="00241E38" w:rsidRPr="00830F2F" w14:paraId="54CD95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74CC1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Registered Office City/County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61001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60D00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1A6CD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Delaware filing requirement</w:t>
            </w:r>
          </w:p>
        </w:tc>
      </w:tr>
      <w:tr w:rsidR="00241E38" w:rsidRPr="00830F2F" w14:paraId="27485D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FD4C3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Registered Agent Name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1866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6E5F6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4EFCE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Service of process recipient</w:t>
            </w:r>
          </w:p>
        </w:tc>
      </w:tr>
      <w:tr w:rsidR="00241E38" w:rsidRPr="00830F2F" w14:paraId="755FBE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4019B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Governing Law State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281C7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D99D0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B246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Controls contractual interpretation (Exh B §8.2)</w:t>
            </w:r>
          </w:p>
        </w:tc>
      </w:tr>
      <w:tr w:rsidR="00241E38" w:rsidRPr="00830F2F" w14:paraId="4E6F3F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2CAFE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Dispute Resolution Forum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57CC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71816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7DA6A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Exclusive jurisdiction for disputes (Exh B §8.2)</w:t>
            </w:r>
          </w:p>
        </w:tc>
      </w:tr>
      <w:tr w:rsidR="00241E38" w:rsidRPr="00830F2F" w14:paraId="621AF5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F2E4F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Stock Plan Name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6E17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3CD1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1F12A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Equity incentive vehicle reference (§2.2.1, 4.5)</w:t>
            </w:r>
          </w:p>
        </w:tc>
      </w:tr>
    </w:tbl>
    <w:p w14:paraId="3F3699AF" w14:textId="77777777" w:rsidR="00241E38" w:rsidRPr="00830F2F" w:rsidRDefault="00000000">
      <w:pPr>
        <w:spacing w:before="240" w:after="12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2.  DEAL ECONOMICS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800"/>
        <w:gridCol w:w="1440"/>
        <w:gridCol w:w="4000"/>
      </w:tblGrid>
      <w:tr w:rsidR="00241E38" w:rsidRPr="00830F2F" w14:paraId="157B1C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2926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Variable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A6A23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Doc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A96E3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Section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73A0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Operative Use</w:t>
            </w:r>
          </w:p>
        </w:tc>
      </w:tr>
      <w:tr w:rsidR="00241E38" w:rsidRPr="00830F2F" w14:paraId="0CFAAC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0AE0A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Price Per Share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58ED3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IA, 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01CB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Offering; IA Exh A §3; Cert Art III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AA3687" w14:textId="0A563704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Core economic term; IA </w:t>
            </w:r>
            <w:r w:rsid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“</w:t>
            </w: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Purchase Price</w:t>
            </w:r>
            <w:r w:rsid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”</w:t>
            </w: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= Cert </w:t>
            </w:r>
            <w:r w:rsid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“</w:t>
            </w: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Original Issue Price</w:t>
            </w:r>
            <w:r w:rsid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”</w:t>
            </w: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; drives conversion ratio (Cert §3.1.1), liquidation preference (Cert §1.1)</w:t>
            </w:r>
          </w:p>
        </w:tc>
      </w:tr>
      <w:tr w:rsidR="00241E38" w:rsidRPr="00830F2F" w14:paraId="7B45D6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BEC48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Pre-Money Valuation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5856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5B492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Offering Terms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13739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Determines Price Per Share; establishes company value</w:t>
            </w:r>
          </w:p>
        </w:tc>
      </w:tr>
      <w:tr w:rsidR="00241E38" w:rsidRPr="00830F2F" w14:paraId="3FBA7B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55D39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Aggregate Proceeds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A2674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60BD1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Offering Terms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434BA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Total raise amount; corresponds to IA Total Series Seed Investment Amount</w:t>
            </w:r>
          </w:p>
        </w:tc>
      </w:tr>
      <w:tr w:rsidR="00241E38" w:rsidRPr="00830F2F" w14:paraId="0B19CC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2450F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Total Series Seed Investment Amount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429F9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F0725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§3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5F465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Caps total issuable shares (§1.2.2); must equal TS Aggregate Proceeds</w:t>
            </w:r>
          </w:p>
        </w:tc>
      </w:tr>
      <w:tr w:rsidR="00241E38" w:rsidRPr="00830F2F" w14:paraId="6EDE33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239C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Major Purchaser Dollar Threshold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2F0B9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DB7AC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Financial Info; IA Exh A §3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026B6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Triggers info rights (§4.1), inspection (§4.1.3), participation (§6.1), MFN carry-forward (§4.2)</w:t>
            </w:r>
          </w:p>
        </w:tc>
      </w:tr>
      <w:tr w:rsidR="00241E38" w:rsidRPr="00830F2F" w14:paraId="14A52A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69442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Purchaser Counsel Reimbursement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6889F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81EE5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Expenses; IA Exh A §3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0A9F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Company reimbursement obligation (§8.7)</w:t>
            </w:r>
          </w:p>
        </w:tc>
      </w:tr>
      <w:tr w:rsidR="00241E38" w:rsidRPr="00830F2F" w14:paraId="12A57A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6E357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Option Pool Percent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054FF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D8E89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Offering; IA Exh A §3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5F64A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Sizing of unallocated option pool; must reconcile with share counts below</w:t>
            </w:r>
          </w:p>
        </w:tc>
      </w:tr>
    </w:tbl>
    <w:p w14:paraId="715EC359" w14:textId="77777777" w:rsidR="00241E38" w:rsidRPr="00830F2F" w:rsidRDefault="00000000">
      <w:pPr>
        <w:spacing w:before="240" w:after="12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3.  BOARD COMPOSITION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800"/>
        <w:gridCol w:w="1440"/>
        <w:gridCol w:w="4000"/>
      </w:tblGrid>
      <w:tr w:rsidR="00241E38" w:rsidRPr="00830F2F" w14:paraId="43B24F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7926C1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Variable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D08E1B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Doc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8936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Section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6B97F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Operative Use</w:t>
            </w:r>
          </w:p>
        </w:tc>
      </w:tr>
      <w:tr w:rsidR="00241E38" w:rsidRPr="00830F2F" w14:paraId="6E93AC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2A61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Common Board Member Count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CBBB3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IA, 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D92F0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Board; IA Exh A §2; Cert Art III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DEC6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Directors elected by Common holders; must match across all three docs</w:t>
            </w:r>
          </w:p>
        </w:tc>
      </w:tr>
      <w:tr w:rsidR="00241E38" w:rsidRPr="00830F2F" w14:paraId="549428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325B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Series Seed Board Member Count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DB777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IA, 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1CAD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Board; IA Exh A §2; Cert Art III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095E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Directors elected by Series Seed holders; must match across all three docs</w:t>
            </w:r>
          </w:p>
        </w:tc>
      </w:tr>
      <w:tr w:rsidR="00241E38" w:rsidRPr="00830F2F" w14:paraId="2834D0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D304B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Mutual Consent Board Member Count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6A000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IA, 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901B4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Board; IA Exh A §2; Cert Art III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7373F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Directors elected by mutual vote; must match across all three docs</w:t>
            </w:r>
          </w:p>
        </w:tc>
      </w:tr>
      <w:tr w:rsidR="00241E38" w:rsidRPr="00830F2F" w14:paraId="771135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347AA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Common Control Holders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52C53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4B9A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§2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3414D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Key Holders providing services; determines Common board voting power (§7.1)</w:t>
            </w:r>
          </w:p>
        </w:tc>
      </w:tr>
    </w:tbl>
    <w:p w14:paraId="6A311552" w14:textId="77777777" w:rsidR="00241E38" w:rsidRPr="00830F2F" w:rsidRDefault="00000000">
      <w:pPr>
        <w:spacing w:before="240" w:after="12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4.  CAP TABLE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800"/>
        <w:gridCol w:w="1440"/>
        <w:gridCol w:w="4000"/>
      </w:tblGrid>
      <w:tr w:rsidR="00241E38" w:rsidRPr="00830F2F" w14:paraId="5A15D0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0BEA3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Variable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6253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Doc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6F716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Section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5E209B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Operative Use</w:t>
            </w:r>
          </w:p>
        </w:tc>
      </w:tr>
      <w:tr w:rsidR="00241E38" w:rsidRPr="00830F2F" w14:paraId="595FA6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E2D6F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Authorized Common Shares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E29B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72EC6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V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E3271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Total Common authorized; must exceed issued + reserved</w:t>
            </w:r>
          </w:p>
        </w:tc>
      </w:tr>
      <w:tr w:rsidR="00241E38" w:rsidRPr="00830F2F" w14:paraId="7651A1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73F9E1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Authorized Preferred Shares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45FCB1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FBBE8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V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C8618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Total Preferred authorized; must cover Series Seed issuance</w:t>
            </w:r>
          </w:p>
        </w:tc>
      </w:tr>
      <w:tr w:rsidR="00241E38" w:rsidRPr="00830F2F" w14:paraId="057B9A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B62CD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Par Value (Common)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23C7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35B82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V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E7A39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Nominal per-share value; </w:t>
            </w:r>
            <w:proofErr w:type="gramStart"/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typically</w:t>
            </w:r>
            <w:proofErr w:type="gramEnd"/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$0.00001 or $0.0001</w:t>
            </w:r>
          </w:p>
        </w:tc>
      </w:tr>
      <w:tr w:rsidR="00241E38" w:rsidRPr="00830F2F" w14:paraId="4C1EE6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ED38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Par Value (Preferred)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66D7A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6B550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V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A95B4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Nominal per-share value; typically matches Common par</w:t>
            </w:r>
          </w:p>
        </w:tc>
      </w:tr>
      <w:tr w:rsidR="00241E38" w:rsidRPr="00830F2F" w14:paraId="265A02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8C929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Common Shares Outstanding Pre-Money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E09BE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A8A3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§4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2660B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Capitalization baseline; must reconcile with actual cap table</w:t>
            </w:r>
          </w:p>
        </w:tc>
      </w:tr>
      <w:tr w:rsidR="00241E38" w:rsidRPr="00830F2F" w14:paraId="66FAF0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BEE4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Total Post-Money Option Pool Shares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C0F4A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779DB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§4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EA3B8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Total reserved for equity incentives; must = Pre-Money Common x (Pool% / (100% - Pool%))</w:t>
            </w:r>
          </w:p>
        </w:tc>
      </w:tr>
      <w:tr w:rsidR="00241E38" w:rsidRPr="00830F2F" w14:paraId="55C181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00AF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Issued and Outstanding Options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E28C8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37456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§4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6F73F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Current option grants; subtracted from total pool to get unallocated</w:t>
            </w:r>
          </w:p>
        </w:tc>
      </w:tr>
      <w:tr w:rsidR="00241E38" w:rsidRPr="00830F2F" w14:paraId="18029D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8D699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Unallocated Post-Money Pool Shares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8894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7C80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Exh A §4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A0AC6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Available for future grants; = Total Pool - Outstanding Options</w:t>
            </w:r>
          </w:p>
        </w:tc>
      </w:tr>
    </w:tbl>
    <w:p w14:paraId="375D0B87" w14:textId="77777777" w:rsidR="00241E38" w:rsidRPr="00830F2F" w:rsidRDefault="00000000">
      <w:pPr>
        <w:spacing w:before="240" w:after="12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5.  KEY PARTIES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800"/>
        <w:gridCol w:w="1440"/>
        <w:gridCol w:w="4000"/>
      </w:tblGrid>
      <w:tr w:rsidR="00241E38" w:rsidRPr="00830F2F" w14:paraId="58EEDC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FF9B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Variable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6C63E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Doc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41A77B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Section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C2D841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Operative Use</w:t>
            </w:r>
          </w:p>
        </w:tc>
      </w:tr>
      <w:tr w:rsidR="00241E38" w:rsidRPr="00830F2F" w14:paraId="1ED678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8B1EE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Purchaser Names/Addresses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2CA36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5CEC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Schedule 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5AAE1D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Each investor; share allocation; payment amounts; signature pages</w:t>
            </w:r>
          </w:p>
        </w:tc>
      </w:tr>
      <w:tr w:rsidR="00241E38" w:rsidRPr="00830F2F" w14:paraId="13A3F8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CAA16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Key Holder Names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9E3D4B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A2100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Schedule 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ED09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Founders/employees subject to vesting (§2.2.3); drag-along (§5.3); voting (§7.1)</w:t>
            </w:r>
          </w:p>
        </w:tc>
      </w:tr>
      <w:tr w:rsidR="00241E38" w:rsidRPr="00830F2F" w14:paraId="48C63D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76DA0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Key Holder Share Counts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98372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7EA5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Schedule 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36076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Per-holder equity; vesting schedule basis</w:t>
            </w:r>
          </w:p>
        </w:tc>
      </w:tr>
      <w:tr w:rsidR="00241E38" w:rsidRPr="00830F2F" w14:paraId="32BB80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23DD9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Key Holder Vesting Start Date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BB2A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82990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Key Holder; IA Disclosure Sched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345C0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4-year vesting commencement; Double Trigger reference</w:t>
            </w:r>
          </w:p>
        </w:tc>
      </w:tr>
      <w:tr w:rsidR="00241E38" w:rsidRPr="00830F2F" w14:paraId="5A5B24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337C2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Officer Name/Title (Company)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2DBAE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IA, 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68239C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Signature blocks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ADC8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Corporate authorization; signing capacity</w:t>
            </w:r>
          </w:p>
        </w:tc>
      </w:tr>
      <w:tr w:rsidR="00241E38" w:rsidRPr="00830F2F" w14:paraId="299BE2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3125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Preferred Directors Count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33926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3A05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III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AA917B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Board Composition definition; must match Series Seed Board Member Count in IA</w:t>
            </w:r>
          </w:p>
        </w:tc>
      </w:tr>
      <w:tr w:rsidR="00241E38" w:rsidRPr="00830F2F" w14:paraId="1E4353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5847AE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Common Directors Count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2D86B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F5648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Art III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1E58D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Board Composition definition; must match Common Board Member Count in IA</w:t>
            </w:r>
          </w:p>
        </w:tc>
      </w:tr>
    </w:tbl>
    <w:p w14:paraId="17E81B97" w14:textId="77777777" w:rsidR="00241E38" w:rsidRPr="00830F2F" w:rsidRDefault="00000000">
      <w:pPr>
        <w:spacing w:before="240" w:after="12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6.  DATES AND DEADLINES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800"/>
        <w:gridCol w:w="1440"/>
        <w:gridCol w:w="4000"/>
      </w:tblGrid>
      <w:tr w:rsidR="00241E38" w:rsidRPr="00830F2F" w14:paraId="3CC998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77368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Variable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732471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Doc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49EFA0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Section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7A883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Operative Use</w:t>
            </w:r>
          </w:p>
        </w:tc>
      </w:tr>
      <w:tr w:rsidR="00241E38" w:rsidRPr="00830F2F" w14:paraId="338D47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968A3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Agreement Date *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60034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TS, IA, 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B1211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TS Header; IA Exh A §1; Cert sig page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A0C407" w14:textId="534CCA66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Reference point for all time-based provisions; representations made </w:t>
            </w:r>
            <w:r w:rsid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“</w:t>
            </w: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as of</w:t>
            </w:r>
            <w:r w:rsid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”</w:t>
            </w: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this date</w:t>
            </w:r>
          </w:p>
        </w:tc>
      </w:tr>
      <w:tr w:rsidR="00241E38" w:rsidRPr="00830F2F" w14:paraId="1BADF5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EB264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Closing Date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80486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42724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§1.2.1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25FED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When shares issue and consideration transfers</w:t>
            </w:r>
          </w:p>
        </w:tc>
      </w:tr>
      <w:tr w:rsidR="00241E38" w:rsidRPr="00830F2F" w14:paraId="7F6B91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A9DAC7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Original Incorporation Date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3AEBC5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Cert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73B88F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Cover page §1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7C378A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Corporate formation date; historical reference</w:t>
            </w:r>
          </w:p>
        </w:tc>
      </w:tr>
      <w:tr w:rsidR="00241E38" w:rsidRPr="00830F2F" w14:paraId="3B575B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A8C3E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Additional Closing Window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FDAC4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IA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288258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§1.2.2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1D4E72" w14:textId="77777777" w:rsidR="00241E38" w:rsidRPr="00830F2F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Fixed at 90 days from Initial </w:t>
            </w:r>
            <w:proofErr w:type="gramStart"/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Closing;</w:t>
            </w:r>
            <w:proofErr w:type="gramEnd"/>
            <w:r w:rsidRPr="00830F2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caps secondary closes</w:t>
            </w:r>
          </w:p>
        </w:tc>
      </w:tr>
    </w:tbl>
    <w:p w14:paraId="215E59E1" w14:textId="77777777" w:rsidR="00241E38" w:rsidRPr="00830F2F" w:rsidRDefault="00241E38">
      <w:pPr>
        <w:pageBreakBefore/>
        <w:rPr>
          <w:rFonts w:ascii="Calibri" w:hAnsi="Calibri" w:cs="Calibri"/>
          <w:sz w:val="22"/>
          <w:szCs w:val="22"/>
        </w:rPr>
      </w:pPr>
    </w:p>
    <w:p w14:paraId="3BAAC370" w14:textId="77777777" w:rsidR="00241E38" w:rsidRPr="00830F2F" w:rsidRDefault="00000000">
      <w:pPr>
        <w:spacing w:after="200" w:line="276" w:lineRule="auto"/>
        <w:jc w:val="center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CRITICAL CROSS-DOCUMENT DEPENDENCIES</w:t>
      </w:r>
    </w:p>
    <w:p w14:paraId="21186A18" w14:textId="77777777" w:rsidR="00241E38" w:rsidRPr="00830F2F" w:rsidRDefault="00000000">
      <w:pPr>
        <w:spacing w:after="4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1.  Price Per Share / Original Issue Price</w:t>
      </w:r>
    </w:p>
    <w:p w14:paraId="40AADC5B" w14:textId="2A994A0B" w:rsidR="00241E38" w:rsidRPr="00830F2F" w:rsidRDefault="00000000">
      <w:pPr>
        <w:spacing w:after="16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The Term Sheet 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“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>Price Per Share,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”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the Investment Agreement 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“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>Purchase Price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”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(Exhibit A, Section 3), and the Certificate 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“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>Original Issue Price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”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(Article III) must be identical. This single number drives the conversion ratio (Certificate Section 3.1.1), liquidation preference (Certificate Section 1.1), and all cap table math.</w:t>
      </w:r>
    </w:p>
    <w:p w14:paraId="75D46D64" w14:textId="77777777" w:rsidR="00241E38" w:rsidRPr="00830F2F" w:rsidRDefault="00000000">
      <w:pPr>
        <w:spacing w:after="4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2.  Board Composition Counts</w:t>
      </w:r>
    </w:p>
    <w:p w14:paraId="71758977" w14:textId="77777777" w:rsidR="00241E38" w:rsidRPr="00830F2F" w:rsidRDefault="00000000">
      <w:pPr>
        <w:spacing w:after="16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The three director counts (Common, Series Seed, Mutual Consent) appear in the Term Sheet, Investment Agreement Exhibit </w:t>
      </w:r>
      <w:proofErr w:type="gramStart"/>
      <w:r w:rsidRPr="00830F2F">
        <w:rPr>
          <w:rFonts w:ascii="Calibri" w:eastAsia="Calibri" w:hAnsi="Calibri" w:cs="Calibri"/>
          <w:color w:val="000000"/>
          <w:sz w:val="22"/>
          <w:szCs w:val="22"/>
        </w:rPr>
        <w:t>A</w:t>
      </w:r>
      <w:proofErr w:type="gramEnd"/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Section 2, and Certificate Article III. All three documents must use the same numbers. The Certificate language implements the counts; the Investment Agreement Section 7.1 creates the voting obligations that enforce them.</w:t>
      </w:r>
    </w:p>
    <w:p w14:paraId="452788E6" w14:textId="77777777" w:rsidR="00241E38" w:rsidRPr="00830F2F" w:rsidRDefault="00000000">
      <w:pPr>
        <w:spacing w:after="4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3.  Cap Table Reconciliation</w:t>
      </w:r>
    </w:p>
    <w:p w14:paraId="18BBC456" w14:textId="77777777" w:rsidR="00241E38" w:rsidRPr="00830F2F" w:rsidRDefault="00000000">
      <w:pPr>
        <w:spacing w:after="16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The four cap table variables in Investment Agreement Exhibit </w:t>
      </w:r>
      <w:proofErr w:type="gramStart"/>
      <w:r w:rsidRPr="00830F2F">
        <w:rPr>
          <w:rFonts w:ascii="Calibri" w:eastAsia="Calibri" w:hAnsi="Calibri" w:cs="Calibri"/>
          <w:color w:val="000000"/>
          <w:sz w:val="22"/>
          <w:szCs w:val="22"/>
        </w:rPr>
        <w:t>A</w:t>
      </w:r>
      <w:proofErr w:type="gramEnd"/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Section 4 must reconcile mathematically: Common Shares Outstanding Pre-Money + Series Seed Shares (Total Investment / Purchase Price) + Total Option Pool = Fully Diluted Post-Money. The Unallocated Pool Percent in the Term Sheet must equal Unallocated Pool Shares / Fully Diluted Post-Money. The Certificate Authorized Shares (Article V) must exceed the sum of all issued and reserved shares.</w:t>
      </w:r>
    </w:p>
    <w:p w14:paraId="7667D67B" w14:textId="77777777" w:rsidR="00241E38" w:rsidRPr="00830F2F" w:rsidRDefault="00000000">
      <w:pPr>
        <w:spacing w:after="4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4.  Total Series Seed Investment Amount</w:t>
      </w:r>
    </w:p>
    <w:p w14:paraId="089C1237" w14:textId="77777777" w:rsidR="00241E38" w:rsidRPr="00830F2F" w:rsidRDefault="00000000">
      <w:pPr>
        <w:spacing w:after="16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color w:val="000000"/>
          <w:sz w:val="22"/>
          <w:szCs w:val="22"/>
        </w:rPr>
        <w:t>The Investment Agreement definition (Exhibit A, Section 3) must equal the Term Sheet Aggregate Proceeds. This amount caps the total shares issuable (Section 1.2.2: Total Shares Authorized for Sale = Total Amount / Purchase Price) and must equal the sum of all Purchaser investments listed on Schedule 1.</w:t>
      </w:r>
    </w:p>
    <w:p w14:paraId="66738040" w14:textId="77777777" w:rsidR="00241E38" w:rsidRPr="00830F2F" w:rsidRDefault="00000000">
      <w:pPr>
        <w:spacing w:after="4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5.  Major Purchaser Threshold</w:t>
      </w:r>
    </w:p>
    <w:p w14:paraId="780C00E5" w14:textId="24A5737E" w:rsidR="00241E38" w:rsidRPr="00830F2F" w:rsidRDefault="00000000">
      <w:pPr>
        <w:spacing w:after="16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The dollar threshold (Investment Agreement Exhibit A, Section 3) determines which Schedule 1 purchasers qualify as 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“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>Major Purchasers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”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entitled to information rights (Section 4.1), inspection rights (Section 4.1.3), participation rights (Section 6.1), and MFN carry-forward rights (Section 4.2). The same threshold appears in the Term Sheet Financial Information section. Set this relative to the Purchase Price so the intended investors qualify.</w:t>
      </w:r>
    </w:p>
    <w:p w14:paraId="7F8B55BC" w14:textId="77777777" w:rsidR="00241E38" w:rsidRPr="00830F2F" w:rsidRDefault="00000000">
      <w:pPr>
        <w:spacing w:after="4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6.  Restricted Person Definition</w:t>
      </w:r>
    </w:p>
    <w:p w14:paraId="1F6519F1" w14:textId="2DB3BCB9" w:rsidR="00241E38" w:rsidRPr="00830F2F" w:rsidRDefault="00000000">
      <w:pPr>
        <w:spacing w:after="16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The Certificate (Article III, Requisite Holders definition) excludes shares held by a 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“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>Restricted Person (as defined in the Investment Agreement).</w:t>
      </w:r>
      <w:r w:rsidR="00830F2F">
        <w:rPr>
          <w:rFonts w:ascii="Calibri" w:eastAsia="Calibri" w:hAnsi="Calibri" w:cs="Calibri"/>
          <w:color w:val="000000"/>
          <w:sz w:val="22"/>
          <w:szCs w:val="22"/>
        </w:rPr>
        <w:t>”</w:t>
      </w:r>
      <w:r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The Investment Agreement defines this term in Exhibit A, Section 1 as any person on the OFAC SDN list, subject to OFAC sanctions, or owned/controlled by such a person. These definitions must remain linked; if either is amended, the other must be updated to match.</w:t>
      </w:r>
    </w:p>
    <w:p w14:paraId="04A0E3C8" w14:textId="77777777" w:rsidR="00241E38" w:rsidRPr="00830F2F" w:rsidRDefault="00000000">
      <w:pPr>
        <w:spacing w:after="40" w:line="276" w:lineRule="auto"/>
        <w:rPr>
          <w:rFonts w:ascii="Calibri" w:hAnsi="Calibri" w:cs="Calibri"/>
          <w:sz w:val="22"/>
          <w:szCs w:val="22"/>
        </w:rPr>
      </w:pPr>
      <w:r w:rsidRPr="00830F2F">
        <w:rPr>
          <w:rFonts w:ascii="Calibri" w:eastAsia="Calibri" w:hAnsi="Calibri" w:cs="Calibri"/>
          <w:b/>
          <w:bCs/>
          <w:color w:val="000000"/>
          <w:sz w:val="22"/>
          <w:szCs w:val="22"/>
        </w:rPr>
        <w:t>7.  Board Designation Non-Transferability</w:t>
      </w:r>
    </w:p>
    <w:p w14:paraId="2B4F3019" w14:textId="5BB38894" w:rsidR="00241E38" w:rsidRPr="00830F2F" w:rsidRDefault="00830F2F">
      <w:pPr>
        <w:spacing w:after="160" w:line="276" w:lineRule="auto"/>
        <w:rPr>
          <w:rFonts w:ascii="Calibri" w:hAnsi="Calibri" w:cs="Calibri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lastRenderedPageBreak/>
        <w:t>B</w:t>
      </w:r>
      <w:r w:rsidR="00000000" w:rsidRPr="00830F2F">
        <w:rPr>
          <w:rFonts w:ascii="Calibri" w:eastAsia="Calibri" w:hAnsi="Calibri" w:cs="Calibri"/>
          <w:color w:val="000000"/>
          <w:sz w:val="22"/>
          <w:szCs w:val="22"/>
        </w:rPr>
        <w:t>oard designation rights are not transferable to any assignee of shares unless approved by the Board. This appears in the Term Sheet (Board of Directors section)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</w:t>
      </w:r>
      <w:r w:rsidR="00000000" w:rsidRPr="00830F2F">
        <w:rPr>
          <w:rFonts w:ascii="Calibri" w:eastAsia="Calibri" w:hAnsi="Calibri" w:cs="Calibri"/>
          <w:color w:val="000000"/>
          <w:sz w:val="22"/>
          <w:szCs w:val="22"/>
        </w:rPr>
        <w:t xml:space="preserve"> Investment Agreement (Section 7.1).</w:t>
      </w:r>
    </w:p>
    <w:sectPr w:rsidR="00241E38" w:rsidRPr="00830F2F">
      <w:headerReference w:type="default" r:id="rId7"/>
      <w:footerReference w:type="default" r:id="rId8"/>
      <w:pgSz w:w="12240" w:h="15840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5FEA5" w14:textId="77777777" w:rsidR="006E6DF3" w:rsidRDefault="006E6DF3">
      <w:r>
        <w:separator/>
      </w:r>
    </w:p>
  </w:endnote>
  <w:endnote w:type="continuationSeparator" w:id="0">
    <w:p w14:paraId="000C8578" w14:textId="77777777" w:rsidR="006E6DF3" w:rsidRDefault="006E6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62D61" w14:textId="77777777" w:rsidR="00241E38" w:rsidRDefault="00000000">
    <w:pPr>
      <w:jc w:val="center"/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830F2F">
      <w:rPr>
        <w:rFonts w:ascii="Calibri" w:eastAsia="Calibri" w:hAnsi="Calibri" w:cs="Calibri"/>
        <w:noProof/>
        <w:sz w:val="22"/>
        <w:szCs w:val="22"/>
      </w:rPr>
      <w:t>1</w:t>
    </w:r>
    <w:r>
      <w:rPr>
        <w:rFonts w:ascii="Calibri" w:eastAsia="Calibri" w:hAnsi="Calibri" w:cs="Calibri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73DDF" w14:textId="77777777" w:rsidR="006E6DF3" w:rsidRDefault="006E6DF3">
      <w:r>
        <w:separator/>
      </w:r>
    </w:p>
  </w:footnote>
  <w:footnote w:type="continuationSeparator" w:id="0">
    <w:p w14:paraId="453F8D13" w14:textId="77777777" w:rsidR="006E6DF3" w:rsidRDefault="006E6D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5F736" w14:textId="4F6303B9" w:rsidR="00241E38" w:rsidRDefault="00241E38">
    <w:pPr>
      <w:spacing w:line="276" w:lineRule="aut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30D30"/>
    <w:multiLevelType w:val="hybridMultilevel"/>
    <w:tmpl w:val="44F617F2"/>
    <w:lvl w:ilvl="0" w:tplc="157A2D9E">
      <w:start w:val="1"/>
      <w:numFmt w:val="bullet"/>
      <w:lvlText w:val="●"/>
      <w:lvlJc w:val="left"/>
      <w:pPr>
        <w:ind w:left="720" w:hanging="360"/>
      </w:pPr>
    </w:lvl>
    <w:lvl w:ilvl="1" w:tplc="4E3CA33E">
      <w:start w:val="1"/>
      <w:numFmt w:val="bullet"/>
      <w:lvlText w:val="○"/>
      <w:lvlJc w:val="left"/>
      <w:pPr>
        <w:ind w:left="1440" w:hanging="360"/>
      </w:pPr>
    </w:lvl>
    <w:lvl w:ilvl="2" w:tplc="FD4C15C0">
      <w:start w:val="1"/>
      <w:numFmt w:val="bullet"/>
      <w:lvlText w:val="■"/>
      <w:lvlJc w:val="left"/>
      <w:pPr>
        <w:ind w:left="2160" w:hanging="360"/>
      </w:pPr>
    </w:lvl>
    <w:lvl w:ilvl="3" w:tplc="C380B16C">
      <w:start w:val="1"/>
      <w:numFmt w:val="bullet"/>
      <w:lvlText w:val="●"/>
      <w:lvlJc w:val="left"/>
      <w:pPr>
        <w:ind w:left="2880" w:hanging="360"/>
      </w:pPr>
    </w:lvl>
    <w:lvl w:ilvl="4" w:tplc="E9120256">
      <w:start w:val="1"/>
      <w:numFmt w:val="bullet"/>
      <w:lvlText w:val="○"/>
      <w:lvlJc w:val="left"/>
      <w:pPr>
        <w:ind w:left="3600" w:hanging="360"/>
      </w:pPr>
    </w:lvl>
    <w:lvl w:ilvl="5" w:tplc="0652F2DA">
      <w:start w:val="1"/>
      <w:numFmt w:val="bullet"/>
      <w:lvlText w:val="■"/>
      <w:lvlJc w:val="left"/>
      <w:pPr>
        <w:ind w:left="4320" w:hanging="360"/>
      </w:pPr>
    </w:lvl>
    <w:lvl w:ilvl="6" w:tplc="4D1A4E3E">
      <w:start w:val="1"/>
      <w:numFmt w:val="bullet"/>
      <w:lvlText w:val="●"/>
      <w:lvlJc w:val="left"/>
      <w:pPr>
        <w:ind w:left="5040" w:hanging="360"/>
      </w:pPr>
    </w:lvl>
    <w:lvl w:ilvl="7" w:tplc="069E15F0">
      <w:start w:val="1"/>
      <w:numFmt w:val="bullet"/>
      <w:lvlText w:val="●"/>
      <w:lvlJc w:val="left"/>
      <w:pPr>
        <w:ind w:left="5760" w:hanging="360"/>
      </w:pPr>
    </w:lvl>
    <w:lvl w:ilvl="8" w:tplc="E90AC5CE">
      <w:start w:val="1"/>
      <w:numFmt w:val="bullet"/>
      <w:lvlText w:val="●"/>
      <w:lvlJc w:val="left"/>
      <w:pPr>
        <w:ind w:left="6480" w:hanging="360"/>
      </w:pPr>
    </w:lvl>
  </w:abstractNum>
  <w:num w:numId="1" w16cid:durableId="3503817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E38"/>
    <w:rsid w:val="00241E38"/>
    <w:rsid w:val="006E6DF3"/>
    <w:rsid w:val="00830F2F"/>
    <w:rsid w:val="00E05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2AD6FF"/>
  <w15:docId w15:val="{7DAA03EE-B52B-FD46-A4CF-F88598BCE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30F2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30F2F"/>
  </w:style>
  <w:style w:type="paragraph" w:styleId="Footer">
    <w:name w:val="footer"/>
    <w:basedOn w:val="Normal"/>
    <w:link w:val="FooterChar"/>
    <w:uiPriority w:val="99"/>
    <w:unhideWhenUsed/>
    <w:rsid w:val="00830F2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30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1166</Words>
  <Characters>6413</Characters>
  <Application>Microsoft Office Word</Application>
  <DocSecurity>0</DocSecurity>
  <Lines>164</Lines>
  <Paragraphs>111</Paragraphs>
  <ScaleCrop>false</ScaleCrop>
  <Company/>
  <LinksUpToDate>false</LinksUpToDate>
  <CharactersWithSpaces>7468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Ryan Howell</cp:lastModifiedBy>
  <cp:revision>2</cp:revision>
  <dcterms:created xsi:type="dcterms:W3CDTF">2026-04-02T18:38:00Z</dcterms:created>
  <dcterms:modified xsi:type="dcterms:W3CDTF">2026-04-04T14:40:00Z</dcterms:modified>
</cp:coreProperties>
</file>