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jc w:val="center"/>
      </w:pPr>
      <w:r>
        <w:rPr>
          <w:rFonts w:ascii="Calibri" w:cs="Calibri" w:eastAsia="Calibri" w:hAnsi="Calibri"/>
          <w:b/>
          <w:bCs/>
          <w:sz w:val="22"/>
          <w:szCs w:val="22"/>
        </w:rPr>
        <w:t xml:space="preserve">SERIES SEED PREFERRED STOCK TERM SHEET</w:t>
      </w:r>
    </w:p>
    <w:p>
      <w:pPr>
        <w:keepNext w:val="false"/>
        <w:spacing w:after="200" w:before="0"/>
        <w:ind w:firstLine="0"/>
        <w:jc w:val="left"/>
      </w:pPr>
      <w:r>
        <w:rPr>
          <w:rFonts w:ascii="Calibri" w:cs="Calibri" w:eastAsia="Calibri" w:hAnsi="Calibri"/>
          <w:b w:val="false"/>
          <w:bCs w:val="false"/>
          <w:i w:val="false"/>
          <w:iCs w:val="false"/>
          <w:caps w:val="false"/>
          <w:sz w:val="22"/>
          <w:szCs w:val="22"/>
        </w:rPr>
        <w:t xml:space="preserve">[Date]</w:t>
      </w:r>
    </w:p>
    <w:p>
      <w:pPr>
        <w:keepNext w:val="false"/>
        <w:spacing w:after="200" w:before="0"/>
        <w:ind w:firstLine="0"/>
        <w:jc w:val="left"/>
      </w:pPr>
      <w:r>
        <w:rPr>
          <w:rFonts w:ascii="Calibri" w:cs="Calibri" w:eastAsia="Calibri" w:hAnsi="Calibri"/>
          <w:b w:val="false"/>
          <w:bCs w:val="false"/>
          <w:i w:val="false"/>
          <w:iCs w:val="false"/>
          <w:caps w:val="false"/>
          <w:sz w:val="22"/>
          <w:szCs w:val="22"/>
        </w:rPr>
        <w:t xml:space="preserve">This term sheet summarizes the principal terms of the proposed Series Seed Preferred Stock financing of [Company Name], a Delaware corporation (the “</w:t>
      </w:r>
      <w:r>
        <w:rPr>
          <w:rFonts w:ascii="Calibri" w:cs="Calibri" w:eastAsia="Calibri" w:hAnsi="Calibri"/>
          <w:b/>
          <w:bCs/>
          <w:i w:val="false"/>
          <w:iCs w:val="false"/>
          <w:caps w:val="false"/>
          <w:sz w:val="22"/>
          <w:szCs w:val="22"/>
        </w:rPr>
        <w:t xml:space="preserve">Company</w:t>
      </w:r>
      <w:r>
        <w:rPr>
          <w:rFonts w:ascii="Calibri" w:cs="Calibri" w:eastAsia="Calibri" w:hAnsi="Calibri"/>
          <w:b w:val="false"/>
          <w:bCs w:val="false"/>
          <w:i w:val="false"/>
          <w:iCs w:val="false"/>
          <w:caps w:val="false"/>
          <w:sz w:val="22"/>
          <w:szCs w:val="22"/>
        </w:rPr>
        <w:t xml:space="preserve">”). Except for the section titled “Binding Terms,” it is not a legally binding obligation. The parties intend to be bound only by definitive agreements that they negotiate and sign.</w:t>
      </w:r>
    </w:p>
    <w:p>
      <w:pPr>
        <w:keepNext/>
        <w:spacing w:after="200" w:before="120"/>
      </w:pPr>
      <w:r>
        <w:rPr>
          <w:rFonts w:ascii="Calibri" w:cs="Calibri" w:eastAsia="Calibri" w:hAnsi="Calibri"/>
          <w:b/>
          <w:bCs/>
          <w:sz w:val="22"/>
          <w:szCs w:val="22"/>
        </w:rPr>
        <w:t xml:space="preserve">OFFERING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val="false"/>
        </w:trPr>
        <w:tc>
          <w:tcPr>
            <w:tcW w:type="dxa" w:w="2300"/>
            <w:tcMar>
              <w:top w:type="dxa" w:w="60"/>
              <w:left w:type="dxa" w:w="100"/>
              <w:bottom w:type="dxa" w:w="60"/>
              <w:right w:type="dxa" w:w="100"/>
            </w:tcMar>
          </w:tcPr>
          <w:p>
            <w:pPr>
              <w:spacing w:after="0" w:before="0"/>
            </w:pPr>
            <w:r>
              <w:rPr>
                <w:rFonts w:ascii="Calibri" w:cs="Calibri" w:eastAsia="Calibri" w:hAnsi="Calibri"/>
                <w:b/>
                <w:bCs/>
                <w:i w:val="false"/>
                <w:iCs w:val="false"/>
                <w:caps w:val="false"/>
                <w:sz w:val="22"/>
                <w:szCs w:val="22"/>
              </w:rPr>
              <w:t xml:space="preserve">Securities</w:t>
            </w:r>
          </w:p>
        </w:tc>
        <w:tc>
          <w:tcPr>
            <w:tcW w:type="dxa" w:w="70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2"/>
                <w:szCs w:val="22"/>
              </w:rPr>
              <w:t xml:space="preserve">Shares of Series Seed Preferred Stock (the “</w:t>
            </w:r>
            <w:r>
              <w:rPr>
                <w:rFonts w:ascii="Calibri" w:cs="Calibri" w:eastAsia="Calibri" w:hAnsi="Calibri"/>
                <w:b/>
                <w:bCs/>
                <w:i w:val="false"/>
                <w:iCs w:val="false"/>
                <w:caps w:val="false"/>
                <w:sz w:val="22"/>
                <w:szCs w:val="22"/>
              </w:rPr>
              <w:t xml:space="preserve">Series Seed</w:t>
            </w:r>
            <w:r>
              <w:rPr>
                <w:rFonts w:ascii="Calibri" w:cs="Calibri" w:eastAsia="Calibri" w:hAnsi="Calibri"/>
                <w:b w:val="false"/>
                <w:bCs w:val="false"/>
                <w:i w:val="false"/>
                <w:iCs w:val="false"/>
                <w:caps w:val="false"/>
                <w:sz w:val="22"/>
                <w:szCs w:val="22"/>
              </w:rPr>
              <w:t xml:space="preserve">”).</w:t>
            </w:r>
          </w:p>
        </w:tc>
      </w:tr>
      <w:tr>
        <w:trPr>
          <w:cantSplit/>
          <w:tblHeader w:val="false"/>
        </w:trPr>
        <w:tc>
          <w:tcPr>
            <w:tcW w:type="dxa" w:w="2300"/>
            <w:tcMar>
              <w:top w:type="dxa" w:w="60"/>
              <w:left w:type="dxa" w:w="100"/>
              <w:bottom w:type="dxa" w:w="60"/>
              <w:right w:type="dxa" w:w="100"/>
            </w:tcMar>
          </w:tcPr>
          <w:p>
            <w:pPr>
              <w:spacing w:after="0" w:before="0"/>
            </w:pPr>
            <w:r>
              <w:rPr>
                <w:rFonts w:ascii="Calibri" w:cs="Calibri" w:eastAsia="Calibri" w:hAnsi="Calibri"/>
                <w:b/>
                <w:bCs/>
                <w:i w:val="false"/>
                <w:iCs w:val="false"/>
                <w:caps w:val="false"/>
                <w:sz w:val="22"/>
                <w:szCs w:val="22"/>
              </w:rPr>
              <w:t xml:space="preserve">Amount</w:t>
            </w:r>
          </w:p>
        </w:tc>
        <w:tc>
          <w:tcPr>
            <w:tcW w:type="dxa" w:w="70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2"/>
                <w:szCs w:val="22"/>
              </w:rPr>
              <w:t xml:space="preserve">$[________] in new cash[, plus the conversion of the Company’s outstanding SAFEs and convertible notes as described under “Convertible Securities”]. The Company may hold additional closings on the same terms for up to [90] days after the initial closing.</w:t>
            </w:r>
          </w:p>
        </w:tc>
      </w:tr>
      <w:tr>
        <w:trPr>
          <w:cantSplit/>
          <w:tblHeader w:val="false"/>
        </w:trPr>
        <w:tc>
          <w:tcPr>
            <w:tcW w:type="dxa" w:w="2300"/>
            <w:tcMar>
              <w:top w:type="dxa" w:w="60"/>
              <w:left w:type="dxa" w:w="100"/>
              <w:bottom w:type="dxa" w:w="60"/>
              <w:right w:type="dxa" w:w="100"/>
            </w:tcMar>
          </w:tcPr>
          <w:p>
            <w:pPr>
              <w:spacing w:after="0" w:before="0"/>
            </w:pPr>
            <w:r>
              <w:rPr>
                <w:rFonts w:ascii="Calibri" w:cs="Calibri" w:eastAsia="Calibri" w:hAnsi="Calibri"/>
                <w:b/>
                <w:bCs/>
                <w:i w:val="false"/>
                <w:iCs w:val="false"/>
                <w:caps w:val="false"/>
                <w:sz w:val="22"/>
                <w:szCs w:val="22"/>
              </w:rPr>
              <w:t xml:space="preserve">Purchasers</w:t>
            </w:r>
          </w:p>
        </w:tc>
        <w:tc>
          <w:tcPr>
            <w:tcW w:type="dxa" w:w="70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2"/>
                <w:szCs w:val="22"/>
              </w:rPr>
              <w:t xml:space="preserve">Accredited investors acceptable to the Company (the “</w:t>
            </w:r>
            <w:r>
              <w:rPr>
                <w:rFonts w:ascii="Calibri" w:cs="Calibri" w:eastAsia="Calibri" w:hAnsi="Calibri"/>
                <w:b/>
                <w:bCs/>
                <w:i w:val="false"/>
                <w:iCs w:val="false"/>
                <w:caps w:val="false"/>
                <w:sz w:val="22"/>
                <w:szCs w:val="22"/>
              </w:rPr>
              <w:t xml:space="preserve">Purchasers</w:t>
            </w:r>
            <w:r>
              <w:rPr>
                <w:rFonts w:ascii="Calibri" w:cs="Calibri" w:eastAsia="Calibri" w:hAnsi="Calibri"/>
                <w:b w:val="false"/>
                <w:bCs w:val="false"/>
                <w:i w:val="false"/>
                <w:iCs w:val="false"/>
                <w:caps w:val="false"/>
                <w:sz w:val="22"/>
                <w:szCs w:val="22"/>
              </w:rPr>
              <w:t xml:space="preserve">”).</w:t>
            </w:r>
          </w:p>
        </w:tc>
      </w:tr>
      <w:tr>
        <w:trPr>
          <w:cantSplit/>
          <w:tblHeader w:val="false"/>
        </w:trPr>
        <w:tc>
          <w:tcPr>
            <w:tcW w:type="dxa" w:w="2300"/>
            <w:tcMar>
              <w:top w:type="dxa" w:w="60"/>
              <w:left w:type="dxa" w:w="100"/>
              <w:bottom w:type="dxa" w:w="60"/>
              <w:right w:type="dxa" w:w="100"/>
            </w:tcMar>
          </w:tcPr>
          <w:p>
            <w:pPr>
              <w:spacing w:after="0" w:before="0"/>
            </w:pPr>
            <w:r>
              <w:rPr>
                <w:rFonts w:ascii="Calibri" w:cs="Calibri" w:eastAsia="Calibri" w:hAnsi="Calibri"/>
                <w:b/>
                <w:bCs/>
                <w:i w:val="false"/>
                <w:iCs w:val="false"/>
                <w:caps w:val="false"/>
                <w:sz w:val="22"/>
                <w:szCs w:val="22"/>
              </w:rPr>
              <w:t xml:space="preserve">Price per Share</w:t>
            </w:r>
          </w:p>
        </w:tc>
        <w:tc>
          <w:tcPr>
            <w:tcW w:type="dxa" w:w="70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2"/>
                <w:szCs w:val="22"/>
              </w:rPr>
              <w:t xml:space="preserve">$[______] (the “</w:t>
            </w:r>
            <w:r>
              <w:rPr>
                <w:rFonts w:ascii="Calibri" w:cs="Calibri" w:eastAsia="Calibri" w:hAnsi="Calibri"/>
                <w:b/>
                <w:bCs/>
                <w:i w:val="false"/>
                <w:iCs w:val="false"/>
                <w:caps w:val="false"/>
                <w:sz w:val="22"/>
                <w:szCs w:val="22"/>
              </w:rPr>
              <w:t xml:space="preserve">Original Issue Price</w:t>
            </w:r>
            <w:r>
              <w:rPr>
                <w:rFonts w:ascii="Calibri" w:cs="Calibri" w:eastAsia="Calibri" w:hAnsi="Calibri"/>
                <w:b w:val="false"/>
                <w:bCs w:val="false"/>
                <w:i w:val="false"/>
                <w:iCs w:val="false"/>
                <w:caps w:val="false"/>
                <w:sz w:val="22"/>
                <w:szCs w:val="22"/>
              </w:rPr>
              <w:t xml:space="preserve">”), based on a fully diluted pre-money valuation of $[______]. The fully diluted pre-money capitalization includes all outstanding Common Stock, all outstanding options and other rights to acquire stock, the shares issuable on conversion of the Convertible Securities, and an unallocated option pool equal to [__]% of the post-money fully diluted capitalization.</w:t>
            </w:r>
          </w:p>
        </w:tc>
      </w:tr>
      <w:tr>
        <w:trPr>
          <w:cantSplit/>
          <w:tblHeader w:val="false"/>
        </w:trPr>
        <w:tc>
          <w:tcPr>
            <w:tcW w:type="dxa" w:w="2300"/>
            <w:tcMar>
              <w:top w:type="dxa" w:w="60"/>
              <w:left w:type="dxa" w:w="100"/>
              <w:bottom w:type="dxa" w:w="60"/>
              <w:right w:type="dxa" w:w="100"/>
            </w:tcMar>
          </w:tcPr>
          <w:p>
            <w:pPr>
              <w:spacing w:after="0" w:before="0"/>
            </w:pPr>
            <w:r>
              <w:rPr>
                <w:rFonts w:ascii="Calibri" w:cs="Calibri" w:eastAsia="Calibri" w:hAnsi="Calibri"/>
                <w:b/>
                <w:bCs/>
                <w:i w:val="false"/>
                <w:iCs w:val="false"/>
                <w:caps w:val="false"/>
                <w:sz w:val="22"/>
                <w:szCs w:val="22"/>
              </w:rPr>
              <w:t xml:space="preserve">Convertible Securities</w:t>
            </w:r>
          </w:p>
        </w:tc>
        <w:tc>
          <w:tcPr>
            <w:tcW w:type="dxa" w:w="70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2"/>
                <w:szCs w:val="22"/>
              </w:rPr>
              <w:t xml:space="preserve">[None.] [The Company’s outstanding SAFEs and convertible notes convert at the initial closing in accordance with their terms into [Series Seed] [a separate Series Seed-1 Preferred Stock that is identical to the Series Seed except that its original issue price, liquidation preference and conversion price reflect the price actually paid].]</w:t>
            </w:r>
          </w:p>
        </w:tc>
      </w:tr>
      <w:tr>
        <w:trPr>
          <w:cantSplit/>
          <w:tblHeader w:val="false"/>
        </w:trPr>
        <w:tc>
          <w:tcPr>
            <w:tcW w:type="dxa" w:w="2300"/>
            <w:tcMar>
              <w:top w:type="dxa" w:w="60"/>
              <w:left w:type="dxa" w:w="100"/>
              <w:bottom w:type="dxa" w:w="60"/>
              <w:right w:type="dxa" w:w="100"/>
            </w:tcMar>
          </w:tcPr>
          <w:p>
            <w:pPr>
              <w:spacing w:after="0" w:before="0"/>
            </w:pPr>
            <w:r>
              <w:rPr>
                <w:rFonts w:ascii="Calibri" w:cs="Calibri" w:eastAsia="Calibri" w:hAnsi="Calibri"/>
                <w:b/>
                <w:bCs/>
                <w:i w:val="false"/>
                <w:iCs w:val="false"/>
                <w:caps w:val="false"/>
                <w:sz w:val="22"/>
                <w:szCs w:val="22"/>
              </w:rPr>
              <w:t xml:space="preserve">Liquidation Preference</w:t>
            </w:r>
          </w:p>
        </w:tc>
        <w:tc>
          <w:tcPr>
            <w:tcW w:type="dxa" w:w="70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2"/>
                <w:szCs w:val="22"/>
              </w:rPr>
              <w:t xml:space="preserve">One times the Original Issue Price plus declared but unpaid dividends, or, if greater, the amount the Series Seed would receive on an as-converted basis (non-participating). A merger or sale of substantially all assets is treated as a liquidation.</w:t>
            </w:r>
          </w:p>
        </w:tc>
      </w:tr>
      <w:tr>
        <w:trPr>
          <w:cantSplit/>
          <w:tblHeader w:val="false"/>
        </w:trPr>
        <w:tc>
          <w:tcPr>
            <w:tcW w:type="dxa" w:w="2300"/>
            <w:tcMar>
              <w:top w:type="dxa" w:w="60"/>
              <w:left w:type="dxa" w:w="100"/>
              <w:bottom w:type="dxa" w:w="60"/>
              <w:right w:type="dxa" w:w="100"/>
            </w:tcMar>
          </w:tcPr>
          <w:p>
            <w:pPr>
              <w:spacing w:after="0" w:before="0"/>
            </w:pPr>
            <w:r>
              <w:rPr>
                <w:rFonts w:ascii="Calibri" w:cs="Calibri" w:eastAsia="Calibri" w:hAnsi="Calibri"/>
                <w:b/>
                <w:bCs/>
                <w:i w:val="false"/>
                <w:iCs w:val="false"/>
                <w:caps w:val="false"/>
                <w:sz w:val="22"/>
                <w:szCs w:val="22"/>
              </w:rPr>
              <w:t xml:space="preserve">Dividends</w:t>
            </w:r>
          </w:p>
        </w:tc>
        <w:tc>
          <w:tcPr>
            <w:tcW w:type="dxa" w:w="70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2"/>
                <w:szCs w:val="22"/>
              </w:rPr>
              <w:t xml:space="preserve">No fixed dividend. The Series Seed shares in any dividend declared on the Common Stock on an as-converted basis.</w:t>
            </w:r>
          </w:p>
        </w:tc>
      </w:tr>
      <w:tr>
        <w:trPr>
          <w:cantSplit/>
          <w:tblHeader w:val="false"/>
        </w:trPr>
        <w:tc>
          <w:tcPr>
            <w:tcW w:type="dxa" w:w="2300"/>
            <w:tcMar>
              <w:top w:type="dxa" w:w="60"/>
              <w:left w:type="dxa" w:w="100"/>
              <w:bottom w:type="dxa" w:w="60"/>
              <w:right w:type="dxa" w:w="100"/>
            </w:tcMar>
          </w:tcPr>
          <w:p>
            <w:pPr>
              <w:spacing w:after="0" w:before="0"/>
            </w:pPr>
            <w:r>
              <w:rPr>
                <w:rFonts w:ascii="Calibri" w:cs="Calibri" w:eastAsia="Calibri" w:hAnsi="Calibri"/>
                <w:b/>
                <w:bCs/>
                <w:i w:val="false"/>
                <w:iCs w:val="false"/>
                <w:caps w:val="false"/>
                <w:sz w:val="22"/>
                <w:szCs w:val="22"/>
              </w:rPr>
              <w:t xml:space="preserve">Conversion</w:t>
            </w:r>
          </w:p>
        </w:tc>
        <w:tc>
          <w:tcPr>
            <w:tcW w:type="dxa" w:w="70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2"/>
                <w:szCs w:val="22"/>
              </w:rPr>
              <w:t xml:space="preserve">Convertible into Common Stock at any time at the holder’s option, initially one for one. Automatic conversion upon a firm-commitment underwritten IPO or the vote of a majority of the Series Seed.</w:t>
            </w:r>
          </w:p>
        </w:tc>
      </w:tr>
      <w:tr>
        <w:trPr>
          <w:cantSplit/>
          <w:tblHeader w:val="false"/>
        </w:trPr>
        <w:tc>
          <w:tcPr>
            <w:tcW w:type="dxa" w:w="2300"/>
            <w:tcMar>
              <w:top w:type="dxa" w:w="60"/>
              <w:left w:type="dxa" w:w="100"/>
              <w:bottom w:type="dxa" w:w="60"/>
              <w:right w:type="dxa" w:w="100"/>
            </w:tcMar>
          </w:tcPr>
          <w:p>
            <w:pPr>
              <w:spacing w:after="0" w:before="0"/>
            </w:pPr>
            <w:r>
              <w:rPr>
                <w:rFonts w:ascii="Calibri" w:cs="Calibri" w:eastAsia="Calibri" w:hAnsi="Calibri"/>
                <w:b/>
                <w:bCs/>
                <w:i w:val="false"/>
                <w:iCs w:val="false"/>
                <w:caps w:val="false"/>
                <w:sz w:val="22"/>
                <w:szCs w:val="22"/>
              </w:rPr>
              <w:t xml:space="preserve">Anti-Dilution</w:t>
            </w:r>
          </w:p>
        </w:tc>
        <w:tc>
          <w:tcPr>
            <w:tcW w:type="dxa" w:w="70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2"/>
                <w:szCs w:val="22"/>
              </w:rPr>
              <w:t xml:space="preserve">Broad-based weighted average adjustment to the conversion price for issuances below the then-applicable conversion price, with customary exceptions (option grants, conversions, splits, and Board-approved issuances to lenders, lessors, acquisition targets and strategic partners).</w:t>
            </w:r>
          </w:p>
        </w:tc>
      </w:tr>
      <w:tr>
        <w:trPr>
          <w:cantSplit/>
          <w:tblHeader w:val="false"/>
        </w:trPr>
        <w:tc>
          <w:tcPr>
            <w:tcW w:type="dxa" w:w="2300"/>
            <w:tcMar>
              <w:top w:type="dxa" w:w="60"/>
              <w:left w:type="dxa" w:w="100"/>
              <w:bottom w:type="dxa" w:w="60"/>
              <w:right w:type="dxa" w:w="100"/>
            </w:tcMar>
          </w:tcPr>
          <w:p>
            <w:pPr>
              <w:spacing w:after="0" w:before="0"/>
            </w:pPr>
            <w:r>
              <w:rPr>
                <w:rFonts w:ascii="Calibri" w:cs="Calibri" w:eastAsia="Calibri" w:hAnsi="Calibri"/>
                <w:b/>
                <w:bCs/>
                <w:i w:val="false"/>
                <w:iCs w:val="false"/>
                <w:caps w:val="false"/>
                <w:sz w:val="22"/>
                <w:szCs w:val="22"/>
              </w:rPr>
              <w:t xml:space="preserve">Voting</w:t>
            </w:r>
          </w:p>
        </w:tc>
        <w:tc>
          <w:tcPr>
            <w:tcW w:type="dxa" w:w="70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2"/>
                <w:szCs w:val="22"/>
              </w:rPr>
              <w:t xml:space="preserve">The Series Seed votes with the Common Stock on an as-converted basis. The following require approval of a majority of the Series Seed for so long as at least 25% of the Series Seed issued in the financing remains outstanding: (a) a liquidation, dissolution or sale of the Company; (b) an amendment of the charter or bylaws that adversely affects the Series Seed; (c) creation of stock senior to or on parity with the Series Seed; (d) a change in the authorized number of shares; (e) a dividend or redemption, with customary exceptions; and (f) a change in the size of the Board.</w:t>
            </w:r>
          </w:p>
        </w:tc>
      </w:tr>
      <w:tr>
        <w:trPr>
          <w:cantSplit/>
          <w:tblHeader w:val="false"/>
        </w:trPr>
        <w:tc>
          <w:tcPr>
            <w:tcW w:type="dxa" w:w="2300"/>
            <w:tcMar>
              <w:top w:type="dxa" w:w="60"/>
              <w:left w:type="dxa" w:w="100"/>
              <w:bottom w:type="dxa" w:w="60"/>
              <w:right w:type="dxa" w:w="100"/>
            </w:tcMar>
          </w:tcPr>
          <w:p>
            <w:pPr>
              <w:spacing w:after="0" w:before="0"/>
            </w:pPr>
            <w:r>
              <w:rPr>
                <w:rFonts w:ascii="Calibri" w:cs="Calibri" w:eastAsia="Calibri" w:hAnsi="Calibri"/>
                <w:b/>
                <w:bCs/>
                <w:i w:val="false"/>
                <w:iCs w:val="false"/>
                <w:caps w:val="false"/>
                <w:sz w:val="22"/>
                <w:szCs w:val="22"/>
              </w:rPr>
              <w:t xml:space="preserve">Board of Directors</w:t>
            </w:r>
          </w:p>
        </w:tc>
        <w:tc>
          <w:tcPr>
            <w:tcW w:type="dxa" w:w="70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2"/>
                <w:szCs w:val="22"/>
              </w:rPr>
              <w:t xml:space="preserve">[__] directors: [__] designated by the holders of a majority of the Common Stock held by founders providing services to the Company, [__] designated by the holders of a majority of the Series Seed, and [__] independent director[s] designated by mutual agreement of the two groups. Designation rights are not transferable.</w:t>
            </w:r>
          </w:p>
        </w:tc>
      </w:tr>
      <w:tr>
        <w:trPr>
          <w:cantSplit/>
          <w:tblHeader w:val="false"/>
        </w:trPr>
        <w:tc>
          <w:tcPr>
            <w:tcW w:type="dxa" w:w="2300"/>
            <w:tcMar>
              <w:top w:type="dxa" w:w="60"/>
              <w:left w:type="dxa" w:w="100"/>
              <w:bottom w:type="dxa" w:w="60"/>
              <w:right w:type="dxa" w:w="100"/>
            </w:tcMar>
          </w:tcPr>
          <w:p>
            <w:pPr>
              <w:spacing w:after="0" w:before="0"/>
            </w:pPr>
            <w:r>
              <w:rPr>
                <w:rFonts w:ascii="Calibri" w:cs="Calibri" w:eastAsia="Calibri" w:hAnsi="Calibri"/>
                <w:b/>
                <w:bCs/>
                <w:i w:val="false"/>
                <w:iCs w:val="false"/>
                <w:caps w:val="false"/>
                <w:sz w:val="22"/>
                <w:szCs w:val="22"/>
              </w:rPr>
              <w:t xml:space="preserve">Information and Inspection Rights</w:t>
            </w:r>
          </w:p>
        </w:tc>
        <w:tc>
          <w:tcPr>
            <w:tcW w:type="dxa" w:w="70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2"/>
                <w:szCs w:val="22"/>
              </w:rPr>
              <w:t xml:space="preserve">Purchasers who invest at least $[______] (counting cash and amounts converted from SAFEs and notes) (“</w:t>
            </w:r>
            <w:r>
              <w:rPr>
                <w:rFonts w:ascii="Calibri" w:cs="Calibri" w:eastAsia="Calibri" w:hAnsi="Calibri"/>
                <w:b/>
                <w:bCs/>
                <w:i w:val="false"/>
                <w:iCs w:val="false"/>
                <w:caps w:val="false"/>
                <w:sz w:val="22"/>
                <w:szCs w:val="22"/>
              </w:rPr>
              <w:t xml:space="preserve">Major Purchasers</w:t>
            </w:r>
            <w:r>
              <w:rPr>
                <w:rFonts w:ascii="Calibri" w:cs="Calibri" w:eastAsia="Calibri" w:hAnsi="Calibri"/>
                <w:b w:val="false"/>
                <w:bCs w:val="false"/>
                <w:i w:val="false"/>
                <w:iCs w:val="false"/>
                <w:caps w:val="false"/>
                <w:sz w:val="22"/>
                <w:szCs w:val="22"/>
              </w:rPr>
              <w:t xml:space="preserve">”) receive annual and quarterly financial statements, an annual capitalization table, and customary inspection rights[, and a management rights letter on request].</w:t>
            </w:r>
          </w:p>
        </w:tc>
      </w:tr>
      <w:tr>
        <w:trPr>
          <w:cantSplit/>
          <w:tblHeader w:val="false"/>
        </w:trPr>
        <w:tc>
          <w:tcPr>
            <w:tcW w:type="dxa" w:w="2300"/>
            <w:tcMar>
              <w:top w:type="dxa" w:w="60"/>
              <w:left w:type="dxa" w:w="100"/>
              <w:bottom w:type="dxa" w:w="60"/>
              <w:right w:type="dxa" w:w="100"/>
            </w:tcMar>
          </w:tcPr>
          <w:p>
            <w:pPr>
              <w:spacing w:after="0" w:before="0"/>
            </w:pPr>
            <w:r>
              <w:rPr>
                <w:rFonts w:ascii="Calibri" w:cs="Calibri" w:eastAsia="Calibri" w:hAnsi="Calibri"/>
                <w:b/>
                <w:bCs/>
                <w:i w:val="false"/>
                <w:iCs w:val="false"/>
                <w:caps w:val="false"/>
                <w:sz w:val="22"/>
                <w:szCs w:val="22"/>
              </w:rPr>
              <w:t xml:space="preserve">Participation Right</w:t>
            </w:r>
          </w:p>
        </w:tc>
        <w:tc>
          <w:tcPr>
            <w:tcW w:type="dxa" w:w="70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2"/>
                <w:szCs w:val="22"/>
              </w:rPr>
              <w:t xml:space="preserve">Major Purchasers may purchase their pro rata share of future equity issuances for capital-raising purposes, with customary exceptions. [Alternative 1: A Major Purchaser that does not purchase at least [its full] [[50]% of its] pro rata share in an equity financing offered to it[, led by a new investor,] with gross cash proceeds of at least $[______] loses the participation right for later financings, including the next round, but keeps its other rights.] [Alternative 2: The participation right ends at the closing of the next preferred stock financing, and later participation rights are as provided in that financing’s documents.]</w:t>
            </w:r>
          </w:p>
        </w:tc>
      </w:tr>
      <w:tr>
        <w:trPr>
          <w:cantSplit/>
          <w:tblHeader w:val="false"/>
        </w:trPr>
        <w:tc>
          <w:tcPr>
            <w:tcW w:type="dxa" w:w="2300"/>
            <w:tcMar>
              <w:top w:type="dxa" w:w="60"/>
              <w:left w:type="dxa" w:w="100"/>
              <w:bottom w:type="dxa" w:w="60"/>
              <w:right w:type="dxa" w:w="100"/>
            </w:tcMar>
          </w:tcPr>
          <w:p>
            <w:pPr>
              <w:spacing w:after="0" w:before="0"/>
            </w:pPr>
            <w:r>
              <w:rPr>
                <w:rFonts w:ascii="Calibri" w:cs="Calibri" w:eastAsia="Calibri" w:hAnsi="Calibri"/>
                <w:b/>
                <w:bCs/>
                <w:i w:val="false"/>
                <w:iCs w:val="false"/>
                <w:caps w:val="false"/>
                <w:sz w:val="22"/>
                <w:szCs w:val="22"/>
              </w:rPr>
              <w:t xml:space="preserve">Right of First Refusal</w:t>
            </w:r>
          </w:p>
        </w:tc>
        <w:tc>
          <w:tcPr>
            <w:tcW w:type="dxa" w:w="70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2"/>
                <w:szCs w:val="22"/>
              </w:rPr>
              <w:t xml:space="preserve">The Company, and then the Major Purchasers, have a right of first refusal on transfers of Common Stock by the founders and other holders of Common Stock designated as Key Holders in the definitive documents, with customary exceptions for estate planning and Company repurchases. No co-sale right.</w:t>
            </w:r>
          </w:p>
        </w:tc>
      </w:tr>
      <w:tr>
        <w:trPr>
          <w:cantSplit/>
          <w:tblHeader w:val="false"/>
        </w:trPr>
        <w:tc>
          <w:tcPr>
            <w:tcW w:type="dxa" w:w="2300"/>
            <w:tcMar>
              <w:top w:type="dxa" w:w="60"/>
              <w:left w:type="dxa" w:w="100"/>
              <w:bottom w:type="dxa" w:w="60"/>
              <w:right w:type="dxa" w:w="100"/>
            </w:tcMar>
          </w:tcPr>
          <w:p>
            <w:pPr>
              <w:spacing w:after="0" w:before="0"/>
            </w:pPr>
            <w:r>
              <w:rPr>
                <w:rFonts w:ascii="Calibri" w:cs="Calibri" w:eastAsia="Calibri" w:hAnsi="Calibri"/>
                <w:b/>
                <w:bCs/>
                <w:i w:val="false"/>
                <w:iCs w:val="false"/>
                <w:caps w:val="false"/>
                <w:sz w:val="22"/>
                <w:szCs w:val="22"/>
              </w:rPr>
              <w:t xml:space="preserve">Drag-Along</w:t>
            </w:r>
          </w:p>
        </w:tc>
        <w:tc>
          <w:tcPr>
            <w:tcW w:type="dxa" w:w="70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2"/>
                <w:szCs w:val="22"/>
              </w:rPr>
              <w:t xml:space="preserve">If a sale of the Company is approved by the Board, a majority of the Series Seed and a majority of the Common Stock held by founders providing services to the Company, all stockholders will vote for and participate in the sale, subject to customary protections (several liability capped at proceeds, limited representations, no non-competes for non-employees, and allocation of proceeds per the charter).</w:t>
            </w:r>
          </w:p>
        </w:tc>
      </w:tr>
      <w:tr>
        <w:trPr>
          <w:cantSplit/>
          <w:tblHeader w:val="false"/>
        </w:trPr>
        <w:tc>
          <w:tcPr>
            <w:tcW w:type="dxa" w:w="2300"/>
            <w:tcMar>
              <w:top w:type="dxa" w:w="60"/>
              <w:left w:type="dxa" w:w="100"/>
              <w:bottom w:type="dxa" w:w="60"/>
              <w:right w:type="dxa" w:w="100"/>
            </w:tcMar>
          </w:tcPr>
          <w:p>
            <w:pPr>
              <w:spacing w:after="0" w:before="0"/>
            </w:pPr>
            <w:r>
              <w:rPr>
                <w:rFonts w:ascii="Calibri" w:cs="Calibri" w:eastAsia="Calibri" w:hAnsi="Calibri"/>
                <w:b/>
                <w:bCs/>
                <w:i w:val="false"/>
                <w:iCs w:val="false"/>
                <w:caps w:val="false"/>
                <w:sz w:val="22"/>
                <w:szCs w:val="22"/>
              </w:rPr>
              <w:t xml:space="preserve">Next Financing</w:t>
            </w:r>
          </w:p>
        </w:tc>
        <w:tc>
          <w:tcPr>
            <w:tcW w:type="dxa" w:w="70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2"/>
                <w:szCs w:val="22"/>
              </w:rPr>
              <w:t xml:space="preserve">If the next round of preferred stock receives rights that are granted to all investors in that round and are not provided to the Series Seed, the Series Seed receives the same rights. Rights that depend on an investment threshold are available to Series Seed holders only if they meet the threshold, counting their Series Seed investment. Economic terms of the new series and rights negotiated by name or by side letter do not carry over. The Series Seed documents will be amended and restated into the next round’s documents.</w:t>
            </w:r>
          </w:p>
        </w:tc>
      </w:tr>
      <w:tr>
        <w:trPr>
          <w:cantSplit/>
          <w:tblHeader w:val="false"/>
        </w:trPr>
        <w:tc>
          <w:tcPr>
            <w:tcW w:type="dxa" w:w="2300"/>
            <w:tcMar>
              <w:top w:type="dxa" w:w="60"/>
              <w:left w:type="dxa" w:w="100"/>
              <w:bottom w:type="dxa" w:w="60"/>
              <w:right w:type="dxa" w:w="100"/>
            </w:tcMar>
          </w:tcPr>
          <w:p>
            <w:pPr>
              <w:spacing w:after="0" w:before="0"/>
            </w:pPr>
            <w:r>
              <w:rPr>
                <w:rFonts w:ascii="Calibri" w:cs="Calibri" w:eastAsia="Calibri" w:hAnsi="Calibri"/>
                <w:b/>
                <w:bCs/>
                <w:i w:val="false"/>
                <w:iCs w:val="false"/>
                <w:caps w:val="false"/>
                <w:sz w:val="22"/>
                <w:szCs w:val="22"/>
              </w:rPr>
              <w:t xml:space="preserve">QSBS</w:t>
            </w:r>
          </w:p>
        </w:tc>
        <w:tc>
          <w:tcPr>
            <w:tcW w:type="dxa" w:w="70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2"/>
                <w:szCs w:val="22"/>
              </w:rPr>
              <w:t xml:space="preserve">The Company represents that it is an eligible corporation with gross assets of $75 million or less and covenants to use commercially reasonable efforts to maintain qualified small business stock eligibility.</w:t>
            </w:r>
          </w:p>
        </w:tc>
      </w:tr>
      <w:tr>
        <w:trPr>
          <w:cantSplit/>
          <w:tblHeader w:val="false"/>
        </w:trPr>
        <w:tc>
          <w:tcPr>
            <w:tcW w:type="dxa" w:w="2300"/>
            <w:tcMar>
              <w:top w:type="dxa" w:w="60"/>
              <w:left w:type="dxa" w:w="100"/>
              <w:bottom w:type="dxa" w:w="60"/>
              <w:right w:type="dxa" w:w="100"/>
            </w:tcMar>
          </w:tcPr>
          <w:p>
            <w:pPr>
              <w:spacing w:after="0" w:before="0"/>
            </w:pPr>
            <w:r>
              <w:rPr>
                <w:rFonts w:ascii="Calibri" w:cs="Calibri" w:eastAsia="Calibri" w:hAnsi="Calibri"/>
                <w:b/>
                <w:bCs/>
                <w:i w:val="false"/>
                <w:iCs w:val="false"/>
                <w:caps w:val="false"/>
                <w:sz w:val="22"/>
                <w:szCs w:val="22"/>
              </w:rPr>
              <w:t xml:space="preserve">Key Holder Matters</w:t>
            </w:r>
          </w:p>
        </w:tc>
        <w:tc>
          <w:tcPr>
            <w:tcW w:type="dxa" w:w="70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2"/>
                <w:szCs w:val="22"/>
              </w:rPr>
              <w:t xml:space="preserve">Each Key Holder’s shares vest over four years beginning [________], with full acceleration upon a termination without cause or resignation for good reason within [12] months after a change of control (“double trigger”). Each founder will have assigned all relevant intellectual property to the Company before closing.</w:t>
            </w:r>
          </w:p>
        </w:tc>
      </w:tr>
      <w:tr>
        <w:trPr>
          <w:cantSplit/>
          <w:tblHeader w:val="false"/>
        </w:trPr>
        <w:tc>
          <w:tcPr>
            <w:tcW w:type="dxa" w:w="2300"/>
            <w:tcMar>
              <w:top w:type="dxa" w:w="60"/>
              <w:left w:type="dxa" w:w="100"/>
              <w:bottom w:type="dxa" w:w="60"/>
              <w:right w:type="dxa" w:w="100"/>
            </w:tcMar>
          </w:tcPr>
          <w:p>
            <w:pPr>
              <w:spacing w:after="0" w:before="0"/>
            </w:pPr>
            <w:r>
              <w:rPr>
                <w:rFonts w:ascii="Calibri" w:cs="Calibri" w:eastAsia="Calibri" w:hAnsi="Calibri"/>
                <w:b/>
                <w:bCs/>
                <w:i w:val="false"/>
                <w:iCs w:val="false"/>
                <w:caps w:val="false"/>
                <w:sz w:val="22"/>
                <w:szCs w:val="22"/>
              </w:rPr>
              <w:t xml:space="preserve">Expenses</w:t>
            </w:r>
          </w:p>
        </w:tc>
        <w:tc>
          <w:tcPr>
            <w:tcW w:type="dxa" w:w="70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2"/>
                <w:szCs w:val="22"/>
              </w:rPr>
              <w:t xml:space="preserve">The Company will reimburse Purchasers’ counsel up to $[______].</w:t>
            </w:r>
          </w:p>
        </w:tc>
      </w:tr>
      <w:tr>
        <w:trPr>
          <w:cantSplit/>
          <w:tblHeader w:val="false"/>
        </w:trPr>
        <w:tc>
          <w:tcPr>
            <w:tcW w:type="dxa" w:w="2300"/>
            <w:tcMar>
              <w:top w:type="dxa" w:w="60"/>
              <w:left w:type="dxa" w:w="100"/>
              <w:bottom w:type="dxa" w:w="60"/>
              <w:right w:type="dxa" w:w="100"/>
            </w:tcMar>
          </w:tcPr>
          <w:p>
            <w:pPr>
              <w:spacing w:after="0" w:before="0"/>
            </w:pPr>
            <w:r>
              <w:rPr>
                <w:rFonts w:ascii="Calibri" w:cs="Calibri" w:eastAsia="Calibri" w:hAnsi="Calibri"/>
                <w:b/>
                <w:bCs/>
                <w:i w:val="false"/>
                <w:iCs w:val="false"/>
                <w:caps w:val="false"/>
                <w:sz w:val="22"/>
                <w:szCs w:val="22"/>
              </w:rPr>
              <w:t xml:space="preserve">Documentation</w:t>
            </w:r>
          </w:p>
        </w:tc>
        <w:tc>
          <w:tcPr>
            <w:tcW w:type="dxa" w:w="7060"/>
            <w:tcMar>
              <w:top w:type="dxa" w:w="60"/>
              <w:left w:type="dxa" w:w="100"/>
              <w:bottom w:type="dxa" w:w="60"/>
              <w:right w:type="dxa" w:w="100"/>
            </w:tcMar>
          </w:tcPr>
          <w:p>
            <w:pPr>
              <w:spacing w:after="0" w:before="0"/>
            </w:pPr>
            <w:r>
              <w:rPr>
                <w:rFonts w:ascii="Calibri" w:cs="Calibri" w:eastAsia="Calibri" w:hAnsi="Calibri"/>
                <w:b w:val="false"/>
                <w:bCs w:val="false"/>
                <w:i w:val="false"/>
                <w:iCs w:val="false"/>
                <w:caps w:val="false"/>
                <w:sz w:val="22"/>
                <w:szCs w:val="22"/>
              </w:rPr>
              <w:t xml:space="preserve">The definitive documents will be the Series Seed Preferred Stock Investment Agreement and Amended and Restated Certificate of Incorporation published by Series Sane at [repository URL], modified only as set out in this term sheet. Delaware law governs.</w:t>
            </w:r>
          </w:p>
        </w:tc>
      </w:tr>
    </w:tbl>
    <w:p>
      <w:pPr>
        <w:spacing w:after="0"/>
      </w:pPr>
    </w:p>
    <w:p>
      <w:pPr>
        <w:keepNext/>
        <w:spacing w:after="200" w:before="120"/>
      </w:pPr>
      <w:r>
        <w:rPr>
          <w:rFonts w:ascii="Calibri" w:cs="Calibri" w:eastAsia="Calibri" w:hAnsi="Calibri"/>
          <w:b/>
          <w:bCs/>
          <w:sz w:val="22"/>
          <w:szCs w:val="22"/>
        </w:rPr>
        <w:t xml:space="preserve">BINDING TERMS</w:t>
      </w:r>
    </w:p>
    <w:p>
      <w:pPr>
        <w:keepNext w:val="false"/>
        <w:spacing w:after="200" w:before="0"/>
        <w:ind w:firstLine="0"/>
        <w:jc w:val="left"/>
      </w:pPr>
      <w:r>
        <w:rPr>
          <w:rFonts w:ascii="Calibri" w:cs="Calibri" w:eastAsia="Calibri" w:hAnsi="Calibri"/>
          <w:b w:val="false"/>
          <w:bCs w:val="false"/>
          <w:i w:val="false"/>
          <w:iCs w:val="false"/>
          <w:caps w:val="false"/>
          <w:sz w:val="22"/>
          <w:szCs w:val="22"/>
        </w:rPr>
        <w:t xml:space="preserve">For 30 days after the date of this term sheet, the Company will not solicit or accept offers from other parties for any equity financing, other than from additional Purchasers in this financing. Without the consent of the lead Purchaser, the Company will not disclose these terms to anyone other than its officers, directors, advisers and prospective Purchasers in this financing.</w:t>
      </w:r>
    </w:p>
    <w:p>
      <w:pPr>
        <w:keepNext/>
        <w:spacing w:after="200" w:before="360"/>
      </w:pPr>
      <w:r>
        <w:rPr>
          <w:rFonts w:ascii="Calibri" w:cs="Calibri" w:eastAsia="Calibri" w:hAnsi="Calibri"/>
          <w:b/>
          <w:bCs/>
          <w:sz w:val="22"/>
          <w:szCs w:val="22"/>
        </w:rPr>
        <w:t xml:space="preserve">COMPANY:</w:t>
      </w:r>
    </w:p>
    <w:p>
      <w:pPr>
        <w:keepNext/>
        <w:spacing w:after="0"/>
        <w:ind w:left="4320"/>
      </w:pPr>
      <w:r>
        <w:rPr>
          <w:rFonts w:ascii="Calibri" w:cs="Calibri" w:eastAsia="Calibri" w:hAnsi="Calibri"/>
          <w:b w:val="false"/>
          <w:bCs w:val="false"/>
          <w:i w:val="false"/>
          <w:iCs w:val="false"/>
          <w:caps w:val="false"/>
          <w:sz w:val="22"/>
          <w:szCs w:val="22"/>
        </w:rPr>
        <w:t xml:space="preserve">[COMPANY NAME]</w:t>
      </w:r>
    </w:p>
    <w:p>
      <w:pPr>
        <w:keepNext/>
        <w:tabs>
          <w:tab w:val="left" w:pos="5040"/>
        </w:tabs>
        <w:spacing w:after="0" w:before="240"/>
        <w:ind w:left="4320"/>
      </w:pPr>
      <w:r>
        <w:rPr>
          <w:rFonts w:ascii="Calibri" w:cs="Calibri" w:eastAsia="Calibri" w:hAnsi="Calibri"/>
          <w:sz w:val="22"/>
          <w:szCs w:val="22"/>
        </w:rPr>
        <w:t xml:space="preserve">By:	______________________________</w:t>
      </w:r>
    </w:p>
    <w:p>
      <w:pPr>
        <w:keepNext/>
        <w:spacing w:after="0"/>
        <w:ind w:left="5040"/>
      </w:pPr>
      <w:r>
        <w:rPr>
          <w:rFonts w:ascii="Calibri" w:cs="Calibri" w:eastAsia="Calibri" w:hAnsi="Calibri"/>
          <w:b w:val="false"/>
          <w:bCs w:val="false"/>
          <w:i w:val="false"/>
          <w:iCs w:val="false"/>
          <w:caps w:val="false"/>
          <w:sz w:val="22"/>
          <w:szCs w:val="22"/>
        </w:rPr>
        <w:t xml:space="preserve">Name:</w:t>
      </w:r>
    </w:p>
    <w:p>
      <w:pPr>
        <w:keepNext/>
        <w:spacing w:after="0"/>
        <w:ind w:left="5040"/>
      </w:pPr>
      <w:r>
        <w:rPr>
          <w:rFonts w:ascii="Calibri" w:cs="Calibri" w:eastAsia="Calibri" w:hAnsi="Calibri"/>
          <w:b w:val="false"/>
          <w:bCs w:val="false"/>
          <w:i w:val="false"/>
          <w:iCs w:val="false"/>
          <w:caps w:val="false"/>
          <w:sz w:val="22"/>
          <w:szCs w:val="22"/>
        </w:rPr>
        <w:t xml:space="preserve">Title:</w:t>
      </w:r>
    </w:p>
    <w:p>
      <w:pPr>
        <w:keepNext/>
        <w:spacing w:after="0"/>
        <w:ind w:left="5040"/>
      </w:pPr>
      <w:r>
        <w:rPr>
          <w:rFonts w:ascii="Calibri" w:cs="Calibri" w:eastAsia="Calibri" w:hAnsi="Calibri"/>
          <w:b w:val="false"/>
          <w:bCs w:val="false"/>
          <w:i w:val="false"/>
          <w:iCs w:val="false"/>
          <w:caps w:val="false"/>
          <w:sz w:val="22"/>
          <w:szCs w:val="22"/>
        </w:rPr>
        <w:t xml:space="preserve">Date:</w:t>
      </w:r>
    </w:p>
    <w:p>
      <w:pPr>
        <w:keepNext/>
        <w:spacing w:after="200" w:before="360"/>
      </w:pPr>
      <w:r>
        <w:rPr>
          <w:rFonts w:ascii="Calibri" w:cs="Calibri" w:eastAsia="Calibri" w:hAnsi="Calibri"/>
          <w:b/>
          <w:bCs/>
          <w:sz w:val="22"/>
          <w:szCs w:val="22"/>
        </w:rPr>
        <w:t xml:space="preserve">LEAD PURCHASER:</w:t>
      </w:r>
    </w:p>
    <w:p>
      <w:pPr>
        <w:keepNext/>
        <w:spacing w:after="0"/>
        <w:ind w:left="4320"/>
      </w:pPr>
      <w:r>
        <w:rPr>
          <w:rFonts w:ascii="Calibri" w:cs="Calibri" w:eastAsia="Calibri" w:hAnsi="Calibri"/>
          <w:b w:val="false"/>
          <w:bCs w:val="false"/>
          <w:i w:val="false"/>
          <w:iCs w:val="false"/>
          <w:caps w:val="false"/>
          <w:sz w:val="22"/>
          <w:szCs w:val="22"/>
        </w:rPr>
        <w:t xml:space="preserve">[PURCHASER NAME]</w:t>
      </w:r>
    </w:p>
    <w:p>
      <w:pPr>
        <w:keepNext/>
        <w:tabs>
          <w:tab w:val="left" w:pos="5040"/>
        </w:tabs>
        <w:spacing w:after="0" w:before="240"/>
        <w:ind w:left="4320"/>
      </w:pPr>
      <w:r>
        <w:rPr>
          <w:rFonts w:ascii="Calibri" w:cs="Calibri" w:eastAsia="Calibri" w:hAnsi="Calibri"/>
          <w:sz w:val="22"/>
          <w:szCs w:val="22"/>
        </w:rPr>
        <w:t xml:space="preserve">By:	______________________________</w:t>
      </w:r>
    </w:p>
    <w:p>
      <w:pPr>
        <w:keepNext/>
        <w:spacing w:after="0"/>
        <w:ind w:left="5040"/>
      </w:pPr>
      <w:r>
        <w:rPr>
          <w:rFonts w:ascii="Calibri" w:cs="Calibri" w:eastAsia="Calibri" w:hAnsi="Calibri"/>
          <w:b w:val="false"/>
          <w:bCs w:val="false"/>
          <w:i w:val="false"/>
          <w:iCs w:val="false"/>
          <w:caps w:val="false"/>
          <w:sz w:val="22"/>
          <w:szCs w:val="22"/>
        </w:rPr>
        <w:t xml:space="preserve">Name:</w:t>
      </w:r>
    </w:p>
    <w:p>
      <w:pPr>
        <w:keepNext/>
        <w:spacing w:after="0"/>
        <w:ind w:left="5040"/>
      </w:pPr>
      <w:r>
        <w:rPr>
          <w:rFonts w:ascii="Calibri" w:cs="Calibri" w:eastAsia="Calibri" w:hAnsi="Calibri"/>
          <w:b w:val="false"/>
          <w:bCs w:val="false"/>
          <w:i w:val="false"/>
          <w:iCs w:val="false"/>
          <w:caps w:val="false"/>
          <w:sz w:val="22"/>
          <w:szCs w:val="22"/>
        </w:rPr>
        <w:t xml:space="preserve">Title:</w:t>
      </w:r>
    </w:p>
    <w:p>
      <w:pPr>
        <w:keepNext/>
        <w:spacing w:after="0"/>
        <w:ind w:left="5040"/>
      </w:pPr>
      <w:r>
        <w:rPr>
          <w:rFonts w:ascii="Calibri" w:cs="Calibri" w:eastAsia="Calibri" w:hAnsi="Calibri"/>
          <w:b w:val="false"/>
          <w:bCs w:val="false"/>
          <w:i w:val="false"/>
          <w:iCs w:val="false"/>
          <w:caps w:val="false"/>
          <w:sz w:val="22"/>
          <w:szCs w:val="22"/>
        </w:rPr>
        <w:t xml:space="preserve">Date:</w:t>
      </w:r>
    </w:p>
    <w:sectPr>
      <w:footerReference w:type="default" r:id="rId7"/>
      <w:footerReference w:type="first" r:id="rId8"/>
      <w:type w:val="nextPage"/>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Series Seed Preferred Stock Term Sheet</dc:title>
  <dc:creator>Series Sane</dc:creator>
  <dc:description>Series Sane open-source seed financing documents</dc:description>
  <cp:lastModifiedBy>Un-named</cp:lastModifiedBy>
  <cp:revision>1</cp:revision>
  <dcterms:created xsi:type="dcterms:W3CDTF">2026-10-11T23:41:02.972Z</dcterms:created>
  <dcterms:modified xsi:type="dcterms:W3CDTF">2026-10-11T23:41:02.972Z</dcterms:modified>
</cp:coreProperties>
</file>

<file path=docProps/custom.xml><?xml version="1.0" encoding="utf-8"?>
<Properties xmlns="http://schemas.openxmlformats.org/officeDocument/2006/custom-properties" xmlns:vt="http://schemas.openxmlformats.org/officeDocument/2006/docPropsVTypes"/>
</file>