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Calibri" w:cs="Calibri" w:eastAsia="Calibri" w:hAnsi="Calibri"/>
          <w:b/>
          <w:bCs/>
          <w:sz w:val="22"/>
          <w:szCs w:val="22"/>
        </w:rPr>
        <w:t xml:space="preserve">SERIES SANE VARIABLE REFERENCE MAP</w:t>
      </w:r>
    </w:p>
    <w:p>
      <w:pPr>
        <w:keepNext w:val="false"/>
        <w:spacing w:after="200" w:before="0"/>
        <w:ind w:firstLine="0"/>
        <w:jc w:val="left"/>
      </w:pPr>
      <w:r>
        <w:rPr>
          <w:rFonts w:ascii="Calibri" w:cs="Calibri" w:eastAsia="Calibri" w:hAnsi="Calibri"/>
          <w:b w:val="false"/>
          <w:bCs w:val="false"/>
          <w:i w:val="false"/>
          <w:iCs w:val="false"/>
          <w:caps w:val="false"/>
          <w:sz w:val="22"/>
          <w:szCs w:val="22"/>
        </w:rPr>
        <w:t xml:space="preserve">This map lists every fill-in across the three documents and flags the ones that must reconcile. Fill in the Term Sheet first, then the Deal Terms table in Section 1.1 of the Investment Agreement, then the Certificate of Incorporation. Items marked with an asterisk appear in more than one document and must match.</w:t>
      </w:r>
    </w:p>
    <w:p>
      <w:pPr>
        <w:keepNext/>
        <w:spacing w:after="200" w:before="120"/>
      </w:pPr>
      <w:r>
        <w:rPr>
          <w:rFonts w:ascii="Calibri" w:cs="Calibri" w:eastAsia="Calibri" w:hAnsi="Calibri"/>
          <w:b/>
          <w:bCs/>
          <w:sz w:val="22"/>
          <w:szCs w:val="22"/>
        </w:rPr>
        <w:t xml:space="preserve">1. Deal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60"/>
        <w:gridCol w:w="2200"/>
      </w:tblGrid>
      <w:tr>
        <w:trPr>
          <w:cantSplit/>
          <w:tblHeader/>
        </w:trPr>
        <w:tc>
          <w:tcPr>
            <w:tcW w:type="dxa" w:w="26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Variable</w:t>
            </w:r>
          </w:p>
        </w:tc>
        <w:tc>
          <w:tcPr>
            <w:tcW w:type="dxa" w:w="20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Term Sheet</w:t>
            </w:r>
          </w:p>
        </w:tc>
        <w:tc>
          <w:tcPr>
            <w:tcW w:type="dxa" w:w="256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Investment Agreement</w:t>
            </w:r>
          </w:p>
        </w:tc>
        <w:tc>
          <w:tcPr>
            <w:tcW w:type="dxa" w:w="22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Certificate</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Purchase Price / Original Issue Price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Price per Share</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Purchase Price</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Art. Fourth, Part B, Sec. 1 (Original Issue Price)</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Series Seed-1 price (if SAFEs or notes convert below the Purchase Price)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Convertible Securities</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Convertible Securities; Exhibit A</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Art. Fourth (designation); Part B, Sec. 1</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Pre-money valuation and option pool percentage</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Price per Share</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 (drives the Purchase Price and the Stock Plan numbers)</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Maximum Offering Amount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Amount</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Maximum Offering Amount</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 (authorized Preferred Stock must cover it)</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Additional closing period</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Amount</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Additional Closing Deadline</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Major Purchaser Threshold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Information and Inspection Rights</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Major Purchaser Threshold</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Qualified Financing Threshold and participation level (pay-to-play, optional)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Participation Right</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Qualified Financing Threshold; Section 5.4(e) (full share or [50]%)</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Purchaser counsel expense cap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Expenses</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Purchaser Counsel Expense Cap</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bl>
    <w:p>
      <w:pPr>
        <w:spacing w:after="0"/>
      </w:pPr>
    </w:p>
    <w:p>
      <w:pPr>
        <w:keepNext/>
        <w:spacing w:after="200" w:before="120"/>
      </w:pPr>
      <w:r>
        <w:rPr>
          <w:rFonts w:ascii="Calibri" w:cs="Calibri" w:eastAsia="Calibri" w:hAnsi="Calibri"/>
          <w:b/>
          <w:bCs/>
          <w:sz w:val="22"/>
          <w:szCs w:val="22"/>
        </w:rPr>
        <w:t xml:space="preserve">2.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60"/>
        <w:gridCol w:w="2200"/>
      </w:tblGrid>
      <w:tr>
        <w:trPr>
          <w:cantSplit/>
          <w:tblHeader/>
        </w:trPr>
        <w:tc>
          <w:tcPr>
            <w:tcW w:type="dxa" w:w="26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Variable</w:t>
            </w:r>
          </w:p>
        </w:tc>
        <w:tc>
          <w:tcPr>
            <w:tcW w:type="dxa" w:w="20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Term Sheet</w:t>
            </w:r>
          </w:p>
        </w:tc>
        <w:tc>
          <w:tcPr>
            <w:tcW w:type="dxa" w:w="256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Investment Agreement</w:t>
            </w:r>
          </w:p>
        </w:tc>
        <w:tc>
          <w:tcPr>
            <w:tcW w:type="dxa" w:w="22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Certificate</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Common, Series Seed and Mutual designee counts, and total Board size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Board of Directors</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Board Composition; Sections 7.1 and 7.2</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Art. Fourth, Part B, Sec. 3.2(a) (Series Seed Director and Common Director counts; At-Large Directors are the balance)</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Initial designees</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Exhibit A (Initial Board Designees)</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bl>
    <w:p>
      <w:pPr>
        <w:spacing w:after="0"/>
      </w:pPr>
    </w:p>
    <w:p>
      <w:pPr>
        <w:keepNext w:val="false"/>
        <w:spacing w:after="200" w:before="0"/>
        <w:ind w:firstLine="0"/>
        <w:jc w:val="left"/>
      </w:pPr>
      <w:r>
        <w:rPr>
          <w:rFonts w:ascii="Calibri" w:cs="Calibri" w:eastAsia="Calibri" w:hAnsi="Calibri"/>
          <w:b w:val="false"/>
          <w:bCs w:val="false"/>
          <w:i w:val="false"/>
          <w:iCs w:val="false"/>
          <w:caps w:val="false"/>
          <w:sz w:val="22"/>
          <w:szCs w:val="22"/>
        </w:rPr>
        <w:t xml:space="preserve">The Bylaws must set the authorized Board size at the same total.</w:t>
      </w:r>
    </w:p>
    <w:p>
      <w:pPr>
        <w:keepNext/>
        <w:spacing w:after="200" w:before="120"/>
      </w:pPr>
      <w:r>
        <w:rPr>
          <w:rFonts w:ascii="Calibri" w:cs="Calibri" w:eastAsia="Calibri" w:hAnsi="Calibri"/>
          <w:b/>
          <w:bCs/>
          <w:sz w:val="22"/>
          <w:szCs w:val="22"/>
        </w:rPr>
        <w:t xml:space="preserve">3. Capitalization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cantSplit/>
          <w:tblHeader/>
        </w:trPr>
        <w:tc>
          <w:tcPr>
            <w:tcW w:type="dxa" w:w="33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Variable</w:t>
            </w:r>
          </w:p>
        </w:tc>
        <w:tc>
          <w:tcPr>
            <w:tcW w:type="dxa" w:w="30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Investment Agreement</w:t>
            </w:r>
          </w:p>
        </w:tc>
        <w:tc>
          <w:tcPr>
            <w:tcW w:type="dxa" w:w="306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Certificate</w:t>
            </w:r>
          </w:p>
        </w:tc>
      </w:tr>
      <w:tr>
        <w:trPr>
          <w:cantSplit/>
          <w:tblHeader w:val="false"/>
        </w:trPr>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Common Stock outstanding before the Initial Closing</w:t>
            </w:r>
          </w:p>
        </w:tc>
        <w:tc>
          <w:tcPr>
            <w:tcW w:type="dxa" w:w="3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Common Stock Outstanding; Section 3.2(a)</w:t>
            </w:r>
          </w:p>
        </w:tc>
        <w:tc>
          <w:tcPr>
            <w:tcW w:type="dxa" w:w="3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Must fit within authorized Common Stock</w:t>
            </w:r>
          </w:p>
        </w:tc>
      </w:tr>
      <w:tr>
        <w:trPr>
          <w:cantSplit/>
          <w:tblHeader w:val="false"/>
        </w:trPr>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Stock Plan name; shares reserved, subject to options, and unallocated</w:t>
            </w:r>
          </w:p>
        </w:tc>
        <w:tc>
          <w:tcPr>
            <w:tcW w:type="dxa" w:w="3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Stock Plan; Section 3.2(b)</w:t>
            </w:r>
          </w:p>
        </w:tc>
        <w:tc>
          <w:tcPr>
            <w:tcW w:type="dxa" w:w="3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Must fit within authorized Common Stock</w:t>
            </w:r>
          </w:p>
        </w:tc>
      </w:tr>
      <w:tr>
        <w:trPr>
          <w:cantSplit/>
          <w:tblHeader w:val="false"/>
        </w:trPr>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Key Holder names, shares and vesting</w:t>
            </w:r>
          </w:p>
        </w:tc>
        <w:tc>
          <w:tcPr>
            <w:tcW w:type="dxa" w:w="3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Exhibit A; Disclosure Schedule, Section 3.2(d)</w:t>
            </w:r>
          </w:p>
        </w:tc>
        <w:tc>
          <w:tcPr>
            <w:tcW w:type="dxa" w:w="3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r>
        <w:trPr>
          <w:cantSplit/>
          <w:tblHeader w:val="false"/>
        </w:trPr>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Authorized Common Stock; authorized Preferred Stock [and the split between Series Seed and Series Seed-1]; par values</w:t>
            </w:r>
          </w:p>
        </w:tc>
        <w:tc>
          <w:tcPr>
            <w:tcW w:type="dxa" w:w="3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3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Art. Fourth</w:t>
            </w:r>
          </w:p>
        </w:tc>
      </w:tr>
    </w:tbl>
    <w:p>
      <w:pPr>
        <w:spacing w:after="0"/>
      </w:pPr>
    </w:p>
    <w:p>
      <w:pPr>
        <w:keepNext w:val="false"/>
        <w:spacing w:after="200" w:before="0"/>
        <w:ind w:firstLine="0"/>
        <w:jc w:val="left"/>
      </w:pPr>
      <w:r>
        <w:rPr>
          <w:rFonts w:ascii="Calibri" w:cs="Calibri" w:eastAsia="Calibri" w:hAnsi="Calibri"/>
          <w:b w:val="false"/>
          <w:bCs w:val="false"/>
          <w:i w:val="false"/>
          <w:iCs w:val="false"/>
          <w:caps w:val="false"/>
          <w:sz w:val="22"/>
          <w:szCs w:val="22"/>
        </w:rPr>
        <w:t xml:space="preserve">Authorized Common Stock must exceed the sum of outstanding Common Stock, the Stock Plan reserve, and the Common Stock issuable on conversion of all Preferred Stock that could be issued (Maximum Offering Amount divided by the Purchase Price, plus all Convertible Security Shares). Authorized Preferred Stock must be at least that same number of Preferred shares.</w:t>
      </w:r>
    </w:p>
    <w:p>
      <w:pPr>
        <w:keepNext/>
        <w:spacing w:after="200" w:before="120"/>
      </w:pPr>
      <w:r>
        <w:rPr>
          <w:rFonts w:ascii="Calibri" w:cs="Calibri" w:eastAsia="Calibri" w:hAnsi="Calibri"/>
          <w:b/>
          <w:bCs/>
          <w:sz w:val="22"/>
          <w:szCs w:val="22"/>
        </w:rPr>
        <w:t xml:space="preserve">4. Company and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60"/>
        <w:gridCol w:w="2200"/>
      </w:tblGrid>
      <w:tr>
        <w:trPr>
          <w:cantSplit/>
          <w:tblHeader/>
        </w:trPr>
        <w:tc>
          <w:tcPr>
            <w:tcW w:type="dxa" w:w="26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Variable</w:t>
            </w:r>
          </w:p>
        </w:tc>
        <w:tc>
          <w:tcPr>
            <w:tcW w:type="dxa" w:w="20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Term Sheet</w:t>
            </w:r>
          </w:p>
        </w:tc>
        <w:tc>
          <w:tcPr>
            <w:tcW w:type="dxa" w:w="256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Investment Agreement</w:t>
            </w:r>
          </w:p>
        </w:tc>
        <w:tc>
          <w:tcPr>
            <w:tcW w:type="dxa" w:w="22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Certificate</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Company name *</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Heading</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Company</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Art. First; cover page</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Agreement Date</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Date</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Agreement Date</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Signature date</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Company Counsel (copy on notices)</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Deal Terms: Company Counsel</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Registered office and agent</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Art. Second</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Original incorporation date and name</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Cover page, paragraph 1</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Purchasers: names, addresses, emails, closing dates, cash amounts, Convertible Securities and conversion prices, shares, foreign person status</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Exhibit A</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Not stated</w:t>
            </w:r>
          </w:p>
        </w:tc>
      </w:tr>
      <w:tr>
        <w:trPr>
          <w:cantSplit/>
          <w:tblHeader w:val="false"/>
        </w:trPr>
        <w:tc>
          <w:tcPr>
            <w:tcW w:type="dxa" w:w="2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Signing officer</w:t>
            </w:r>
          </w:p>
        </w:tc>
        <w:tc>
          <w:tcPr>
            <w:tcW w:type="dxa" w:w="2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Signature block</w:t>
            </w:r>
          </w:p>
        </w:tc>
        <w:tc>
          <w:tcPr>
            <w:tcW w:type="dxa" w:w="2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Signature page</w:t>
            </w:r>
          </w:p>
        </w:tc>
        <w:tc>
          <w:tcPr>
            <w:tcW w:type="dxa" w:w="22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Signature page</w:t>
            </w:r>
          </w:p>
        </w:tc>
      </w:tr>
    </w:tbl>
    <w:p>
      <w:pPr>
        <w:spacing w:after="0"/>
      </w:pPr>
    </w:p>
    <w:p>
      <w:pPr>
        <w:keepNext/>
        <w:spacing w:after="200" w:before="120"/>
      </w:pPr>
      <w:r>
        <w:rPr>
          <w:rFonts w:ascii="Calibri" w:cs="Calibri" w:eastAsia="Calibri" w:hAnsi="Calibri"/>
          <w:b/>
          <w:bCs/>
          <w:sz w:val="22"/>
          <w:szCs w:val="22"/>
        </w:rPr>
        <w:t xml:space="preserve">5. Optional provisions (delete if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Provision</w:t>
            </w:r>
          </w:p>
        </w:tc>
        <w:tc>
          <w:tcPr>
            <w:tcW w:type="dxa" w:w="576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0"/>
                <w:szCs w:val="20"/>
              </w:rPr>
              <w:t xml:space="preserve">Where</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Series Seed-1 Preferred Stock for converting SAFEs and notes</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Certificate, Art. Fourth and Part B introduction, Sec. 1; Investment Agreement, Deal Terms, Sections 1.2(e) and (i), 2.2, 2.6 and Exhibit A; Term Sheet, Convertible Securities</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Price-based anti-dilution</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Certificate, Part B, Sec. 4.4 (delete the section and the reference in Sec. 4.8, and move the Exempted Securities list into Investment Agreement Sec. 5.4(b)); Term Sheet, Anti-Dilution</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Management rights letter</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Investment Agreement, Section 2.5; Term Sheet, Information and Inspection Rights</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Pay-to-play on the participation right (Alternative 1)</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Investment Agreement, Deal Terms (Qualified Financing Threshold) and Section 5.4(e); Term Sheet, Participation Right</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One-round-only participation right (Alternative 2; keep one alternative or neither)</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Investment Agreement, Section 5.4(f); Term Sheet, Participation Right</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Spousal consent (community property states)</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Investment Agreement, Section 2.5 and Exhibit D</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California Section 500 article</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Certificate, Art. Fourteenth</w:t>
            </w:r>
          </w:p>
        </w:tc>
      </w:tr>
      <w:tr>
        <w:trPr>
          <w:cantSplit/>
          <w:tblHeader w:val="false"/>
        </w:trPr>
        <w:tc>
          <w:tcPr>
            <w:tcW w:type="dxa" w:w="36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Consultant and director vesting period</w:t>
            </w:r>
          </w:p>
        </w:tc>
        <w:tc>
          <w:tcPr>
            <w:tcW w:type="dxa" w:w="57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0"/>
                <w:szCs w:val="20"/>
              </w:rPr>
              <w:t xml:space="preserve">Investment Agreement, Section 5.7</w:t>
            </w:r>
          </w:p>
        </w:tc>
      </w:tr>
    </w:tbl>
    <w:p>
      <w:pPr>
        <w:spacing w:after="0"/>
      </w:pPr>
    </w:p>
    <w:p>
      <w:pPr>
        <w:keepNext/>
        <w:spacing w:after="200" w:before="120"/>
      </w:pPr>
      <w:r>
        <w:rPr>
          <w:rFonts w:ascii="Calibri" w:cs="Calibri" w:eastAsia="Calibri" w:hAnsi="Calibri"/>
          <w:b/>
          <w:bCs/>
          <w:sz w:val="22"/>
          <w:szCs w:val="22"/>
        </w:rPr>
        <w:t xml:space="preserve">6. Fixed terms that are not variables</w:t>
      </w:r>
    </w:p>
    <w:p>
      <w:pPr>
        <w:keepNext w:val="false"/>
        <w:spacing w:after="200" w:before="0"/>
        <w:ind w:firstLine="0"/>
        <w:jc w:val="left"/>
      </w:pPr>
      <w:r>
        <w:rPr>
          <w:rFonts w:ascii="Calibri" w:cs="Calibri" w:eastAsia="Calibri" w:hAnsi="Calibri"/>
          <w:b w:val="false"/>
          <w:bCs w:val="false"/>
          <w:i w:val="false"/>
          <w:iCs w:val="false"/>
          <w:caps w:val="false"/>
          <w:sz w:val="22"/>
          <w:szCs w:val="22"/>
        </w:rPr>
        <w:t xml:space="preserve">These are set in the documents and should be changed only deliberately: the 25% outstanding threshold for the Series Seed Director seat and the protective provisions; the 10-day notice for waiving a Deemed Liquidation Event; the 90/120/150-day asset-sale redemption timeline; the 15-day and 5-day participation right periods; the 45/15/10-day right of first refusal periods; the 180-day market stand-off; the $50,000 Material Agreement threshold and the $25,000 / $100,000 liability thresholds in the representations; the $5,000 cap on Purchaser counsel fees for the next financing; the 1% threshold for joinder of new stockholders; and the 120-day and 45-day financial statement deadlines.</w:t>
      </w:r>
    </w:p>
    <w:sectPr>
      <w:footerReference w:type="default" r:id="rId7"/>
      <w:footerReference w:type="first" r:id="rId8"/>
      <w:type w:val="nextPage"/>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Sane Variable Reference Map</dc:title>
  <dc:creator>Series Sane</dc:creator>
  <dc:description>Series Sane open-source seed financing documents</dc:description>
  <cp:lastModifiedBy>Un-named</cp:lastModifiedBy>
  <cp:revision>1</cp:revision>
  <dcterms:created xsi:type="dcterms:W3CDTF">2026-10-11T23:41:03.172Z</dcterms:created>
  <dcterms:modified xsi:type="dcterms:W3CDTF">2026-10-11T23:41:03.172Z</dcterms:modified>
</cp:coreProperties>
</file>

<file path=docProps/custom.xml><?xml version="1.0" encoding="utf-8"?>
<Properties xmlns="http://schemas.openxmlformats.org/officeDocument/2006/custom-properties" xmlns:vt="http://schemas.openxmlformats.org/officeDocument/2006/docPropsVTypes"/>
</file>