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color w:val="888888"/>
          <w:spacing w:val="40"/>
          <w:sz w:val="20"/>
          <w:szCs w:val="20"/>
        </w:rPr>
        <w:t xml:space="preserve">DOC-002 Addendum</w:t>
      </w:r>
    </w:p>
    <w:p>
      <w:pPr>
        <w:spacing w:after="40"/>
        <w:jc w:val="center"/>
      </w:pPr>
      <w:r>
        <w:rPr>
          <w:b/>
          <w:bCs/>
          <w:color w:val="1A1A2E"/>
          <w:sz w:val="34"/>
          <w:szCs w:val="34"/>
        </w:rPr>
        <w:t xml:space="preserve">LR-080 through LR-084</w:t>
      </w:r>
    </w:p>
    <w:p>
      <w:pPr>
        <w:spacing w:after="200"/>
        <w:jc w:val="center"/>
      </w:pPr>
      <w:r>
        <w:rPr>
          <w:i/>
          <w:iCs/>
          <w:color w:val="555555"/>
          <w:sz w:val="22"/>
          <w:szCs w:val="22"/>
        </w:rPr>
        <w:t xml:space="preserve">Rules added during LENS-017</w:t>
      </w:r>
    </w:p>
    <w:p>
      <w:pPr>
        <w:pBdr>
          <w:bottom w:val="single" w:color="999999" w:sz="6" w:space="2"/>
        </w:pBdr>
        <w:spacing w:after="160" w:before="160"/>
      </w:pPr>
    </w:p>
    <w:p>
      <w:pPr>
        <w:spacing w:after="100" w:line="280"/>
        <w:jc w:val="both"/>
      </w:pPr>
      <w:r>
        <w:t xml:space="preserve">The following five rules are additions to DOC-002 (Project Lens Rules Registry). They emerged from LENS-016 debug work and LENS-017 strategic discussion. All five are operator-confirmed. Merge into DOC-002 in order.</w:t>
      </w:r>
    </w:p>
    <w:p>
      <w:pPr>
        <w:pStyle w:val="Heading1"/>
      </w:pPr>
      <w:r>
        <w:t xml:space="preserve">LR-080 — Silent-Write Discipline</w:t>
      </w:r>
    </w:p>
    <w:p>
      <w:pPr>
        <w:spacing w:after="60"/>
      </w:pPr>
      <w:r>
        <w:rPr>
          <w:b/>
          <w:bCs/>
        </w:rPr>
        <w:t xml:space="preserve">Type: </w:t>
      </w:r>
      <w:r>
        <w:t xml:space="preserve">Error fighting</w:t>
      </w:r>
    </w:p>
    <w:p>
      <w:pPr>
        <w:spacing w:after="60"/>
      </w:pPr>
      <w:r>
        <w:rPr>
          <w:b/>
          <w:bCs/>
        </w:rPr>
        <w:t xml:space="preserve">Originated: </w:t>
      </w:r>
      <w:r>
        <w:t xml:space="preserve">LENS-016 (quality_score write path bug)</w:t>
      </w:r>
    </w:p>
    <w:p>
      <w:pPr>
        <w:spacing w:after="60"/>
      </w:pPr>
      <w:r>
        <w:rPr>
          <w:b/>
          <w:bCs/>
        </w:rPr>
        <w:t xml:space="preserve">Confirmed: </w:t>
      </w:r>
      <w:r>
        <w:t xml:space="preserve">LENS-017 (Supabase I7 state dedup verification)</w:t>
      </w:r>
    </w:p>
    <w:p>
      <w:pPr>
        <w:spacing w:after="100" w:line="280"/>
        <w:jc w:val="both"/>
      </w:pPr>
      <w:r>
        <w:t xml:space="preserve">After every write to a persistent store (Supabase INSERT/UPDATE/UPSERT, file write, git commit), immediately verify the write landed by reading the state back. "200 OK" and "INSERT successful" are status messages, not evidence. The evidence is the row, file, or commit observed in its final state.</w:t>
      </w:r>
    </w:p>
    <w:p>
      <w:pPr>
        <w:spacing w:after="100" w:line="280"/>
        <w:jc w:val="both"/>
      </w:pPr>
      <w:r>
        <w:t xml:space="preserve">Specifically: after a Supabase INSERT, SELECT the row. After a git commit, git log --oneline to confirm the SHA. After a file write, stat + read back the first few bytes. The write-then-verify pattern must be reflexive, not optional.</w:t>
      </w:r>
    </w:p>
    <w:p>
      <w:pPr>
        <w:spacing w:after="100" w:line="280"/>
        <w:jc w:val="both"/>
      </w:pPr>
      <w:r>
        <w:t xml:space="preserve">Violation example (from LENS-016): analyze_lens_multi.py produced quality scores in the log but never wrote them to lens_reports.quality_score. Log said "quality=7.5", DB column stayed NULL for weeks. The log was a status message, not a write.</w:t>
      </w:r>
    </w:p>
    <w:p>
      <w:pPr>
        <w:pStyle w:val="Heading1"/>
      </w:pPr>
      <w:r>
        <w:t xml:space="preserve">LR-081 — Status-Message Skepticism</w:t>
      </w:r>
    </w:p>
    <w:p>
      <w:pPr>
        <w:spacing w:after="60"/>
      </w:pPr>
      <w:r>
        <w:rPr>
          <w:b/>
          <w:bCs/>
        </w:rPr>
        <w:t xml:space="preserve">Type: </w:t>
      </w:r>
      <w:r>
        <w:t xml:space="preserve">Error fighting</w:t>
      </w:r>
    </w:p>
    <w:p>
      <w:pPr>
        <w:spacing w:after="60"/>
      </w:pPr>
      <w:r>
        <w:rPr>
          <w:b/>
          <w:bCs/>
        </w:rPr>
        <w:t xml:space="preserve">Originated: </w:t>
      </w:r>
      <w:r>
        <w:t xml:space="preserve">LENS-017 (Supabase project-mismatch trap)</w:t>
      </w:r>
    </w:p>
    <w:p>
      <w:pPr>
        <w:spacing w:after="100" w:line="280"/>
        <w:jc w:val="both"/>
      </w:pPr>
      <w:r>
        <w:t xml:space="preserve">Never trust a status message as evidence of correctness. Status messages report that an operation was dispatched; they do not report that the operation achieved its goal. Verify goal achievement by reading the actual state.</w:t>
      </w:r>
    </w:p>
    <w:p>
      <w:pPr>
        <w:spacing w:after="100" w:line="280"/>
        <w:jc w:val="both"/>
      </w:pPr>
      <w:r>
        <w:t xml:space="preserve">Common status-message traps: console "OK", HTTP 200 on a dispatch endpoint, "compilation successful" on a file whose bytes were not written, "migration complete" in an SQL editor pointing at a different project than the application.</w:t>
      </w:r>
    </w:p>
    <w:p>
      <w:pPr>
        <w:spacing w:after="100" w:line="280"/>
        <w:jc w:val="both"/>
      </w:pPr>
      <w:r>
        <w:t xml:space="preserve">The corrective discipline: after any critical operation, ask "what evidence confirms this achieved its goal?" If the answer is "the console said OK," the verification is incomplete.</w:t>
      </w:r>
    </w:p>
    <w:p>
      <w:pPr>
        <w:pStyle w:val="Heading1"/>
      </w:pPr>
      <w:r>
        <w:t xml:space="preserve">LR-082 — State-Machine Discipline</w:t>
      </w:r>
    </w:p>
    <w:p>
      <w:pPr>
        <w:spacing w:after="60"/>
      </w:pPr>
      <w:r>
        <w:rPr>
          <w:b/>
          <w:bCs/>
        </w:rPr>
        <w:t xml:space="preserve">Type: </w:t>
      </w:r>
      <w:r>
        <w:t xml:space="preserve">Error fighting</w:t>
      </w:r>
    </w:p>
    <w:p>
      <w:pPr>
        <w:spacing w:after="60"/>
      </w:pPr>
      <w:r>
        <w:rPr>
          <w:b/>
          <w:bCs/>
        </w:rPr>
        <w:t xml:space="preserve">Originated: </w:t>
      </w:r>
      <w:r>
        <w:t xml:space="preserve">LENS-016 (S4-E design discussion)</w:t>
      </w:r>
    </w:p>
    <w:p>
      <w:pPr>
        <w:spacing w:after="60"/>
      </w:pPr>
      <w:r>
        <w:rPr>
          <w:b/>
          <w:bCs/>
        </w:rPr>
        <w:t xml:space="preserve">Shipped: </w:t>
      </w:r>
      <w:r>
        <w:t xml:space="preserve">LENS-017 I7 (commit 8422efb)</w:t>
      </w:r>
    </w:p>
    <w:p>
      <w:pPr>
        <w:spacing w:after="100" w:line="280"/>
        <w:jc w:val="both"/>
      </w:pPr>
      <w:r>
        <w:t xml:space="preserve">When implementing any feature that depends on a transition (fire-once alerts, crossing-edge detection, rate-limited triggers, one-time migrations, etc.), explicitly model the state machine. Name the states. Name the transitions. Store state durably.</w:t>
      </w:r>
    </w:p>
    <w:p>
      <w:pPr>
        <w:spacing w:after="100" w:line="280"/>
        <w:jc w:val="both"/>
      </w:pPr>
      <w:r>
        <w:t xml:space="preserve">Never rely on timer-based or count-based heuristics alone. "Only fire if last_count &lt; threshold" is count logic. "Only fire if count just crossed threshold AND we have not fired since last reset" is state-machine logic. The difference is representation: the first is implicit (count comparison), the second is explicit (state column in a table).</w:t>
      </w:r>
    </w:p>
    <w:p>
      <w:pPr>
        <w:spacing w:after="100" w:line="280"/>
        <w:jc w:val="both"/>
      </w:pPr>
      <w:r>
        <w:t xml:space="preserve">Pre-LR-082 bug pattern (fixed by I7 crossing-edge): S4-E upgrade trigger fired every orchestrator cycle because "above threshold" was the only condition checked. The state "already fired this period" was not represented anywhere. Three Telegram alerts in one night.</w:t>
      </w:r>
    </w:p>
    <w:p>
      <w:pPr>
        <w:pStyle w:val="Heading1"/>
      </w:pPr>
      <w:r>
        <w:t xml:space="preserve">LR-083 — Investigation vs Research-Paper Methodology</w:t>
      </w:r>
    </w:p>
    <w:p>
      <w:pPr>
        <w:spacing w:after="60"/>
      </w:pPr>
      <w:r>
        <w:rPr>
          <w:b/>
          <w:bCs/>
        </w:rPr>
        <w:t xml:space="preserve">Type: </w:t>
      </w:r>
      <w:r>
        <w:t xml:space="preserve">Collaboration + philosophy</w:t>
      </w:r>
    </w:p>
    <w:p>
      <w:pPr>
        <w:spacing w:after="60"/>
      </w:pPr>
      <w:r>
        <w:rPr>
          <w:b/>
          <w:bCs/>
        </w:rPr>
        <w:t>Originated: LENS-017 (CCP/Xi attribution discussion, April 20 UTC+7 morning)</w:t>
      </w:r>
      <w:r/>
    </w:p>
    <w:p>
      <w:pPr>
        <w:spacing w:after="60"/>
      </w:pPr>
      <w:r>
        <w:rPr>
          <w:b/>
          <w:bCs/>
        </w:rPr>
        <w:t xml:space="preserve">Confirmed: </w:t>
      </w:r>
      <w:r>
        <w:t xml:space="preserve">Post-rest operator reframe ("we are making investigation system, not research paper")</w:t>
      </w:r>
    </w:p>
    <w:p>
      <w:pPr>
        <w:spacing w:after="100" w:line="280"/>
        <w:jc w:val="both"/>
      </w:pPr>
      <w:r>
        <w:t xml:space="preserve">Project Lens is a forensic investigation system, not an academic research publication. Investigation surfaces candidate architects with evidence chains. Publication requires triple-confirmed attribution before naming a suspect. Claude must not confuse the two modes.</w:t>
      </w:r>
    </w:p>
    <w:p>
      <w:pPr>
        <w:spacing w:after="100" w:line="280"/>
        <w:jc w:val="both"/>
      </w:pPr>
      <w:r>
        <w:t xml:space="preserve">When asked to structure the system to surface possible root-cause actors, the correct response is: "name candidates by evidence weight, cite chains, note gaps, evaluate alternative hypotheses." The discipline is in the evidence-chain requirement, not in refusing to name suspects.</w:t>
      </w:r>
    </w:p>
    <w:p>
      <w:pPr>
        <w:spacing w:after="100" w:line="280"/>
        <w:jc w:val="both"/>
      </w:pPr>
      <w:r>
        <w:t xml:space="preserve">Investigators have persons of interest before evidence is complete. That is how investigations work. The discipline is that the suspect list must be evidence-receptive — open to addition, open to elimination, never asserted without chain, always accompanied by alternative hypotheses and their plausibility scores.</w:t>
      </w:r>
    </w:p>
    <w:p>
      <w:pPr>
        <w:spacing w:after="100" w:line="280"/>
        <w:jc w:val="both"/>
      </w:pPr>
      <w:r>
        <w:t xml:space="preserve">Origin: Claude initially refused to add an Architect-Hypothesis subsection to the Forensic Report prompt, citing concerns about pre-loading conclusions. Operator correctly identified the error — the concern was fabrication (pre-loading answers), not pre-loading of questions. Pre-loading the question "who is the candidate architect?" is investigation. Pre-loading the answer "CCP is the architect" is fabrication. Claude had conflated them.</w:t>
      </w:r>
    </w:p>
    <w:p>
      <w:pPr>
        <w:pStyle w:val="Heading1"/>
      </w:pPr>
      <w:r>
        <w:t xml:space="preserve">LR-084 — Verification Context = Production Context</w:t>
      </w:r>
    </w:p>
    <w:p>
      <w:pPr>
        <w:spacing w:after="60"/>
      </w:pPr>
      <w:r>
        <w:rPr>
          <w:b/>
          <w:bCs/>
        </w:rPr>
        <w:t xml:space="preserve">Type: </w:t>
      </w:r>
      <w:r>
        <w:t xml:space="preserve">Error fighting</w:t>
      </w:r>
    </w:p>
    <w:p>
      <w:pPr>
        <w:spacing w:after="60"/>
      </w:pPr>
      <w:r>
        <w:rPr>
          <w:b/>
          <w:bCs/>
        </w:rPr>
        <w:t xml:space="preserve">Originated: </w:t>
      </w:r>
      <w:r>
        <w:t xml:space="preserve">LENS-017 (Supabase project-mismatch trap during I7 migration)</w:t>
      </w:r>
    </w:p>
    <w:p>
      <w:pPr>
        <w:spacing w:after="100" w:line="280"/>
        <w:jc w:val="both"/>
      </w:pPr>
      <w:r>
        <w:t xml:space="preserve">Verification performed in a context other than the production context is not verification, even when all output says "success." The verification context must equal the runtime context, or it is not verification.</w:t>
      </w:r>
    </w:p>
    <w:p>
      <w:pPr>
        <w:spacing w:after="100" w:line="280"/>
        <w:jc w:val="both"/>
      </w:pPr>
      <w:r>
        <w:t xml:space="preserve">Common violation: running a migration in Supabase SQL editor that happens to be pointed at a parallel project, getting 1,5,2 success, and assuming the production project is migrated. Reading "200 OK" from the wrong database does not prove anything about the right database.</w:t>
      </w:r>
    </w:p>
    <w:p>
      <w:pPr>
        <w:spacing w:after="100" w:line="280"/>
        <w:jc w:val="both"/>
      </w:pPr>
      <w:r>
        <w:t xml:space="preserve">The corrective discipline: before any verification action, explicitly confirm the context matches production. Paste the URL. Read the environment variable. Echo the project name. If the context cannot be confirmed to match production, the verification does not count — run it again in the correct context.</w:t>
      </w:r>
    </w:p>
    <w:p>
      <w:pPr>
        <w:spacing w:after="100" w:line="280"/>
        <w:jc w:val="both"/>
      </w:pPr>
      <w:r>
        <w:t xml:space="preserve">Extension to team: this applies to runners, environments, Python interpreters, virtual environments, database connection strings, API keys, and feature flag scopes. A dry-run on one runner proves nothing about a different runner. A test with one API key proves nothing about a different API key. Always verify-in-the-right-place.</w:t>
      </w:r>
    </w:p>
    <w:p>
      <w:pPr>
        <w:pBdr>
          <w:bottom w:val="single" w:color="999999" w:sz="6" w:space="2"/>
        </w:pBdr>
        <w:spacing w:after="160" w:before="160"/>
      </w:pPr>
    </w:p>
    <w:p>
      <w:pPr>
        <w:spacing w:after="40" w:before="200"/>
        <w:jc w:val="center"/>
      </w:pPr>
      <w:r>
        <w:rPr>
          <w:i/>
          <w:iCs/>
          <w:color w:val="555555"/>
          <w:sz w:val="20"/>
          <w:szCs w:val="20"/>
        </w:rPr>
        <w:t xml:space="preserve">Total rules registry now: LR-001 through LR-084</w:t>
      </w:r>
    </w:p>
    <w:p>
      <w:pPr>
        <w:jc w:val="center"/>
      </w:pPr>
      <w:r>
        <w:rPr>
          <w:i/>
          <w:iCs/>
          <w:color w:val="555555"/>
          <w:sz w:val="20"/>
          <w:szCs w:val="20"/>
        </w:rPr>
        <w:t xml:space="preserve">Next rules: LR-085+ as LENS-018 discovers them</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Rules Addendum · LENS-017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2E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LENS-017 Rules Addendum — LR-080 through LR-084</dc:title>
  <dc:creator>Claude</dc:creator>
  <cp:lastModifiedBy>Un-named</cp:lastModifiedBy>
  <cp:revision>1</cp:revision>
  <dcterms:created xsi:type="dcterms:W3CDTF">2026-04-21T03:29:15.671Z</dcterms:created>
  <dcterms:modified xsi:type="dcterms:W3CDTF">2026-04-21T03:29:15.671Z</dcterms:modified>
</cp:coreProperties>
</file>

<file path=docProps/custom.xml><?xml version="1.0" encoding="utf-8"?>
<Properties xmlns="http://schemas.openxmlformats.org/officeDocument/2006/custom-properties" xmlns:vt="http://schemas.openxmlformats.org/officeDocument/2006/docPropsVTypes"/>
</file>