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space="4"/>
        </w:pBdr>
        <w:spacing w:after="480" w:before="0"/>
      </w:pPr>
      <w:r>
        <w:rPr>
          <w:rFonts w:ascii="Arial" w:cs="Arial" w:eastAsia="Arial" w:hAnsi="Arial"/>
          <w:b/>
          <w:bCs/>
          <w:sz w:val="32"/>
          <w:szCs w:val="32"/>
        </w:rPr>
        <w:t xml:space="preserve">April 17, 2026 02:19 AM</w:t>
      </w:r>
    </w:p>
    <w:p>
      <w:pPr>
        <w:pBdr>
          <w:bottom w:val="single" w:color="cccccc" w:sz="1" w:space="4"/>
        </w:pBdr>
        <w:spacing w:after="160" w:before="360"/>
      </w:pPr>
      <w:r>
        <w:rPr>
          <w:rFonts w:ascii="Arial" w:cs="Arial" w:eastAsia="Arial" w:hAnsi="Arial"/>
          <w:b/>
          <w:bCs/>
          <w:color w:val="1a1a2e"/>
          <w:sz w:val="24"/>
          <w:szCs w:val="24"/>
        </w:rPr>
        <w:t xml:space="preserve">SYSTEM 2 — INJECTION ANALYSIS</w:t>
      </w:r>
    </w:p>
    <w:p>
      <w:pPr>
        <w:spacing w:after="80" w:before="160"/>
      </w:pPr>
      <w:r>
        <w:rPr>
          <w:rFonts w:ascii="Arial" w:cs="Arial" w:eastAsia="Arial" w:hAnsi="Arial"/>
          <w:b/>
          <w:bCs/>
          <w:sz w:val="21"/>
          <w:szCs w:val="21"/>
        </w:rPr>
        <w:t xml:space="preserve">S2-A Injection Detection:</w:t>
      </w:r>
    </w:p>
    <w:p>
      <w:pPr>
        <w:spacing w:after="60"/>
      </w:pPr>
    </w:p>
    <w:p>
      <w:pPr>
        <w:spacing w:after="100"/>
        <w:jc w:val="both"/>
      </w:pPr>
      <w:r>
        <w:rPr>
          <w:rFonts w:ascii="Arial" w:cs="Arial" w:eastAsia="Arial" w:hAnsi="Arial"/>
          <w:sz w:val="20"/>
          <w:szCs w:val="20"/>
        </w:rPr>
        <w:t xml:space="preserve">The injection type detected in S2-A is PHRASE_SYNC, with a confidence level of 50 percent. At this confidence level, the signal is ambiguous but warrants tracking. PHRASE_SYNC indicates that a specific phrase or cluster of phrases is appearing with unusual frequency or coordination across sources, suggesting either organic convergence around a shared topic or early-stage coordinated amplification. The 50 percent confidence means the pattern is present but not yet conclusive as deliberate injection.</w:t>
      </w:r>
    </w:p>
    <w:p>
      <w:pPr>
        <w:spacing w:after="60"/>
      </w:pPr>
    </w:p>
    <w:p>
      <w:pPr>
        <w:spacing w:after="80" w:before="160"/>
      </w:pPr>
      <w:r>
        <w:rPr>
          <w:rFonts w:ascii="Arial" w:cs="Arial" w:eastAsia="Arial" w:hAnsi="Arial"/>
          <w:b/>
          <w:bCs/>
          <w:sz w:val="21"/>
          <w:szCs w:val="21"/>
        </w:rPr>
        <w:t xml:space="preserve">Flagged phrases:</w:t>
      </w:r>
    </w:p>
    <w:p>
      <w:pPr>
        <w:spacing w:after="60"/>
      </w:pPr>
    </w:p>
    <w:p>
      <w:pPr>
        <w:pStyle w:val="ListParagraph"/>
        <w:numPr>
          <w:ilvl w:val="0"/>
          <w:numId w:val="2"/>
        </w:numPr>
        <w:spacing w:after="60"/>
      </w:pPr>
      <w:r>
        <w:rPr>
          <w:rFonts w:ascii="Arial" w:cs="Arial" w:eastAsia="Arial" w:hAnsi="Arial"/>
          <w:sz w:val="20"/>
          <w:szCs w:val="20"/>
        </w:rPr>
        <w:t xml:space="preserve">GCSP growth</w:t>
      </w:r>
    </w:p>
    <w:p>
      <w:pPr>
        <w:spacing w:after="60"/>
      </w:pPr>
    </w:p>
    <w:p>
      <w:pPr>
        <w:spacing w:after="100"/>
        <w:jc w:val="both"/>
      </w:pPr>
      <w:r>
        <w:rPr>
          <w:rFonts w:ascii="Arial" w:cs="Arial" w:eastAsia="Arial" w:hAnsi="Arial"/>
          <w:sz w:val="20"/>
          <w:szCs w:val="20"/>
        </w:rPr>
        <w:t xml:space="preserve">The phrase "GCSP growth" is analytically notable because it is technical, non-emotive, and yet appears as a synchronization marker. In practice, PHRASE_SYNC at this confidence level functions as a seed phrase, a term introduced into discourse to anchor a specific framing before the argument around it is fully constructed. The cognitive effect this phrase is designed to produce depends heavily on the context in which GCSP is deployed. If GCSP refers to a financial or sovereignty-related index, the phrase normalizes the idea that there is a measurable, trackable phenomenon worth growing or protecting, creating a framework in which audiences accept the premise before evaluating the substance. The injection risk is that the phrase appears in S2-C as a target under attack, meaning it is being positioned as something adversarial pressure is trying to suppress. This positions the audience to defend the concept without first critically examining it.</w:t>
      </w:r>
    </w:p>
    <w:p>
      <w:pPr>
        <w:spacing w:after="60"/>
      </w:pPr>
    </w:p>
    <w:p>
      <w:pPr>
        <w:spacing w:after="80" w:before="160"/>
      </w:pPr>
      <w:r>
        <w:rPr>
          <w:rFonts w:ascii="Arial" w:cs="Arial" w:eastAsia="Arial" w:hAnsi="Arial"/>
          <w:b/>
          <w:bCs/>
          <w:sz w:val="21"/>
          <w:szCs w:val="21"/>
        </w:rPr>
        <w:t xml:space="preserve">S2-B Coordination Analysis:</w:t>
      </w:r>
    </w:p>
    <w:p>
      <w:pPr>
        <w:spacing w:after="60"/>
      </w:pPr>
    </w:p>
    <w:p>
      <w:pPr>
        <w:spacing w:after="100"/>
        <w:jc w:val="both"/>
      </w:pPr>
      <w:r>
        <w:rPr>
          <w:rFonts w:ascii="Arial" w:cs="Arial" w:eastAsia="Arial" w:hAnsi="Arial"/>
          <w:sz w:val="20"/>
          <w:szCs w:val="20"/>
        </w:rPr>
        <w:t xml:space="preserve">No data was available for S2-B in this cycle. No coordination pattern was therefore detected from this source. The absence of data from S2-B is itself a signal worth noting. In a high-activity information environment where S2-C scores 30 percent and S2-D scores 92 percent, a blank coordination feed creates an analytical blind spot in the middle of the signal chain. What was observed instead was a displacement pattern: the absence of coordination data in S2-B increases analytical reliance on S2-D for structural interpretation. This is a known vulnerability in intelligence synthesis. When one channel is silent, the channels that are loud carry disproportionate interpretive weight. Analysts should weight S2-D conclusions with additional caution this cycle precisely because S2-B did not provide a cross-check.</w:t>
      </w:r>
    </w:p>
    <w:p>
      <w:pPr>
        <w:spacing w:after="60"/>
      </w:pPr>
    </w:p>
    <w:p>
      <w:pPr>
        <w:spacing w:after="80" w:before="160"/>
      </w:pPr>
      <w:r>
        <w:rPr>
          <w:rFonts w:ascii="Arial" w:cs="Arial" w:eastAsia="Arial" w:hAnsi="Arial"/>
          <w:b/>
          <w:bCs/>
          <w:sz w:val="21"/>
          <w:szCs w:val="21"/>
        </w:rPr>
        <w:t xml:space="preserve">S2-C Emotional Framing:</w:t>
      </w:r>
    </w:p>
    <w:p>
      <w:pPr>
        <w:spacing w:after="60"/>
      </w:pPr>
    </w:p>
    <w:p>
      <w:pPr>
        <w:spacing w:after="100"/>
        <w:jc w:val="both"/>
      </w:pPr>
      <w:r>
        <w:rPr>
          <w:rFonts w:ascii="Arial" w:cs="Arial" w:eastAsia="Arial" w:hAnsi="Arial"/>
          <w:sz w:val="20"/>
          <w:szCs w:val="20"/>
        </w:rPr>
        <w:t xml:space="preserve">The dominant emotion being manufactured in this cycle is escalatory fear combined with structural helplessness. The manipulation score is 30 percent, which places this in the moderate range. At this score, the emotional framing is present and traceable but has not yet reached saturation. It is in active deployment rather than peak amplification.</w:t>
      </w:r>
    </w:p>
    <w:p>
      <w:pPr>
        <w:spacing w:after="60"/>
      </w:pPr>
    </w:p>
    <w:p>
      <w:pPr>
        <w:spacing w:after="80" w:before="160"/>
      </w:pPr>
      <w:r>
        <w:rPr>
          <w:rFonts w:ascii="Arial" w:cs="Arial" w:eastAsia="Arial" w:hAnsi="Arial"/>
          <w:b/>
          <w:bCs/>
          <w:sz w:val="21"/>
          <w:szCs w:val="21"/>
        </w:rPr>
        <w:t xml:space="preserve">The 5-step emotion sequence being deployed is as follows:</w:t>
      </w:r>
    </w:p>
    <w:p>
      <w:pPr>
        <w:spacing w:after="60"/>
      </w:pPr>
    </w:p>
    <w:p>
      <w:pPr>
        <w:spacing w:after="100"/>
        <w:jc w:val="both"/>
      </w:pPr>
      <w:r>
        <w:rPr>
          <w:rFonts w:ascii="Arial" w:cs="Arial" w:eastAsia="Arial" w:hAnsi="Arial"/>
          <w:sz w:val="20"/>
          <w:szCs w:val="20"/>
        </w:rPr>
        <w:t xml:space="preserve">Step 1: Establish a concrete and ongoing military confrontation between Russia and Ukraine, with the EU and US named as active participants. This grounds the audience in a real conflict and gives the emotional sequence factual credibility as its entry point.</w:t>
      </w:r>
    </w:p>
    <w:p>
      <w:pPr>
        <w:spacing w:after="60"/>
      </w:pPr>
    </w:p>
    <w:p>
      <w:pPr>
        <w:spacing w:after="100"/>
        <w:jc w:val="both"/>
      </w:pPr>
      <w:r>
        <w:rPr>
          <w:rFonts w:ascii="Arial" w:cs="Arial" w:eastAsia="Arial" w:hAnsi="Arial"/>
          <w:sz w:val="20"/>
          <w:szCs w:val="20"/>
        </w:rPr>
        <w:t xml:space="preserve">Step 2: Introduce an economic-industrial dimension by describing EU countries moving Ukrainian drone production to their own territory. This extends the conflict from the battlefield into the economic sphere, manufacturing a sense that the confrontation is widening in ways the audience cannot easily track or contest.</w:t>
      </w:r>
    </w:p>
    <w:p>
      <w:pPr>
        <w:spacing w:after="60"/>
      </w:pPr>
    </w:p>
    <w:p>
      <w:pPr>
        <w:spacing w:after="100"/>
        <w:jc w:val="both"/>
      </w:pPr>
      <w:r>
        <w:rPr>
          <w:rFonts w:ascii="Arial" w:cs="Arial" w:eastAsia="Arial" w:hAnsi="Arial"/>
          <w:sz w:val="20"/>
          <w:szCs w:val="20"/>
        </w:rPr>
        <w:t xml:space="preserve">Step 3: Frame the economic-industrial dimension as a trap. The phrase "debt trap" and "structural dependency" transforms a policy decision into a mechanism of harm, shifting the audience's emotional register from concern to alarm. The audience is now positioned to see economic integration itself as dangerous.</w:t>
      </w:r>
    </w:p>
    <w:p>
      <w:pPr>
        <w:spacing w:after="60"/>
      </w:pPr>
    </w:p>
    <w:p>
      <w:pPr>
        <w:spacing w:after="100"/>
        <w:jc w:val="both"/>
      </w:pPr>
      <w:r>
        <w:rPr>
          <w:rFonts w:ascii="Arial" w:cs="Arial" w:eastAsia="Arial" w:hAnsi="Arial"/>
          <w:sz w:val="20"/>
          <w:szCs w:val="20"/>
        </w:rPr>
        <w:t xml:space="preserve">Step 4: Introduce sovereignty language. Russia's rhetoric about "sovereignty theft" and "ethnic erasure" is inserted as a parallel track, cross-contaminating the financial analysis with identity threat. This step is critical because it bridges material grievance and cultural existential fear, two of the most powerful emotional drivers in conflict narratives.</w:t>
      </w:r>
    </w:p>
    <w:p>
      <w:pPr>
        <w:spacing w:after="60"/>
      </w:pPr>
    </w:p>
    <w:p>
      <w:pPr>
        <w:spacing w:after="100"/>
        <w:jc w:val="both"/>
      </w:pPr>
      <w:r>
        <w:rPr>
          <w:rFonts w:ascii="Arial" w:cs="Arial" w:eastAsia="Arial" w:hAnsi="Arial"/>
          <w:sz w:val="20"/>
          <w:szCs w:val="20"/>
        </w:rPr>
        <w:t xml:space="preserve">Step 5: Target GCSP growth explicitly as the object under attack. By naming GCSP growth as something that Russia's narrative attacks on Ukrainian cultural policy are designed to block, the sequence concludes with the audience understanding that the entire chain of events, military, economic, and cultural, converges on suppressing a specific positive outcome. The intended effect is to make the audience feel that resistance to Russian narrative is both necessary and urgent.</w:t>
      </w:r>
    </w:p>
    <w:p>
      <w:pPr>
        <w:spacing w:after="60"/>
      </w:pPr>
    </w:p>
    <w:p>
      <w:pPr>
        <w:spacing w:after="60"/>
      </w:pPr>
    </w:p>
    <w:p>
      <w:pPr>
        <w:pBdr>
          <w:bottom w:val="single" w:color="cccccc" w:sz="1" w:space="4"/>
        </w:pBdr>
        <w:spacing w:after="160" w:before="360"/>
      </w:pPr>
      <w:r>
        <w:rPr>
          <w:rFonts w:ascii="Arial" w:cs="Arial" w:eastAsia="Arial" w:hAnsi="Arial"/>
          <w:b/>
          <w:bCs/>
          <w:color w:val="1a1a2e"/>
          <w:sz w:val="24"/>
          <w:szCs w:val="24"/>
        </w:rPr>
        <w:t xml:space="preserve">SYSTEM 2 — ADVERSARY AND GAP</w:t>
      </w:r>
    </w:p>
    <w:p>
      <w:pPr>
        <w:spacing w:after="80" w:before="160"/>
      </w:pPr>
      <w:r>
        <w:rPr>
          <w:rFonts w:ascii="Arial" w:cs="Arial" w:eastAsia="Arial" w:hAnsi="Arial"/>
          <w:b/>
          <w:bCs/>
          <w:sz w:val="21"/>
          <w:szCs w:val="21"/>
        </w:rPr>
        <w:t xml:space="preserve">S2-D Adversary Narrative:</w:t>
      </w:r>
    </w:p>
    <w:p>
      <w:pPr>
        <w:spacing w:after="60"/>
      </w:pPr>
    </w:p>
    <w:p>
      <w:pPr>
        <w:spacing w:after="100"/>
        <w:jc w:val="both"/>
      </w:pPr>
      <w:r>
        <w:rPr>
          <w:rFonts w:ascii="Arial" w:cs="Arial" w:eastAsia="Arial" w:hAnsi="Arial"/>
          <w:sz w:val="20"/>
          <w:szCs w:val="20"/>
        </w:rPr>
        <w:t xml:space="preserve">The primary adversary narrative is Russian state media framing of the West and Ukraine as joint aggressors who are deliberately prolonging the conflict through military supply and economic coordination, while portraying Russia as the defensive party and the victim of sanctions and information warfare. The consistency score is 92 percent, which is a high-reliability signal. At this level, the narrative is disciplined, centrally coordinated, and being pushed with intentional uniformity across sources. This is not organic commentary. It is a structured messaging campaign.</w:t>
      </w:r>
    </w:p>
    <w:p>
      <w:pPr>
        <w:spacing w:after="60"/>
      </w:pPr>
    </w:p>
    <w:p>
      <w:pPr>
        <w:spacing w:after="80" w:before="160"/>
      </w:pPr>
      <w:r>
        <w:rPr>
          <w:rFonts w:ascii="Arial" w:cs="Arial" w:eastAsia="Arial" w:hAnsi="Arial"/>
          <w:b/>
          <w:bCs/>
          <w:sz w:val="21"/>
          <w:szCs w:val="21"/>
        </w:rPr>
        <w:t xml:space="preserve">Key claims being pushed:</w:t>
      </w:r>
    </w:p>
    <w:p>
      <w:pPr>
        <w:spacing w:after="60"/>
      </w:pPr>
    </w:p>
    <w:p>
      <w:pPr>
        <w:pStyle w:val="ListParagraph"/>
        <w:numPr>
          <w:ilvl w:val="0"/>
          <w:numId w:val="2"/>
        </w:numPr>
        <w:spacing w:after="60"/>
      </w:pPr>
      <w:r>
        <w:rPr>
          <w:rFonts w:ascii="Arial" w:cs="Arial" w:eastAsia="Arial" w:hAnsi="Arial"/>
          <w:sz w:val="20"/>
          <w:szCs w:val="20"/>
        </w:rPr>
        <w:t xml:space="preserve">Western and Ukrainian actors are jointly sponsoring armed hostilities through weapons transfers and financial support, making them co-belligerents by implication if not by law.</w:t>
      </w:r>
    </w:p>
    <w:p>
      <w:pPr>
        <w:pStyle w:val="ListParagraph"/>
        <w:numPr>
          <w:ilvl w:val="0"/>
          <w:numId w:val="2"/>
        </w:numPr>
        <w:spacing w:after="60"/>
      </w:pPr>
      <w:r>
        <w:rPr>
          <w:rFonts w:ascii="Arial" w:cs="Arial" w:eastAsia="Arial" w:hAnsi="Arial"/>
          <w:sz w:val="20"/>
          <w:szCs w:val="20"/>
        </w:rPr>
        <w:t xml:space="preserve">Europe has relocated drone manufacturing to EU member states under nominal Ukrainian corporate identity, framing this as a sanctions circumvention scheme that also represents a form of economic sovereignty seizure.</w:t>
      </w:r>
    </w:p>
    <w:p>
      <w:pPr>
        <w:pStyle w:val="ListParagraph"/>
        <w:numPr>
          <w:ilvl w:val="0"/>
          <w:numId w:val="2"/>
        </w:numPr>
        <w:spacing w:after="60"/>
      </w:pPr>
      <w:r>
        <w:rPr>
          <w:rFonts w:ascii="Arial" w:cs="Arial" w:eastAsia="Arial" w:hAnsi="Arial"/>
          <w:sz w:val="20"/>
          <w:szCs w:val="20"/>
        </w:rPr>
        <w:t xml:space="preserve">Russia-EU trade has collapsed from 253 billion euro in 2021 to 58 billion in 2025, a data point deployed to demonstrate the mutual economic cost of Western policy and to build a case that Europe is harming itself.</w:t>
      </w:r>
    </w:p>
    <w:p>
      <w:pPr>
        <w:pStyle w:val="ListParagraph"/>
        <w:numPr>
          <w:ilvl w:val="0"/>
          <w:numId w:val="2"/>
        </w:numPr>
        <w:spacing w:after="60"/>
      </w:pPr>
      <w:r>
        <w:rPr>
          <w:rFonts w:ascii="Arial" w:cs="Arial" w:eastAsia="Arial" w:hAnsi="Arial"/>
          <w:sz w:val="20"/>
          <w:szCs w:val="20"/>
        </w:rPr>
        <w:t xml:space="preserve">The US blockade of the Strait of Hormuz is characterized as illegal and conflict-escalating, which serves to broaden the anti-Western grievance narrative beyond the Ukraine theater and link it to global energy and maritime law.</w:t>
      </w:r>
    </w:p>
    <w:p>
      <w:pPr>
        <w:spacing w:after="60"/>
      </w:pPr>
    </w:p>
    <w:p>
      <w:pPr>
        <w:spacing w:after="100"/>
        <w:jc w:val="both"/>
      </w:pPr>
      <w:r>
        <w:rPr>
          <w:rFonts w:ascii="Arial" w:cs="Arial" w:eastAsia="Arial" w:hAnsi="Arial"/>
          <w:sz w:val="20"/>
          <w:szCs w:val="20"/>
        </w:rPr>
        <w:t xml:space="preserve">Target audiences for this narrative cluster include three primary groups. First, European domestic populations who bear the economic cost of sanctions and may be persuaded that their governments are acting against their material interests. Second, non-aligned states and Global South governments who receive the Hormuz framing as evidence of US unilateralism and use it to justify distance from Western-led coalitions. Third, Russian domestic audiences who receive the narrative as confirmation of state resilience and Western hostility, which reinforces support for continued conflict.</w:t>
      </w:r>
    </w:p>
    <w:p>
      <w:pPr>
        <w:spacing w:after="60"/>
      </w:pPr>
    </w:p>
    <w:p>
      <w:pPr>
        <w:spacing w:after="80" w:before="160"/>
      </w:pPr>
      <w:r>
        <w:rPr>
          <w:rFonts w:ascii="Arial" w:cs="Arial" w:eastAsia="Arial" w:hAnsi="Arial"/>
          <w:b/>
          <w:bCs/>
          <w:sz w:val="21"/>
          <w:szCs w:val="21"/>
        </w:rPr>
        <w:t xml:space="preserve">S2-E Legitimacy Assessment:</w:t>
      </w:r>
    </w:p>
    <w:p>
      <w:pPr>
        <w:spacing w:after="60"/>
      </w:pPr>
    </w:p>
    <w:p>
      <w:pPr>
        <w:spacing w:after="100"/>
        <w:jc w:val="both"/>
      </w:pPr>
      <w:r>
        <w:rPr>
          <w:rFonts w:ascii="Arial" w:cs="Arial" w:eastAsia="Arial" w:hAnsi="Arial"/>
          <w:sz w:val="20"/>
          <w:szCs w:val="20"/>
        </w:rPr>
        <w:t xml:space="preserve">The only actor flagged in S2-E is Russia. The legitimacy gap score is 25 percent.</w:t>
      </w:r>
    </w:p>
    <w:p>
      <w:pPr>
        <w:spacing w:after="60"/>
      </w:pPr>
    </w:p>
    <w:p>
      <w:pPr>
        <w:spacing w:after="100"/>
        <w:jc w:val="both"/>
      </w:pPr>
      <w:r>
        <w:rPr>
          <w:rFonts w:ascii="Arial" w:cs="Arial" w:eastAsia="Arial" w:hAnsi="Arial"/>
          <w:sz w:val="20"/>
          <w:szCs w:val="20"/>
        </w:rPr>
        <w:t xml:space="preserve">Legitimacy tier assignment: Russia is flagged at a low legitimacy gap score, meaning the signal indicates that Russia's perceived legitimacy is not in acute crisis within the information environment being monitored in this cycle. A score of 25 percent suggests that challenges to Russia's narrative legitimacy exist but are not breaking through at scale. The adversary narrative in S2-D at 92 percent is not being effectively countered by legitimacy-eroding counter-messaging at this time.</w:t>
      </w:r>
    </w:p>
    <w:p>
      <w:pPr>
        <w:spacing w:after="60"/>
      </w:pPr>
    </w:p>
    <w:p>
      <w:pPr>
        <w:spacing w:after="100"/>
        <w:jc w:val="both"/>
      </w:pPr>
      <w:r>
        <w:rPr>
          <w:rFonts w:ascii="Arial" w:cs="Arial" w:eastAsia="Arial" w:hAnsi="Arial"/>
          <w:sz w:val="20"/>
          <w:szCs w:val="20"/>
        </w:rPr>
        <w:t xml:space="preserve">The legitimacy gap signal for the information environment is as follows: when an adversary narrative scores 92 percent on consistency and the legitimacy challenge against that adversary scores only 25 percent, the information environment has a structural imbalance. The adversary is speaking with unified voice. The counter-signal is weak or fragmented. This asymmetry allows the adversary narrative to set the terms of debate, shape the emotional baseline of audiences, and define the acceptable range of interpretation before opposing frames can establish footing. This is an operationally significant gap.</w:t>
      </w:r>
    </w:p>
    <w:p>
      <w:pPr>
        <w:spacing w:after="60"/>
      </w:pPr>
    </w:p>
    <w:p>
      <w:pPr>
        <w:spacing w:after="80" w:before="160"/>
      </w:pPr>
      <w:r>
        <w:rPr>
          <w:rFonts w:ascii="Arial" w:cs="Arial" w:eastAsia="Arial" w:hAnsi="Arial"/>
          <w:b/>
          <w:bCs/>
          <w:sz w:val="21"/>
          <w:szCs w:val="21"/>
        </w:rPr>
        <w:t xml:space="preserve">S2-GAP Broken Window:</w:t>
      </w:r>
    </w:p>
    <w:p>
      <w:pPr>
        <w:spacing w:after="60"/>
      </w:pPr>
    </w:p>
    <w:p>
      <w:pPr>
        <w:spacing w:after="100"/>
        <w:jc w:val="both"/>
      </w:pPr>
      <w:r>
        <w:rPr>
          <w:rFonts w:ascii="Arial" w:cs="Arial" w:eastAsia="Arial" w:hAnsi="Arial"/>
          <w:sz w:val="20"/>
          <w:szCs w:val="20"/>
        </w:rPr>
        <w:t xml:space="preserve">The gap analysis scores 80 percent confidence, indicating a reliable and significant finding. What S1, meaning mainstream or primary analytical reporting, missed is the substantive discussion of the downstream consequences of Western military support for Ukraine and the economic impact of sanctions on both Russia and EU member states. These are not fringe topics. They are material, quantifiable, and politically consequential. Their absence from S1 is not random.</w:t>
      </w:r>
    </w:p>
    <w:p>
      <w:pPr>
        <w:spacing w:after="60"/>
      </w:pPr>
    </w:p>
    <w:p>
      <w:pPr>
        <w:spacing w:after="100"/>
        <w:jc w:val="both"/>
      </w:pPr>
      <w:r>
        <w:rPr>
          <w:rFonts w:ascii="Arial" w:cs="Arial" w:eastAsia="Arial" w:hAnsi="Arial"/>
          <w:sz w:val="20"/>
          <w:szCs w:val="20"/>
        </w:rPr>
        <w:t xml:space="preserve">Stories that were absent from mainstream analysis include the following:</w:t>
      </w:r>
    </w:p>
    <w:p>
      <w:pPr>
        <w:spacing w:after="60"/>
      </w:pPr>
    </w:p>
    <w:p>
      <w:pPr>
        <w:pStyle w:val="ListParagraph"/>
        <w:numPr>
          <w:ilvl w:val="0"/>
          <w:numId w:val="2"/>
        </w:numPr>
        <w:spacing w:after="60"/>
      </w:pPr>
      <w:r>
        <w:rPr>
          <w:rFonts w:ascii="Arial" w:cs="Arial" w:eastAsia="Arial" w:hAnsi="Arial"/>
          <w:sz w:val="20"/>
          <w:szCs w:val="20"/>
        </w:rPr>
        <w:t xml:space="preserve">A rigorous assessment of whether EU industrial relocation of drone manufacturing constitutes a sanctions escalation or workaround and what that means for the legal and diplomatic integrity of the sanctions regime.</w:t>
      </w:r>
    </w:p>
    <w:p>
      <w:pPr>
        <w:pStyle w:val="ListParagraph"/>
        <w:numPr>
          <w:ilvl w:val="0"/>
          <w:numId w:val="2"/>
        </w:numPr>
        <w:spacing w:after="60"/>
      </w:pPr>
      <w:r>
        <w:rPr>
          <w:rFonts w:ascii="Arial" w:cs="Arial" w:eastAsia="Arial" w:hAnsi="Arial"/>
          <w:sz w:val="20"/>
          <w:szCs w:val="20"/>
        </w:rPr>
        <w:t xml:space="preserve">Independent analysis of the Russia-EU trade collapse from 253 billion to 58 billion euro and its distributional effects across EU member states, particularly those with historical economic exposure to Russian trade.</w:t>
      </w:r>
    </w:p>
    <w:p>
      <w:pPr>
        <w:pStyle w:val="ListParagraph"/>
        <w:numPr>
          <w:ilvl w:val="0"/>
          <w:numId w:val="2"/>
        </w:numPr>
        <w:spacing w:after="60"/>
      </w:pPr>
      <w:r>
        <w:rPr>
          <w:rFonts w:ascii="Arial" w:cs="Arial" w:eastAsia="Arial" w:hAnsi="Arial"/>
          <w:sz w:val="20"/>
          <w:szCs w:val="20"/>
        </w:rPr>
        <w:t xml:space="preserve">A legal analysis of US maritime posture near the Strait of Hormuz and whether current actions constitute grounds for the claims Russian state media is advancing about blockade legality.</w:t>
      </w:r>
    </w:p>
    <w:p>
      <w:pPr>
        <w:pStyle w:val="ListParagraph"/>
        <w:numPr>
          <w:ilvl w:val="0"/>
          <w:numId w:val="2"/>
        </w:numPr>
        <w:spacing w:after="60"/>
      </w:pPr>
      <w:r>
        <w:rPr>
          <w:rFonts w:ascii="Arial" w:cs="Arial" w:eastAsia="Arial" w:hAnsi="Arial"/>
          <w:sz w:val="20"/>
          <w:szCs w:val="20"/>
        </w:rPr>
        <w:t xml:space="preserve">Assessment of structural dependency risks created when Ukrainian defense production is absorbed into EU supply chains, including questions of ownership, control, and what happens to those assets under different political scenarios.</w:t>
      </w:r>
    </w:p>
    <w:p>
      <w:pPr>
        <w:spacing w:after="60"/>
      </w:pPr>
    </w:p>
    <w:p>
      <w:pPr>
        <w:spacing w:after="100"/>
        <w:jc w:val="both"/>
      </w:pPr>
      <w:r>
        <w:rPr>
          <w:rFonts w:ascii="Arial" w:cs="Arial" w:eastAsia="Arial" w:hAnsi="Arial"/>
          <w:sz w:val="20"/>
          <w:szCs w:val="20"/>
        </w:rPr>
        <w:t xml:space="preserve">The key gap finding is that Western analytical output is not engaging the economic and legal dimensions of the conflict with the same granularity that it applies to military and humanitarian dimensions. This matters because the adversary narrative is exploiting these exact gaps. When credible Western analysis is absent from a topic, adversary framing fills the vacuum and becomes the dominant interpretive frame for audiences who are looking for answers. The gap is not just an analytical failure. It is an information environment vulnerability that is actively being exploited.</w:t>
      </w:r>
    </w:p>
    <w:p>
      <w:pPr>
        <w:spacing w:after="60"/>
      </w:pPr>
    </w:p>
    <w:p>
      <w:pPr>
        <w:spacing w:after="60"/>
      </w:pPr>
    </w:p>
    <w:p>
      <w:pPr>
        <w:pBdr>
          <w:bottom w:val="single" w:color="cccccc" w:sz="1" w:space="4"/>
        </w:pBdr>
        <w:spacing w:after="160" w:before="360"/>
      </w:pPr>
      <w:r>
        <w:rPr>
          <w:rFonts w:ascii="Arial" w:cs="Arial" w:eastAsia="Arial" w:hAnsi="Arial"/>
          <w:b/>
          <w:bCs/>
          <w:color w:val="1a1a2e"/>
          <w:sz w:val="24"/>
          <w:szCs w:val="24"/>
        </w:rPr>
        <w:t xml:space="preserve">CUI BONO — WHO BENEFITS</w:t>
      </w:r>
    </w:p>
    <w:p>
      <w:pPr>
        <w:spacing w:after="80" w:before="160"/>
      </w:pPr>
      <w:r>
        <w:rPr>
          <w:rFonts w:ascii="Arial" w:cs="Arial" w:eastAsia="Arial" w:hAnsi="Arial"/>
          <w:b/>
          <w:bCs/>
          <w:sz w:val="21"/>
          <w:szCs w:val="21"/>
        </w:rPr>
        <w:t xml:space="preserve">Primary Beneficiary:</w:t>
      </w:r>
    </w:p>
    <w:p>
      <w:pPr>
        <w:spacing w:after="60"/>
      </w:pPr>
    </w:p>
    <w:p>
      <w:pPr>
        <w:spacing w:after="100"/>
        <w:jc w:val="both"/>
      </w:pPr>
      <w:r>
        <w:rPr>
          <w:rFonts w:ascii="Arial" w:cs="Arial" w:eastAsia="Arial" w:hAnsi="Arial"/>
          <w:sz w:val="20"/>
          <w:szCs w:val="20"/>
        </w:rPr>
        <w:t xml:space="preserve">The primary beneficiary of the complete S2 injection pattern this cycle is the Russian state and its affiliated information operations infrastructure. The evidence for this attribution is convergent across all active S2 channels. S2-A seeds a phrase, GCSP growth, that is then positioned in S2-C as the target of Russian narrative attacks, building a frame in which Russian information activity is the central threat actor. S2-C constructs a five-step emotional sequence that culminates in fear of Russian narrative power. S2-D provides the adversary narrative at 92 percent consistency, which means it is the loudest, most disciplined signal in this cycle. S2-E shows that legitimacy challenges against Russia are weak. S2-GAP shows that the analytical environment has failed to populate the spaces that Russian framing is now occupying.</w:t>
      </w:r>
    </w:p>
    <w:p>
      <w:pPr>
        <w:spacing w:after="60"/>
      </w:pPr>
    </w:p>
    <w:p>
      <w:pPr>
        <w:spacing w:after="100"/>
        <w:jc w:val="both"/>
      </w:pPr>
      <w:r>
        <w:rPr>
          <w:rFonts w:ascii="Arial" w:cs="Arial" w:eastAsia="Arial" w:hAnsi="Arial"/>
          <w:sz w:val="20"/>
          <w:szCs w:val="20"/>
        </w:rPr>
        <w:t xml:space="preserve">Every S2 position points toward the same dynamic: Russia is the active information operator this cycle, deploying a coordinated, multi-register narrative that combines military framing, economic data, sovereignty language, and identity threat into a single coherent message stream. The benefit is direct: Russia gains narrative agenda-setting power, weakens Western coalition cohesion, and builds legitimacy with non-aligned audiences at a moment when material conditions, specifically the trade collapse and the Hormuz framing, provide credible anchoring for its claims.</w:t>
      </w:r>
    </w:p>
    <w:p>
      <w:pPr>
        <w:spacing w:after="60"/>
      </w:pPr>
    </w:p>
    <w:p>
      <w:pPr>
        <w:spacing w:after="80" w:before="160"/>
      </w:pPr>
      <w:r>
        <w:rPr>
          <w:rFonts w:ascii="Arial" w:cs="Arial" w:eastAsia="Arial" w:hAnsi="Arial"/>
          <w:b/>
          <w:bCs/>
          <w:sz w:val="21"/>
          <w:szCs w:val="21"/>
        </w:rPr>
        <w:t xml:space="preserve">Secondary and Tertiary Beneficiaries:</w:t>
      </w:r>
    </w:p>
    <w:p>
      <w:pPr>
        <w:spacing w:after="60"/>
      </w:pPr>
    </w:p>
    <w:p>
      <w:pPr>
        <w:spacing w:after="100"/>
        <w:jc w:val="both"/>
      </w:pPr>
      <w:r>
        <w:rPr>
          <w:rFonts w:ascii="Arial" w:cs="Arial" w:eastAsia="Arial" w:hAnsi="Arial"/>
          <w:sz w:val="20"/>
          <w:szCs w:val="20"/>
        </w:rPr>
        <w:t xml:space="preserve">The secondary beneficiary is non-aligned states and the broader Global South diplomatic bloc. These actors benefit because the Russian narrative, particularly the Hormuz framing and the economic cost arguments, gives them legitimate diplomatic cover to maintain or deepen distance from Western-led sanctions regimes. They do not need to endorse Russia's position. They need only cite the legal ambiguity and economic dislocation that the Russian narrative documents, accurately or not, to justify their own policy choices. The information environment this cycle makes that stance easier to defend.</w:t>
      </w:r>
    </w:p>
    <w:p>
      <w:pPr>
        <w:spacing w:after="60"/>
      </w:pPr>
    </w:p>
    <w:p>
      <w:pPr>
        <w:spacing w:after="100"/>
        <w:jc w:val="both"/>
      </w:pPr>
      <w:r>
        <w:rPr>
          <w:rFonts w:ascii="Arial" w:cs="Arial" w:eastAsia="Arial" w:hAnsi="Arial"/>
          <w:sz w:val="20"/>
          <w:szCs w:val="20"/>
        </w:rPr>
        <w:t xml:space="preserve">The tertiary beneficiary is European political movements, specifically right-wing nationalist and economically populist parties in EU member states, that oppose continued military and financial support for Ukraine. These movements benefit because the information environment this cycle, particularly the absent S1 analysis and the Russian economic data points, provides raw material for domestic political arguments about the cost of the conflict to European citizens. They do not need to originate this narrative. They receive it from the adversary information stream and translate it into domestic political language.</w:t>
      </w:r>
    </w:p>
    <w:p>
      <w:pPr>
        <w:spacing w:after="60"/>
      </w:pPr>
    </w:p>
    <w:p>
      <w:pPr>
        <w:spacing w:after="80" w:before="160"/>
      </w:pPr>
      <w:r>
        <w:rPr>
          <w:rFonts w:ascii="Arial" w:cs="Arial" w:eastAsia="Arial" w:hAnsi="Arial"/>
          <w:b/>
          <w:bCs/>
          <w:sz w:val="21"/>
          <w:szCs w:val="21"/>
        </w:rPr>
        <w:t xml:space="preserve">Convergence Assessment:</w:t>
      </w:r>
    </w:p>
    <w:p>
      <w:pPr>
        <w:spacing w:after="60"/>
      </w:pPr>
    </w:p>
    <w:p>
      <w:pPr>
        <w:spacing w:after="100"/>
        <w:jc w:val="both"/>
      </w:pPr>
      <w:r>
        <w:rPr>
          <w:rFonts w:ascii="Arial" w:cs="Arial" w:eastAsia="Arial" w:hAnsi="Arial"/>
          <w:sz w:val="20"/>
          <w:szCs w:val="20"/>
        </w:rPr>
        <w:t xml:space="preserve">Convergence level: PROBABLE.</w:t>
      </w:r>
    </w:p>
    <w:p>
      <w:pPr>
        <w:spacing w:after="60"/>
      </w:pPr>
    </w:p>
    <w:p>
      <w:pPr>
        <w:spacing w:after="100"/>
        <w:jc w:val="both"/>
      </w:pPr>
      <w:r>
        <w:rPr>
          <w:rFonts w:ascii="Arial" w:cs="Arial" w:eastAsia="Arial" w:hAnsi="Arial"/>
          <w:sz w:val="20"/>
          <w:szCs w:val="20"/>
        </w:rPr>
        <w:t xml:space="preserve">The evidence chain supporting this attribution is as follows. The adversary narrative scores 92 percent consistency, which is the primary indicator of coordinated authorship. The emotional sequence in S2-C is structured, not emergent. It follows a deliberate escalation pattern from military reality to economic fear to identity threat to targeted suppression of a named concept. The legitimacy gap at 25 percent indicates that counter-messaging is not effectively disrupting the narrative, which is consistent with an environment where the adversary has established tempo. The GAP analysis at 80 percent identifies the exact analytical blind spots that the adversary narrative is exploiting, and the overlap between what S1 missed and what S2-D is amplifying is too precise to be coincidental. The convergence is rated PROBABLE rather than CONFIRMED because S2-B produced no data this cycle, removing a key coordination cross-check, and because the PHRASE_SYNC for GCSP growth at 50 percent confidence does not yet provide the secondary corroboration needed to move to full confirmation.</w:t>
      </w:r>
    </w:p>
    <w:p>
      <w:pPr>
        <w:spacing w:after="60"/>
      </w:pPr>
    </w:p>
    <w:p>
      <w:pPr>
        <w:spacing w:after="60"/>
      </w:pPr>
    </w:p>
    <w:p>
      <w:pPr>
        <w:pBdr>
          <w:bottom w:val="single" w:color="cccccc" w:sz="1" w:space="4"/>
        </w:pBdr>
        <w:spacing w:after="160" w:before="360"/>
      </w:pPr>
      <w:r>
        <w:rPr>
          <w:rFonts w:ascii="Arial" w:cs="Arial" w:eastAsia="Arial" w:hAnsi="Arial"/>
          <w:b/>
          <w:bCs/>
          <w:color w:val="1a1a2e"/>
          <w:sz w:val="24"/>
          <w:szCs w:val="24"/>
        </w:rPr>
        <w:t xml:space="preserve">SYSTEM 3 — PATTERN INTELLIGENCE</w:t>
      </w:r>
    </w:p>
    <w:p>
      <w:pPr>
        <w:spacing w:after="80" w:before="160"/>
      </w:pPr>
      <w:r>
        <w:rPr>
          <w:rFonts w:ascii="Arial" w:cs="Arial" w:eastAsia="Arial" w:hAnsi="Arial"/>
          <w:b/>
          <w:bCs/>
          <w:sz w:val="21"/>
          <w:szCs w:val="21"/>
        </w:rPr>
        <w:t xml:space="preserve">7-Day Pattern:</w:t>
      </w:r>
    </w:p>
    <w:p>
      <w:pPr>
        <w:spacing w:after="60"/>
      </w:pPr>
    </w:p>
    <w:p>
      <w:pPr>
        <w:spacing w:after="100"/>
        <w:jc w:val="both"/>
      </w:pPr>
      <w:r>
        <w:rPr>
          <w:rFonts w:ascii="Arial" w:cs="Arial" w:eastAsia="Arial" w:hAnsi="Arial"/>
          <w:sz w:val="20"/>
          <w:szCs w:val="20"/>
        </w:rPr>
        <w:t xml:space="preserve">The pattern forming over the 7-day window is a tightening of centralized control over financial flows, physical movement, and narrative infrastructure, with the US as the most active state-level actor and Russia as the most active information-environment actor. The evidence base for this pattern comes from S3-A's identification of visa restrictions, asset seizures, and strategic port diplomacy as converging US actions, and from S2-D's documentation of Russian narrative deployment across multiple registers simultaneously.</w:t>
      </w:r>
    </w:p>
    <w:p>
      <w:pPr>
        <w:spacing w:after="60"/>
      </w:pPr>
    </w:p>
    <w:p>
      <w:pPr>
        <w:spacing w:after="100"/>
        <w:jc w:val="both"/>
      </w:pPr>
      <w:r>
        <w:rPr>
          <w:rFonts w:ascii="Arial" w:cs="Arial" w:eastAsia="Arial" w:hAnsi="Arial"/>
          <w:sz w:val="20"/>
          <w:szCs w:val="20"/>
        </w:rPr>
        <w:t xml:space="preserve">The event sequence and what it reveals is as follows. First, state actors tightened control over financial networks and physical infrastructure, with the US taking actions that affect movement and asset access. This established the material conditions. Second, Russian state media deployed the Hormuz framing and the sanctions economic cost argument, which are calibrated responses to the control-tightening dynamic, designed to reframe US actions as illegal aggression rather than legitimate policy. Third, EU industrial relocation of drone manufacturing became a narrative target, allowing Russia to characterize Western economic-industrial activity as sovereignty violation. The order of events reveals that the Russian information operation is reactive in its surface framing but anticipatory in its preparation. It had the economic data and the legal arguments ready. The deployment followed the US actions quickly, suggesting pre-staged messaging released on trigger.</w:t>
      </w:r>
    </w:p>
    <w:p>
      <w:pPr>
        <w:spacing w:after="60"/>
      </w:pPr>
    </w:p>
    <w:p>
      <w:pPr>
        <w:spacing w:after="80" w:before="160"/>
      </w:pPr>
      <w:r>
        <w:rPr>
          <w:rFonts w:ascii="Arial" w:cs="Arial" w:eastAsia="Arial" w:hAnsi="Arial"/>
          <w:b/>
          <w:bCs/>
          <w:sz w:val="21"/>
          <w:szCs w:val="21"/>
        </w:rPr>
        <w:t xml:space="preserve">Distraction and Quiet Event:</w:t>
      </w:r>
    </w:p>
    <w:p>
      <w:pPr>
        <w:spacing w:after="60"/>
      </w:pPr>
    </w:p>
    <w:p>
      <w:pPr>
        <w:spacing w:after="100"/>
        <w:jc w:val="both"/>
      </w:pPr>
      <w:r>
        <w:rPr>
          <w:rFonts w:ascii="Arial" w:cs="Arial" w:eastAsia="Arial" w:hAnsi="Arial"/>
          <w:sz w:val="20"/>
          <w:szCs w:val="20"/>
        </w:rPr>
        <w:t xml:space="preserve">The loud event consuming analytical bandwidth this cycle is the military and political dimensions of the Russia-Ukraine conflict, specifically the weapons supply debate, the drone manufacturing story, and the EU posture toward Ukraine. These are real events with genuine strategic significance, and their loudness is not manufactured. However, their dominance in the analytical space is being exploited.</w:t>
      </w:r>
    </w:p>
    <w:p>
      <w:pPr>
        <w:spacing w:after="60"/>
      </w:pPr>
    </w:p>
    <w:p>
      <w:pPr>
        <w:spacing w:after="100"/>
        <w:jc w:val="both"/>
      </w:pPr>
      <w:r>
        <w:rPr>
          <w:rFonts w:ascii="Arial" w:cs="Arial" w:eastAsia="Arial" w:hAnsi="Arial"/>
          <w:sz w:val="20"/>
          <w:szCs w:val="20"/>
        </w:rPr>
        <w:t xml:space="preserve">The quiet structural event happening behind the military-political noise is the normalization of financial surveillance architecture and executive-branch control over movement and asset flows, as identified in S3-A. Visa restrictions, asset seizures, and port diplomacy are individually explicable as discrete policy actions. In aggregate, they represent the construction of a new control infrastructure that operates below the threshold of democratic scrutiny and outside the architecture of multilateral governance. This process is advancing most rapidly when media and analytical attention is saturated by the Ukraine conflict narrative.</w:t>
      </w:r>
    </w:p>
    <w:p>
      <w:pPr>
        <w:spacing w:after="60"/>
      </w:pPr>
    </w:p>
    <w:p>
      <w:pPr>
        <w:spacing w:after="80" w:before="160"/>
      </w:pPr>
      <w:r>
        <w:rPr>
          <w:rFonts w:ascii="Arial" w:cs="Arial" w:eastAsia="Arial" w:hAnsi="Arial"/>
          <w:b/>
          <w:bCs/>
          <w:sz w:val="21"/>
          <w:szCs w:val="21"/>
        </w:rPr>
        <w:t xml:space="preserve">Hidden Builder:</w:t>
      </w:r>
    </w:p>
    <w:p>
      <w:pPr>
        <w:spacing w:after="60"/>
      </w:pPr>
    </w:p>
    <w:p>
      <w:pPr>
        <w:spacing w:after="100"/>
        <w:jc w:val="both"/>
      </w:pPr>
      <w:r>
        <w:rPr>
          <w:rFonts w:ascii="Arial" w:cs="Arial" w:eastAsia="Arial" w:hAnsi="Arial"/>
          <w:sz w:val="20"/>
          <w:szCs w:val="20"/>
        </w:rPr>
        <w:t xml:space="preserve">The actor gaining structural advantage quietly this cycle is the United States executive branch, specifically the administrative apparatus responsible for financial and movement controls. The evidence comes from S3-A's identification of the US as a key player in the tightening control pattern, and from S3-D's finding that the normalization of executive overreach and financial surveillance is the most significant 30-day structural change. The advantage being accumulated is not military or diplomatic. It is infrastructural. Control over financial networks and physical movement represents durable leverage that persists independently of political cycles, diplomatic agreements, or conflict outcomes. This leverage is being built during a period when analytical attention is directed elsewhere and when the stated justification is stability, which reduces the scrutiny applied to the methods being deployed.</w:t>
      </w:r>
    </w:p>
    <w:p>
      <w:pPr>
        <w:spacing w:after="60"/>
      </w:pPr>
    </w:p>
    <w:p>
      <w:pPr>
        <w:spacing w:after="80" w:before="160"/>
      </w:pPr>
      <w:r>
        <w:rPr>
          <w:rFonts w:ascii="Arial" w:cs="Arial" w:eastAsia="Arial" w:hAnsi="Arial"/>
          <w:b/>
          <w:bCs/>
          <w:sz w:val="21"/>
          <w:szCs w:val="21"/>
        </w:rPr>
        <w:t xml:space="preserve">First Domino:</w:t>
      </w:r>
    </w:p>
    <w:p>
      <w:pPr>
        <w:spacing w:after="60"/>
      </w:pPr>
    </w:p>
    <w:p>
      <w:pPr>
        <w:spacing w:after="100"/>
        <w:jc w:val="both"/>
      </w:pPr>
      <w:r>
        <w:rPr>
          <w:rFonts w:ascii="Arial" w:cs="Arial" w:eastAsia="Arial" w:hAnsi="Arial"/>
          <w:sz w:val="20"/>
          <w:szCs w:val="20"/>
        </w:rPr>
        <w:t xml:space="preserve">If current patterns continue, the first domino that becomes inevitable is the fracturing of the Western coalition's economic and diplomatic coherence along the fault line of sanctions cost and industrial relocation politics. The logic is as follows. The Russian information operation at 92 percent consistency is successfully populating the analytical vacuum left by S1's failure to address the economic consequences of the conflict. European domestic political movements are receiving narrative material that connects the sanctions regime to concrete economic harm. EU industrial relocation of Ukrainian defense production creates new political and legal questions about ownership and liability that do not yet have resolved answers. Non-aligned states are using the Hormuz and sovereignty arguments to justify distance from Western positions. The US is simultaneously building financial control infrastructure that generates its own friction with European partners. None of these individually breaks the coalition. Together, under continued narrative pressure and without credible counter-analysis from S1, they create the conditions under which coalition maintenance becomes politically unsustainable for key EU member governments.</w:t>
      </w:r>
    </w:p>
    <w:p>
      <w:pPr>
        <w:spacing w:after="60"/>
      </w:pPr>
    </w:p>
    <w:p>
      <w:pPr>
        <w:spacing w:after="60"/>
      </w:pPr>
    </w:p>
    <w:p>
      <w:pPr>
        <w:pBdr>
          <w:bottom w:val="single" w:color="cccccc" w:sz="1" w:space="4"/>
        </w:pBdr>
        <w:spacing w:after="160" w:before="360"/>
      </w:pPr>
      <w:r>
        <w:rPr>
          <w:rFonts w:ascii="Arial" w:cs="Arial" w:eastAsia="Arial" w:hAnsi="Arial"/>
          <w:b/>
          <w:bCs/>
          <w:color w:val="1a1a2e"/>
          <w:sz w:val="24"/>
          <w:szCs w:val="24"/>
        </w:rPr>
        <w:t xml:space="preserve">SYSTEM 3 — CHECKS AND VERDICT</w:t>
      </w:r>
    </w:p>
    <w:p>
      <w:pPr>
        <w:spacing w:after="80" w:before="160"/>
      </w:pPr>
      <w:r>
        <w:rPr>
          <w:rFonts w:ascii="Arial" w:cs="Arial" w:eastAsia="Arial" w:hAnsi="Arial"/>
          <w:b/>
          <w:bCs/>
          <w:sz w:val="21"/>
          <w:szCs w:val="21"/>
        </w:rPr>
        <w:t xml:space="preserve">ACH Check:</w:t>
      </w:r>
    </w:p>
    <w:p>
      <w:pPr>
        <w:spacing w:after="60"/>
      </w:pPr>
    </w:p>
    <w:p>
      <w:pPr>
        <w:spacing w:after="100"/>
        <w:jc w:val="both"/>
      </w:pPr>
      <w:r>
        <w:rPr>
          <w:rFonts w:ascii="Arial" w:cs="Arial" w:eastAsia="Arial" w:hAnsi="Arial"/>
          <w:sz w:val="20"/>
          <w:szCs w:val="20"/>
        </w:rPr>
        <w:t xml:space="preserve">The strongest evidence that contradicts the dominant pattern analysis is the legitimacy gap score of only 25 percent for Russia. If the Russian information operation were as effective as the 92 percent S2-D consistency score suggests it should be, one would expect a higher legitimacy erosion signal against Russia's adversaries and a lower legitimacy gap score for Russia itself. The fact that Russia's own legitimacy is being challenged at only 25 percent could indicate either that the counter-narrative is weak and therefore Russia's operation is succeeding, or that the information environment has not yet reached the audience segments where legitimacy questions would register. This ambiguity is real.</w:t>
      </w:r>
    </w:p>
    <w:p>
      <w:pPr>
        <w:spacing w:after="60"/>
      </w:pPr>
    </w:p>
    <w:p>
      <w:pPr>
        <w:spacing w:after="100"/>
        <w:jc w:val="both"/>
      </w:pPr>
      <w:r>
        <w:rPr>
          <w:rFonts w:ascii="Arial" w:cs="Arial" w:eastAsia="Arial" w:hAnsi="Arial"/>
          <w:sz w:val="20"/>
          <w:szCs w:val="20"/>
        </w:rPr>
        <w:t xml:space="preserve">Additionally, the S2-B data absence means there is no coordination pattern confirmation from that channel. The entire coordination inference rests on S2-C and S2-D, which are both high-signal but represent only two channels. A more conservative reading would hold that the coordination is suggestive rather than demonstrated.</w:t>
      </w:r>
    </w:p>
    <w:p>
      <w:pPr>
        <w:spacing w:after="60"/>
      </w:pPr>
    </w:p>
    <w:p>
      <w:pPr>
        <w:spacing w:after="100"/>
        <w:jc w:val="both"/>
      </w:pPr>
      <w:r>
        <w:rPr>
          <w:rFonts w:ascii="Arial" w:cs="Arial" w:eastAsia="Arial" w:hAnsi="Arial"/>
          <w:sz w:val="20"/>
          <w:szCs w:val="20"/>
        </w:rPr>
        <w:t xml:space="preserve">Confidence level for the dominant reading is 75 percent. The dominant reading still holds despite these contradictions for the following reasons. The 92 percent consistency in S2-D is sufficiently high that it cannot be explained by organic convergence alone. The structural overlap between what S1 missed and what S2-D is amplifying, documented at 80 percent GAP confidence, provides a secondary line of evidence that does not depend on coordination inference alone. The S3-D 30-day structural finding independently corroborates the centralization and normalization pattern, which is consistent with the dominant reading even through a different analytical lens.</w:t>
      </w:r>
    </w:p>
    <w:p>
      <w:pPr>
        <w:spacing w:after="60"/>
      </w:pPr>
    </w:p>
    <w:p>
      <w:pPr>
        <w:spacing w:after="80" w:before="160"/>
      </w:pPr>
      <w:r>
        <w:rPr>
          <w:rFonts w:ascii="Arial" w:cs="Arial" w:eastAsia="Arial" w:hAnsi="Arial"/>
          <w:b/>
          <w:bCs/>
          <w:sz w:val="21"/>
          <w:szCs w:val="21"/>
        </w:rPr>
        <w:t xml:space="preserve">Sectarian Trap Status:</w:t>
      </w:r>
    </w:p>
    <w:p>
      <w:pPr>
        <w:spacing w:after="60"/>
      </w:pPr>
    </w:p>
    <w:p>
      <w:pPr>
        <w:spacing w:after="100"/>
        <w:jc w:val="both"/>
      </w:pPr>
      <w:r>
        <w:rPr>
          <w:rFonts w:ascii="Arial" w:cs="Arial" w:eastAsia="Arial" w:hAnsi="Arial"/>
          <w:sz w:val="20"/>
          <w:szCs w:val="20"/>
        </w:rPr>
        <w:t xml:space="preserve">Ethnic, religious, and political tension manufacturing is detected in this cycle. The group targeted is Ukrainian identity, with secondary targeting of EU member state populations along economic-political lines. The amplifier is Russian state media operating through S2-D. The origin is manufactured, not organic.</w:t>
      </w:r>
    </w:p>
    <w:p>
      <w:pPr>
        <w:spacing w:after="60"/>
      </w:pPr>
    </w:p>
    <w:p>
      <w:pPr>
        <w:spacing w:after="100"/>
        <w:jc w:val="both"/>
      </w:pPr>
      <w:r>
        <w:rPr>
          <w:rFonts w:ascii="Arial" w:cs="Arial" w:eastAsia="Arial" w:hAnsi="Arial"/>
          <w:sz w:val="20"/>
          <w:szCs w:val="20"/>
        </w:rPr>
        <w:t xml:space="preserve">The specific mechanism is as follows. Russian narrative attacks on Ukraine's cultural policies, referenced in S2-C as "article 9," are framing Ukrainian language and cultural policy as ethnic erasure in reverse, an inversion that attempts to reposition Ukraine's state-building cultural policies as aggression against Russian-speaking populations. This is a known information warfare technique: using the language of minority rights and ethnic protection to delegitimize a target state's sovereign cultural decisions. It is designed to fracture international sympathy for Ukraine by inserting a human rights framing that complicates the simpler narrative of Russian military aggression. The technique is not new. The deployment this cycle at 30 percent emotional manipulation score suggests it is in active but not yet peak application.</w:t>
      </w:r>
    </w:p>
    <w:p>
      <w:pPr>
        <w:spacing w:after="60"/>
      </w:pPr>
    </w:p>
    <w:p>
      <w:pPr>
        <w:spacing w:after="80" w:before="160"/>
      </w:pPr>
      <w:r>
        <w:rPr>
          <w:rFonts w:ascii="Arial" w:cs="Arial" w:eastAsia="Arial" w:hAnsi="Arial"/>
          <w:b/>
          <w:bCs/>
          <w:sz w:val="21"/>
          <w:szCs w:val="21"/>
        </w:rPr>
        <w:t xml:space="preserve">S3-D Structural:</w:t>
      </w:r>
    </w:p>
    <w:p>
      <w:pPr>
        <w:spacing w:after="60"/>
      </w:pPr>
    </w:p>
    <w:p>
      <w:pPr>
        <w:spacing w:after="100"/>
        <w:jc w:val="both"/>
      </w:pPr>
      <w:r>
        <w:rPr>
          <w:rFonts w:ascii="Arial" w:cs="Arial" w:eastAsia="Arial" w:hAnsi="Arial"/>
          <w:sz w:val="20"/>
          <w:szCs w:val="20"/>
        </w:rPr>
        <w:t xml:space="preserve">The 30-day structural finding from S3-D is that structural power has shifted toward centralized control of finance, movement, and narrative, driven by coordinated state actions and sophisticated information operations. Non-aligned states have gained leverage during this period. US soft power has eroded. Decentralized systems, including multilateral governance frameworks and independent media ecosystems, are under sustained pressure. The normalization of executive overreach and financial surveillance as stability measures is the single most significant change in the structural landscape.</w:t>
      </w:r>
    </w:p>
    <w:p>
      <w:pPr>
        <w:spacing w:after="60"/>
      </w:pPr>
    </w:p>
    <w:p>
      <w:pPr>
        <w:spacing w:after="100"/>
        <w:jc w:val="both"/>
      </w:pPr>
      <w:r>
        <w:rPr>
          <w:rFonts w:ascii="Arial" w:cs="Arial" w:eastAsia="Arial" w:hAnsi="Arial"/>
          <w:sz w:val="20"/>
          <w:szCs w:val="20"/>
        </w:rPr>
        <w:t xml:space="preserve">The structural first domino from S3-D is the erosion of the institutional and normative architecture that constrains unilateral state action on finance and movement. Once the normalization threshold is crossed, meaning once executive financial control and movement restriction are accepted as routine governance rather than emergency measures, the reversal cost becomes extremely high. Governments that inherit these tools do not return them. The structural first domino is therefore not a single event but a condition: the point at which these measures are no longer politically contestable, which transforms temporary emergency architecture into permanent governance infrastructure.</w:t>
      </w:r>
    </w:p>
    <w:p>
      <w:pPr>
        <w:spacing w:after="60"/>
      </w:pPr>
    </w:p>
    <w:p>
      <w:pPr>
        <w:spacing w:after="80" w:before="160"/>
      </w:pPr>
      <w:r>
        <w:rPr>
          <w:rFonts w:ascii="Arial" w:cs="Arial" w:eastAsia="Arial" w:hAnsi="Arial"/>
          <w:b/>
          <w:bCs/>
          <w:sz w:val="21"/>
          <w:szCs w:val="21"/>
        </w:rPr>
        <w:t xml:space="preserve">Mission Analyst Verdict:</w:t>
      </w:r>
    </w:p>
    <w:p>
      <w:pPr>
        <w:spacing w:after="60"/>
      </w:pPr>
    </w:p>
    <w:p>
      <w:pPr>
        <w:spacing w:after="100"/>
        <w:jc w:val="both"/>
      </w:pPr>
      <w:r>
        <w:rPr>
          <w:rFonts w:ascii="Arial" w:cs="Arial" w:eastAsia="Arial" w:hAnsi="Arial"/>
          <w:sz w:val="20"/>
          <w:szCs w:val="20"/>
        </w:rPr>
        <w:t xml:space="preserve">Threat level: HIGH, consistent with the MA Report assessment.</w:t>
      </w:r>
    </w:p>
    <w:p>
      <w:pPr>
        <w:spacing w:after="60"/>
      </w:pPr>
    </w:p>
    <w:p>
      <w:pPr>
        <w:spacing w:after="100"/>
        <w:jc w:val="both"/>
      </w:pPr>
      <w:r>
        <w:rPr>
          <w:rFonts w:ascii="Arial" w:cs="Arial" w:eastAsia="Arial" w:hAnsi="Arial"/>
          <w:sz w:val="20"/>
          <w:szCs w:val="20"/>
        </w:rPr>
        <w:t xml:space="preserve">The single most important finding from this cycle is the convergence between the Russian information operation's 92 percent consistency score and the 80 percent GAP finding that Western analytical output has failed to populate the exact topics the adversary narrative is exploiting. This is not a coincidence and it is not simply an analytical failure. It is the operational condition that makes the information operation effective. The adversary does not need to be believed. It only needs to occupy a space that credible counter-analysis has left empty. This cycle, that condition is met across multiple high-value topics simultaneously: the economics of sanctions, the legal status of maritime posture, the ownership implications of industrial relocation, and the cost distribution of conflict support. Until S1 addresses these topics with the same rigor it applies to military and humanitarian dimensions, the adversary narrative will continue to set the interpretive terms for audiences that are actively searching for answers.</w:t>
      </w:r>
    </w:p>
    <w:p>
      <w:pPr>
        <w:spacing w:after="60"/>
      </w:pPr>
    </w:p>
    <w:p>
      <w:pPr>
        <w:spacing w:after="80" w:before="160"/>
      </w:pPr>
      <w:r>
        <w:rPr>
          <w:rFonts w:ascii="Arial" w:cs="Arial" w:eastAsia="Arial" w:hAnsi="Arial"/>
          <w:b/>
          <w:bCs/>
          <w:sz w:val="21"/>
          <w:szCs w:val="21"/>
        </w:rPr>
        <w:t xml:space="preserve">Three signals to watch in the next cycle:</w:t>
      </w:r>
    </w:p>
    <w:p>
      <w:pPr>
        <w:spacing w:after="60"/>
      </w:pPr>
    </w:p>
    <w:p>
      <w:pPr>
        <w:pStyle w:val="ListParagraph"/>
        <w:numPr>
          <w:ilvl w:val="0"/>
          <w:numId w:val="2"/>
        </w:numPr>
        <w:spacing w:after="60"/>
      </w:pPr>
      <w:r>
        <w:rPr>
          <w:rFonts w:ascii="Arial" w:cs="Arial" w:eastAsia="Arial" w:hAnsi="Arial"/>
          <w:sz w:val="20"/>
          <w:szCs w:val="20"/>
        </w:rPr>
        <w:t xml:space="preserve">Whether the PHRASE_SYNC confidence for GCSP growth moves above 70 percent, which would indicate the seed phrase has been adopted by secondary amplifiers and the injection has achieved distribution beyond its origin point.</w:t>
      </w:r>
    </w:p>
    <w:p>
      <w:pPr>
        <w:pStyle w:val="ListParagraph"/>
        <w:numPr>
          <w:ilvl w:val="0"/>
          <w:numId w:val="2"/>
        </w:numPr>
        <w:spacing w:after="60"/>
      </w:pPr>
      <w:r>
        <w:rPr>
          <w:rFonts w:ascii="Arial" w:cs="Arial" w:eastAsia="Arial" w:hAnsi="Arial"/>
          <w:sz w:val="20"/>
          <w:szCs w:val="20"/>
        </w:rPr>
        <w:t xml:space="preserve">Whether the legitimacy gap score for Russia changes in either direction: a rise toward 50 percent would indicate counter-narrative is gaining traction; a fall toward 10 percent would indicate the adversary operation has suppressed legitimacy challenges effectively.</w:t>
      </w:r>
    </w:p>
    <w:p>
      <w:pPr>
        <w:pStyle w:val="ListParagraph"/>
        <w:numPr>
          <w:ilvl w:val="0"/>
          <w:numId w:val="2"/>
        </w:numPr>
        <w:spacing w:after="60"/>
      </w:pPr>
      <w:r>
        <w:rPr>
          <w:rFonts w:ascii="Arial" w:cs="Arial" w:eastAsia="Arial" w:hAnsi="Arial"/>
          <w:sz w:val="20"/>
          <w:szCs w:val="20"/>
        </w:rPr>
        <w:t xml:space="preserve">Whether S3-A's financial control and movement restriction pattern produces a documented institutional response from EU partners or multilateral bodies, which would indicate whether the normalization dynamic is being contested or accepted.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2026-04-16T19:21:51.754Z</dcterms:created>
  <dcterms:modified xsi:type="dcterms:W3CDTF">2026-04-16T19:21:51.754Z</dcterms:modified>
</cp:coreProperties>
</file>

<file path=docProps/custom.xml><?xml version="1.0" encoding="utf-8"?>
<Properties xmlns="http://schemas.openxmlformats.org/officeDocument/2006/custom-properties" xmlns:vt="http://schemas.openxmlformats.org/officeDocument/2006/docPropsVTypes"/>
</file>