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1"/>
      </w:pPr>
      <w:r>
        <w:t xml:space="preserve">Project Lens — Rules Registry Update</w:t>
      </w:r>
    </w:p>
    <w:p>
      <w:r>
        <w:rPr>
          <w:b w:val="false"/>
          <w:bCs w:val="false"/>
          <w:color w:val="666666"/>
          <w:sz w:val="20"/>
          <w:szCs w:val="20"/>
        </w:rPr>
        <w:t xml:space="preserve">Document: lens-DOC-002_rules | Updated: LENS-010 | Total rules: 66</w:t>
      </w:r>
    </w:p>
    <w:p>
      <w:r>
        <w:rPr>
          <w:b w:val="false"/>
          <w:bCs w:val="false"/>
          <w:color w:val="2E75B6"/>
          <w:sz w:val="20"/>
          <w:szCs w:val="20"/>
        </w:rPr>
        <w:t xml:space="preserve">This document covers LR-058 to LR-066 added in LENS-010</w:t>
      </w:r>
    </w:p>
    <w:p>
      <w:pPr>
        <w:pBdr>
          <w:bottom w:val="single" w:color="2E75B6" w:sz="6" w:space="1"/>
        </w:pBdr>
      </w:pPr>
      <w:r>
        <w:t xml:space="preserve"/>
      </w:r>
    </w:p>
    <w:p>
      <w:r>
        <w:t xml:space="preserve"/>
      </w:r>
    </w:p>
    <w:p>
      <w:pPr>
        <w:pStyle w:val="H2"/>
      </w:pPr>
      <w:r>
        <w:t xml:space="preserve">LR-058(A) — System Boundary Checkpoint</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Before modifying any script, state which system owns it: S1, S2, or S3. Changes that cross system boundaries require explicit justification. When in doubt: LR-060 (one-way flow) takes priority.</w:t>
      </w:r>
    </w:p>
    <w:p>
      <w:r>
        <w:t xml:space="preserve"/>
      </w:r>
    </w:p>
    <w:p>
      <w:pPr>
        <w:pStyle w:val="H2"/>
      </w:pPr>
      <w:r>
        <w:t xml:space="preserve">LR-059(A) — System 1 Is The Unprotected Canary</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System 1 scripts are permanently frozen as an unprotected sensor. Never add injection-filtering, sanitization, or protection to any System 1 script. The moment you want to protect System 1 from narrative injection — STOP. That desire is the signal that injection is working as designed. Measure it. Do not sanitize it.</w:t>
      </w:r>
    </w:p>
    <w:p>
      <w:r>
        <w:t xml:space="preserve"/>
      </w:r>
    </w:p>
    <w:p>
      <w:pPr>
        <w:pStyle w:val="H2"/>
      </w:pPr>
      <w:r>
        <w:t xml:space="preserve">LR-060(A) — One-Way Information Flow</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S1 reads only external sources. S2 reads S1 outputs + its own sources. S3 reads everything. No system reads outputs from a later system. This is absolute. No exceptions.</w:t>
      </w:r>
    </w:p>
    <w:p>
      <w:r>
        <w:t xml:space="preserve"/>
      </w:r>
    </w:p>
    <w:p>
      <w:pPr>
        <w:pStyle w:val="H2"/>
      </w:pPr>
      <w:r>
        <w:t xml:space="preserve">LR-061(A) — Resilient Scoring Belongs to S2-B</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Source diversity scoring, coordination detection, and timing analysis belong to S2-B (Coordination Analyzer). They do NOT belong in fetch_text.py or any System 1 script. Where-problem-appears is not where-fix-belongs (see LR-063).</w:t>
      </w:r>
    </w:p>
    <w:p>
      <w:r>
        <w:t xml:space="preserve"/>
      </w:r>
    </w:p>
    <w:p>
      <w:pPr>
        <w:pStyle w:val="H2"/>
      </w:pPr>
      <w:r>
        <w:t xml:space="preserve">LR-062(A) — System 1 Metadata Tag Is The Only Permitted Addition</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The only permitted change to System 1 output is the metadata tag: system="S1", protected=false, injection_assumed=true. This is a schema contract for S2 and S3, not a modification to S1 analysis. All other additions to S1 are prohibited.</w:t>
      </w:r>
    </w:p>
    <w:p>
      <w:r>
        <w:t xml:space="preserve"/>
      </w:r>
    </w:p>
    <w:p>
      <w:pPr>
        <w:pStyle w:val="H2"/>
      </w:pPr>
      <w:r>
        <w:t xml:space="preserve">LR-063(A) — Where Problem Appears Is Not Where Fix Belongs</w:t>
      </w:r>
    </w:p>
    <w:p>
      <w:r>
        <w:rPr>
          <w:b w:val="false"/>
          <w:bCs w:val="false"/>
          <w:color w:val="000000"/>
          <w:sz w:val="20"/>
          <w:szCs w:val="20"/>
        </w:rPr>
        <w:t xml:space="preserve">Type: Architecture | Added: LENS-010</w:t>
      </w:r>
    </w:p>
    <w:p>
      <w:r>
        <w:t xml:space="preserve"/>
      </w:r>
    </w:p>
    <w:p>
      <w:r>
        <w:rPr>
          <w:b w:val="false"/>
          <w:bCs w:val="false"/>
          <w:color w:val="444444"/>
          <w:sz w:val="20"/>
          <w:szCs w:val="20"/>
        </w:rPr>
        <w:t xml:space="preserve">When a problem appears in System 1 output, the fix almost never belongs in System 1. S1 is the canary — it is supposed to show the problem. The fix belongs in the system designed to handle that problem type: injection filtering in S2, pattern detection in S3. Fixing the canary is killing the canary.</w:t>
      </w:r>
    </w:p>
    <w:p>
      <w:r>
        <w:t xml:space="preserve"/>
      </w:r>
    </w:p>
    <w:p>
      <w:pPr>
        <w:pStyle w:val="H2"/>
      </w:pPr>
      <w:r>
        <w:t xml:space="preserve">LR-064(P) — Session Open: Todo List Is Authority</w:t>
      </w:r>
    </w:p>
    <w:p>
      <w:r>
        <w:rPr>
          <w:b w:val="false"/>
          <w:bCs w:val="false"/>
          <w:color w:val="000000"/>
          <w:sz w:val="20"/>
          <w:szCs w:val="20"/>
        </w:rPr>
        <w:t xml:space="preserve">Type: Process | Added: LENS-010</w:t>
      </w:r>
    </w:p>
    <w:p>
      <w:r>
        <w:t xml:space="preserve"/>
      </w:r>
    </w:p>
    <w:p>
      <w:r>
        <w:rPr>
          <w:b w:val="false"/>
          <w:bCs w:val="false"/>
          <w:color w:val="444444"/>
          <w:sz w:val="20"/>
          <w:szCs w:val="20"/>
        </w:rPr>
        <w:t xml:space="preserve">When opening a session, the first action must come from the todo list, not from AI enthusiasm about what seems interesting to build. Session drift starts at session open. The AI will always find something exciting to build that was not planned. The todo list was written by a human who saw the full picture. Follow it.</w:t>
      </w:r>
    </w:p>
    <w:p>
      <w:r>
        <w:t xml:space="preserve"/>
      </w:r>
    </w:p>
    <w:p>
      <w:pPr>
        <w:pStyle w:val="H2"/>
      </w:pPr>
      <w:r>
        <w:t xml:space="preserve">LR-065(S) — API Key Display and Account Isolation</w:t>
      </w:r>
    </w:p>
    <w:p>
      <w:r>
        <w:rPr>
          <w:b w:val="false"/>
          <w:bCs w:val="false"/>
          <w:color w:val="000000"/>
          <w:sz w:val="20"/>
          <w:szCs w:val="20"/>
        </w:rPr>
        <w:t xml:space="preserve">Type: Security | Added: LENS-010 | Origin: Run #18 failure</w:t>
      </w:r>
    </w:p>
    <w:p>
      <w:r>
        <w:t xml:space="preserve"/>
      </w:r>
    </w:p>
    <w:p>
      <w:r>
        <w:rPr>
          <w:b w:val="false"/>
          <w:bCs w:val="false"/>
          <w:color w:val="444444"/>
          <w:sz w:val="20"/>
          <w:szCs w:val="20"/>
        </w:rPr>
        <w:t xml:space="preserve">Part 1 — Display: When showing or logging any API key, show first 9 characters only. Format: key[:9]. Example: gsk_J2O3X. Never more. Applies to all providers.</w:t>
      </w:r>
    </w:p>
    <w:p>
      <w:r>
        <w:t xml:space="preserve"/>
      </w:r>
    </w:p>
    <w:p>
      <w:r>
        <w:rPr>
          <w:b w:val="false"/>
          <w:bCs w:val="false"/>
          <w:color w:val="444444"/>
          <w:sz w:val="20"/>
          <w:szCs w:val="20"/>
        </w:rPr>
        <w:t xml:space="preserve">Part 2 — Account isolation: Each system must use API keys from separate provider accounts. Multiple keys from the same account share the same daily token pool.</w:t>
      </w:r>
    </w:p>
    <w:p>
      <w:r>
        <w:t xml:space="preserve"/>
      </w:r>
    </w:p>
    <w:p>
      <w:r>
        <w:rPr>
          <w:b w:val="false"/>
          <w:bCs w:val="false"/>
          <w:color w:val="444444"/>
          <w:sz w:val="20"/>
          <w:szCs w:val="20"/>
        </w:rPr>
        <w:t xml:space="preserve">4-email Groq account structure:</w:t>
      </w:r>
    </w:p>
    <w:p>
      <w:pPr>
        <w:pStyle w:val="ListParagraph"/>
        <w:numPr>
          <w:ilvl w:val="0"/>
          <w:numId w:val="2"/>
        </w:numPr>
      </w:pPr>
      <w:r>
        <w:rPr>
          <w:sz w:val="20"/>
          <w:szCs w:val="20"/>
        </w:rPr>
        <w:t xml:space="preserve">s1_email: GROQ_API_KEY — System 1 only (21K/day)</w:t>
      </w:r>
    </w:p>
    <w:p>
      <w:pPr>
        <w:pStyle w:val="ListParagraph"/>
        <w:numPr>
          <w:ilvl w:val="0"/>
          <w:numId w:val="2"/>
        </w:numPr>
      </w:pPr>
      <w:r>
        <w:rPr>
          <w:sz w:val="20"/>
          <w:szCs w:val="20"/>
        </w:rPr>
        <w:t xml:space="preserve">s2a_email: GROQ_S2_API_KEY — S2-A + S2-D (50K/day)</w:t>
      </w:r>
    </w:p>
    <w:p>
      <w:pPr>
        <w:pStyle w:val="ListParagraph"/>
        <w:numPr>
          <w:ilvl w:val="0"/>
          <w:numId w:val="2"/>
        </w:numPr>
      </w:pPr>
      <w:r>
        <w:rPr>
          <w:sz w:val="20"/>
          <w:szCs w:val="20"/>
        </w:rPr>
        <w:t xml:space="preserve">s2b_email: GROQ_S2E_API_KEY + GROQ_MANAGER_API_KEY — S2-E + Mission Analyst (55K/day)</w:t>
      </w:r>
    </w:p>
    <w:p>
      <w:pPr>
        <w:pStyle w:val="ListParagraph"/>
        <w:numPr>
          <w:ilvl w:val="0"/>
          <w:numId w:val="2"/>
        </w:numPr>
      </w:pPr>
      <w:r>
        <w:rPr>
          <w:sz w:val="20"/>
          <w:szCs w:val="20"/>
        </w:rPr>
        <w:t xml:space="preserve">s3_email: GROQ_S3_API_KEY — S3-A (19K/day)</w:t>
      </w:r>
    </w:p>
    <w:p>
      <w:r>
        <w:t xml:space="preserve"/>
      </w:r>
    </w:p>
    <w:p>
      <w:pPr>
        <w:pStyle w:val="H2"/>
      </w:pPr>
      <w:r>
        <w:t xml:space="preserve">LR-066(P) — Every Flight Must Have Enough Pre-flight</w:t>
      </w:r>
    </w:p>
    <w:p>
      <w:r>
        <w:rPr>
          <w:b w:val="false"/>
          <w:bCs w:val="false"/>
          <w:color w:val="000000"/>
          <w:sz w:val="20"/>
          <w:szCs w:val="20"/>
        </w:rPr>
        <w:t xml:space="preserve">Type: Process | Added: LENS-010 | Origin: "Every flight must have enough pre-flight." — Bro Alpha, Apr 15 2026</w:t>
      </w:r>
    </w:p>
    <w:p>
      <w:r>
        <w:t xml:space="preserve"/>
      </w:r>
    </w:p>
    <w:p>
      <w:r>
        <w:rPr>
          <w:b w:val="false"/>
          <w:bCs w:val="false"/>
          <w:color w:val="444444"/>
          <w:sz w:val="20"/>
          <w:szCs w:val="20"/>
        </w:rPr>
        <w:t xml:space="preserve">Every system that makes API calls must perform a quota pre-flight check before running. If remaining quota is less than the estimated need — skip this cycle cleanly with exit(0), log the reason, and wait for the next window. Never start a run that is predictably going to fail.</w:t>
      </w:r>
    </w:p>
    <w:p>
      <w:r>
        <w:t xml:space="preserve"/>
      </w:r>
    </w:p>
    <w:p>
      <w:r>
        <w:rPr>
          <w:b w:val="false"/>
          <w:bCs w:val="false"/>
          <w:color w:val="444444"/>
          <w:sz w:val="20"/>
          <w:szCs w:val="20"/>
        </w:rPr>
        <w:t xml:space="preserve">Note: After the 4-email account isolation plan was implemented, LR-066 was demoted from a blocking gate to a best practice. With isolated accounts, System 1 cannot starve System 2. The pre-flight guards are still worth building for protection against within-system quota exhaustion from manual testing.</w:t>
      </w:r>
    </w:p>
    <w:p>
      <w:r>
        <w:t xml:space="preserve"/>
      </w:r>
    </w:p>
    <w:p>
      <w:pPr>
        <w:pBdr>
          <w:bottom w:val="single" w:color="2E75B6" w:sz="6" w:space="1"/>
        </w:pBdr>
      </w:pPr>
      <w:r>
        <w:t xml:space="preserve"/>
      </w:r>
    </w:p>
    <w:p>
      <w:r>
        <w:t xml:space="preserve"/>
      </w:r>
    </w:p>
    <w:p>
      <w:r>
        <w:rPr>
          <w:b w:val="false"/>
          <w:bCs w:val="false"/>
          <w:color w:val="666666"/>
          <w:sz w:val="20"/>
          <w:szCs w:val="20"/>
        </w:rPr>
        <w:t xml:space="preserve">End of LR-058 to LR-066 | Full rules registry in lens-DOC-002_rules.docx</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b"/>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1">
    <w:name w:val="Heading 1"/>
    <w:basedOn w:val="Normal"/>
    <w:next w:val="Normal"/>
    <w:qFormat/>
    <w:pPr>
      <w:spacing w:after="120" w:before="240"/>
      <w:outlineLvl w:val="0"/>
    </w:pPr>
    <w:rPr>
      <w:b/>
      <w:bCs/>
      <w:color w:val="1F3864"/>
      <w:sz w:val="30"/>
      <w:szCs w:val="30"/>
    </w:rPr>
  </w:style>
  <w:style w:type="paragraph" w:styleId="H2">
    <w:name w:val="Heading 2"/>
    <w:basedOn w:val="Normal"/>
    <w:next w:val="Normal"/>
    <w:qFormat/>
    <w:pPr>
      <w:spacing w:after="80" w:before="180"/>
      <w:outlineLvl w:val="1"/>
    </w:pPr>
    <w:rPr>
      <w:b/>
      <w:bCs/>
      <w:color w:val="2E75B6"/>
      <w:sz w:val="22"/>
      <w:szCs w:val="22"/>
    </w:rPr>
  </w:style>
  <w:style w:type="paragraph" w:styleId="H3">
    <w:name w:val="Heading 3"/>
    <w:basedOn w:val="Normal"/>
    <w:next w:val="Normal"/>
    <w:qFormat/>
    <w:pPr>
      <w:spacing w:after="60" w:before="120"/>
      <w:outlineLvl w:val="2"/>
    </w:pPr>
    <w:rPr>
      <w:b/>
      <w:bCs/>
      <w:color w:val="40404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2026-04-15T17:22:38.973Z</dcterms:created>
  <dcterms:modified xsi:type="dcterms:W3CDTF">2026-04-15T17:22:38.973Z</dcterms:modified>
</cp:coreProperties>
</file>

<file path=docProps/custom.xml><?xml version="1.0" encoding="utf-8"?>
<Properties xmlns="http://schemas.openxmlformats.org/officeDocument/2006/custom-properties" xmlns:vt="http://schemas.openxmlformats.org/officeDocument/2006/docPropsVTypes"/>
</file>