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1"/>
      </w:pPr>
      <w:r>
        <w:t xml:space="preserve">Project Lens — Status Document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lens-DOC-004_status | Updated: LENS-010 | 2026-04-15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2"/>
      </w:pPr>
      <w:r>
        <w:t xml:space="preserve">System Architecture — Current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760"/>
        <w:gridCol w:w="3600"/>
      </w:tblGrid>
      <w:tr>
        <w:trPr>
          <w:tblHeader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Collection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 Analysis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 Orchestrator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S2-A Injection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S2-B Coordination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S2-C Emotion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S2-D Adversary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S2-E Legitimacy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Mission Analyst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S3-A Patterns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S3-B True History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S3-C Bias Drift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S3-D Long-term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S3-E Self-Check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Pre-flight S2/S3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 metadata tag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True History 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 analysis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B/C/D sources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2"/>
      </w:pPr>
      <w:r>
        <w:t xml:space="preserve">Groq Account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560"/>
        <w:gridCol w:w="1560"/>
        <w:gridCol w:w="2040"/>
      </w:tblGrid>
      <w:tr>
        <w:trPr>
          <w:tblHeader/>
        </w:trPr>
        <w:tc>
          <w:tcPr>
            <w:tcW w:type="dxa" w:w="NaNy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Account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s1_email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s2a_email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R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s2b_email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s3_email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2"/>
      </w:pPr>
      <w:r>
        <w:t xml:space="preserve">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Indicators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+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Articles in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0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 injection reports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4/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Patterns defended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Macro report quality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 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Status Document | Updated: LENS-010 | 2026-04-15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b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3864"/>
      <w:sz w:val="30"/>
      <w:szCs w:val="30"/>
    </w:rPr>
  </w:style>
  <w:style w:type="paragraph" w:styleId="H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2E75B6"/>
      <w:sz w:val="22"/>
      <w:szCs w:val="22"/>
    </w:rPr>
  </w:style>
  <w:style w:type="paragraph" w:styleId="H3">
    <w:name w:val="Heading 3"/>
    <w:basedOn w:val="Normal"/>
    <w:next w:val="Normal"/>
    <w:qFormat/>
    <w:pPr>
      <w:spacing w:after="60" w:before="120"/>
      <w:outlineLvl w:val="2"/>
    </w:pPr>
    <w:rPr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2026-04-15T17:22:38.971Z</dcterms:created>
  <dcterms:modified xsi:type="dcterms:W3CDTF">2026-04-15T17:22:38.972Z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