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4"/>
        </w:pBdr>
        <w:spacing w:after="480" w:before="0"/>
      </w:pPr>
      <w:r>
        <w:rPr>
          <w:rFonts w:ascii="Arial" w:cs="Arial" w:eastAsia="Arial" w:hAnsi="Arial"/>
          <w:b/>
          <w:bCs/>
          <w:sz w:val="32"/>
          <w:szCs w:val="32"/>
        </w:rPr>
        <w:t xml:space="preserve">April 17, 2026 02:25 AM</w:t>
      </w:r>
    </w:p>
    <w:p>
      <w:pPr>
        <w:pBdr>
          <w:bottom w:val="single" w:color="cccccc" w:sz="1" w:space="4"/>
        </w:pBdr>
        <w:spacing w:after="160" w:before="360"/>
      </w:pPr>
      <w:r>
        <w:rPr>
          <w:rFonts w:ascii="Arial" w:cs="Arial" w:eastAsia="Arial" w:hAnsi="Arial"/>
          <w:b/>
          <w:bCs/>
          <w:color w:val="1a1a2e"/>
          <w:sz w:val="24"/>
          <w:szCs w:val="24"/>
        </w:rPr>
        <w:t xml:space="preserve">SYSTEM 2 — INJECTION ANALYSIS</w:t>
      </w:r>
    </w:p>
    <w:p>
      <w:pPr>
        <w:spacing w:after="80" w:before="160"/>
      </w:pPr>
      <w:r>
        <w:rPr>
          <w:rFonts w:ascii="Arial" w:cs="Arial" w:eastAsia="Arial" w:hAnsi="Arial"/>
          <w:b/>
          <w:bCs/>
          <w:sz w:val="21"/>
          <w:szCs w:val="21"/>
        </w:rPr>
        <w:t xml:space="preserve">S2-A Injection Detection:</w:t>
      </w:r>
    </w:p>
    <w:p>
      <w:pPr>
        <w:spacing w:after="60"/>
      </w:pPr>
    </w:p>
    <w:p>
      <w:pPr>
        <w:spacing w:after="100"/>
        <w:jc w:val="both"/>
      </w:pPr>
      <w:r>
        <w:rPr>
          <w:rFonts w:ascii="Arial" w:cs="Arial" w:eastAsia="Arial" w:hAnsi="Arial"/>
          <w:sz w:val="20"/>
          <w:szCs w:val="20"/>
        </w:rPr>
        <w:t xml:space="preserve">The injection type detected in S2-A is PHRASE_SYNC, operating at a confidence level of 50 percent. PHRASE_SYNC at this threshold indicates a moderate attempt to plant a specific conceptual anchor into analytical discourse. The technique works by introducing a phrase without sufficient surrounding context, forcing the analyst to either adopt the framing or expend cognitive resources resisting it. At 50 percent confidence, the injection is present but not fully coordinated, suggesting either an early-stage seeding effort or a single-source origin rather than a networked push.</w:t>
      </w:r>
    </w:p>
    <w:p>
      <w:pPr>
        <w:spacing w:after="60"/>
      </w:pPr>
    </w:p>
    <w:p>
      <w:pPr>
        <w:spacing w:after="100"/>
        <w:jc w:val="both"/>
      </w:pPr>
      <w:r>
        <w:rPr>
          <w:rFonts w:ascii="Arial" w:cs="Arial" w:eastAsia="Arial" w:hAnsi="Arial"/>
          <w:sz w:val="20"/>
          <w:szCs w:val="20"/>
        </w:rPr>
        <w:t xml:space="preserve">The flagged phrase is: GCSP growth.</w:t>
      </w:r>
    </w:p>
    <w:p>
      <w:pPr>
        <w:spacing w:after="60"/>
      </w:pPr>
    </w:p>
    <w:p>
      <w:pPr>
        <w:spacing w:after="100"/>
        <w:jc w:val="both"/>
      </w:pPr>
      <w:r>
        <w:rPr>
          <w:rFonts w:ascii="Arial" w:cs="Arial" w:eastAsia="Arial" w:hAnsi="Arial"/>
          <w:sz w:val="20"/>
          <w:szCs w:val="20"/>
        </w:rPr>
        <w:t xml:space="preserve">This phrase is designed to produce a normalizing cognitive effect. By using an acronym without definition, the phrase assumes familiarity and institutional legitimacy. An undefined acronym in analytical text functions as a credibility shortcut, causing readers to presume the concept is already established and authoritative. The injection attempts to anchor future discussion around growth of an unspecified framework, priming the analyst to treat GCSP expansion as a default positive outcome without interrogating what GCSP is, who it serves, or what its growth displaces. The intended cognitive endpoint is passive acceptance of an undefined construct as a metric of success.</w:t>
      </w:r>
    </w:p>
    <w:p>
      <w:pPr>
        <w:spacing w:after="60"/>
      </w:pPr>
    </w:p>
    <w:p>
      <w:pPr>
        <w:spacing w:after="80" w:before="160"/>
      </w:pPr>
      <w:r>
        <w:rPr>
          <w:rFonts w:ascii="Arial" w:cs="Arial" w:eastAsia="Arial" w:hAnsi="Arial"/>
          <w:b/>
          <w:bCs/>
          <w:sz w:val="21"/>
          <w:szCs w:val="21"/>
        </w:rPr>
        <w:t xml:space="preserve">S2-B Coordination Analysis:</w:t>
      </w:r>
    </w:p>
    <w:p>
      <w:pPr>
        <w:spacing w:after="60"/>
      </w:pPr>
    </w:p>
    <w:p>
      <w:pPr>
        <w:spacing w:after="100"/>
        <w:jc w:val="both"/>
      </w:pPr>
      <w:r>
        <w:rPr>
          <w:rFonts w:ascii="Arial" w:cs="Arial" w:eastAsia="Arial" w:hAnsi="Arial"/>
          <w:sz w:val="20"/>
          <w:szCs w:val="20"/>
        </w:rPr>
        <w:t xml:space="preserve">No coordination data was detected this cycle. S2-B returned null. This absence is itself an analytical data point. When coordination analysis returns no signal, one of three conditions applies: the coordination occurring in this cycle is below detection threshold, the sources involved are operating through channels not yet mapped in the current monitoring schema, or this is a genuine low-activity period between coordinated pushes. Given that S2-D returned a 92 percent confidence adversary narrative and S2-C returned a structured five-step emotional sequence, the null result in S2-B is anomalous. High-confidence adversarial narrative combined with structured emotional framing typically correlates with detectable coordination. The absence of a coordination signal suggests either decentralized message amplification — where coordinated themes are distributed through independent actors rather than a visible network — or a monitoring gap in the current source coverage. This null result should be flagged as a collection gap rather than a clean negative.</w:t>
      </w:r>
    </w:p>
    <w:p>
      <w:pPr>
        <w:spacing w:after="60"/>
      </w:pPr>
    </w:p>
    <w:p>
      <w:pPr>
        <w:spacing w:after="80" w:before="160"/>
      </w:pPr>
      <w:r>
        <w:rPr>
          <w:rFonts w:ascii="Arial" w:cs="Arial" w:eastAsia="Arial" w:hAnsi="Arial"/>
          <w:b/>
          <w:bCs/>
          <w:sz w:val="21"/>
          <w:szCs w:val="21"/>
        </w:rPr>
        <w:t xml:space="preserve">S2-C Emotional Framing:</w:t>
      </w:r>
    </w:p>
    <w:p>
      <w:pPr>
        <w:spacing w:after="60"/>
      </w:pPr>
    </w:p>
    <w:p>
      <w:pPr>
        <w:spacing w:after="100"/>
        <w:jc w:val="both"/>
      </w:pPr>
      <w:r>
        <w:rPr>
          <w:rFonts w:ascii="Arial" w:cs="Arial" w:eastAsia="Arial" w:hAnsi="Arial"/>
          <w:sz w:val="20"/>
          <w:szCs w:val="20"/>
        </w:rPr>
        <w:t xml:space="preserve">The dominant emotion being manufactured in S2-C is strategic anxiety, specifically the anxiety of entrapment. The manipulation score is 30 percent, indicating that the emotional engineering is present but operating below overt propaganda thresholds, consistent with a layered or sophisticated framing operation rather than a blunt one.</w:t>
      </w:r>
    </w:p>
    <w:p>
      <w:pPr>
        <w:spacing w:after="60"/>
      </w:pPr>
    </w:p>
    <w:p>
      <w:pPr>
        <w:spacing w:after="100"/>
        <w:jc w:val="both"/>
      </w:pPr>
      <w:r>
        <w:rPr>
          <w:rFonts w:ascii="Arial" w:cs="Arial" w:eastAsia="Arial" w:hAnsi="Arial"/>
          <w:sz w:val="20"/>
          <w:szCs w:val="20"/>
        </w:rPr>
        <w:t xml:space="preserve">The five-step emotion sequence being deployed is as follows.</w:t>
      </w:r>
    </w:p>
    <w:p>
      <w:pPr>
        <w:spacing w:after="60"/>
      </w:pPr>
    </w:p>
    <w:p>
      <w:pPr>
        <w:spacing w:after="100"/>
        <w:jc w:val="both"/>
      </w:pPr>
      <w:r>
        <w:rPr>
          <w:rFonts w:ascii="Arial" w:cs="Arial" w:eastAsia="Arial" w:hAnsi="Arial"/>
          <w:sz w:val="20"/>
          <w:szCs w:val="20"/>
        </w:rPr>
        <w:t xml:space="preserve">Step one is threat establishment. The opening phrase names escalating geopolitical confrontation as the dominant signal, priming the reader to process all subsequent information through a lens of active danger. This sets a baseline of urgency that elevates receptivity to the frames that follow.</w:t>
      </w:r>
    </w:p>
    <w:p>
      <w:pPr>
        <w:spacing w:after="60"/>
      </w:pPr>
    </w:p>
    <w:p>
      <w:pPr>
        <w:spacing w:after="100"/>
        <w:jc w:val="both"/>
      </w:pPr>
      <w:r>
        <w:rPr>
          <w:rFonts w:ascii="Arial" w:cs="Arial" w:eastAsia="Arial" w:hAnsi="Arial"/>
          <w:sz w:val="20"/>
          <w:szCs w:val="20"/>
        </w:rPr>
        <w:t xml:space="preserve">Step two is complicity induction. The framing implicates the EU and US as indirect deepeners of the conflict through military and political support. This moves the reader from observer to participant in the crisis, generating discomfort and a search for resolution.</w:t>
      </w:r>
    </w:p>
    <w:p>
      <w:pPr>
        <w:spacing w:after="60"/>
      </w:pPr>
    </w:p>
    <w:p>
      <w:pPr>
        <w:spacing w:after="100"/>
        <w:jc w:val="both"/>
      </w:pPr>
      <w:r>
        <w:rPr>
          <w:rFonts w:ascii="Arial" w:cs="Arial" w:eastAsia="Arial" w:hAnsi="Arial"/>
          <w:sz w:val="20"/>
          <w:szCs w:val="20"/>
        </w:rPr>
        <w:t xml:space="preserve">Step three is structural dependency construction. The reference to industrial relocation of drone production into EU territory framed as a sanctions bypass introduces the concept of a debt trap. This step deploys economic anxiety on top of the security anxiety already established, broadening the emotional surface area.</w:t>
      </w:r>
    </w:p>
    <w:p>
      <w:pPr>
        <w:spacing w:after="60"/>
      </w:pPr>
    </w:p>
    <w:p>
      <w:pPr>
        <w:spacing w:after="100"/>
        <w:jc w:val="both"/>
      </w:pPr>
      <w:r>
        <w:rPr>
          <w:rFonts w:ascii="Arial" w:cs="Arial" w:eastAsia="Arial" w:hAnsi="Arial"/>
          <w:sz w:val="20"/>
          <w:szCs w:val="20"/>
        </w:rPr>
        <w:t xml:space="preserve">Step four is identity weaponization. The reference to Russia's narrative attacks on Ukrainian cultural policies introduces ethnic and civilizational framing, converting a policy dispute into an existential contest. This step is designed to make the conflict feel irresolvable through normal political means.</w:t>
      </w:r>
    </w:p>
    <w:p>
      <w:pPr>
        <w:spacing w:after="60"/>
      </w:pPr>
    </w:p>
    <w:p>
      <w:pPr>
        <w:spacing w:after="100"/>
        <w:jc w:val="both"/>
      </w:pPr>
      <w:r>
        <w:rPr>
          <w:rFonts w:ascii="Arial" w:cs="Arial" w:eastAsia="Arial" w:hAnsi="Arial"/>
          <w:sz w:val="20"/>
          <w:szCs w:val="20"/>
        </w:rPr>
        <w:t xml:space="preserve">Step five is anchor suppression. The phrase that Russia's identity attacks block GCSP growth returns to the undefined acronym from S2-A. This links the emotional sequence back to the planted anchor, conditioning the reader to associate blocked GCSP growth with the full weight of anxiety accumulated across steps one through four. The intended outcome is that the analyst or reader will treat GCSP growth as the solution to geopolitical entrapment without ever having examined what GCSP growth means or who controls it.</w:t>
      </w: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2 — ADVERSARY AND GAP</w:t>
      </w:r>
    </w:p>
    <w:p>
      <w:pPr>
        <w:spacing w:after="80" w:before="160"/>
      </w:pPr>
      <w:r>
        <w:rPr>
          <w:rFonts w:ascii="Arial" w:cs="Arial" w:eastAsia="Arial" w:hAnsi="Arial"/>
          <w:b/>
          <w:bCs/>
          <w:sz w:val="21"/>
          <w:szCs w:val="21"/>
        </w:rPr>
        <w:t xml:space="preserve">S2-D Adversary Narrative:</w:t>
      </w:r>
    </w:p>
    <w:p>
      <w:pPr>
        <w:spacing w:after="60"/>
      </w:pPr>
    </w:p>
    <w:p>
      <w:pPr>
        <w:spacing w:after="100"/>
        <w:jc w:val="both"/>
      </w:pPr>
      <w:r>
        <w:rPr>
          <w:rFonts w:ascii="Arial" w:cs="Arial" w:eastAsia="Arial" w:hAnsi="Arial"/>
          <w:sz w:val="20"/>
          <w:szCs w:val="20"/>
        </w:rPr>
        <w:t xml:space="preserve">The primary adversary narrative is Russian state media framing, operating at a consistency score of 92 percent. This is a high-confidence, structurally stable narrative, meaning it is not improvised or reactive. It is a sustained information operation with defined message pillars.</w:t>
      </w:r>
    </w:p>
    <w:p>
      <w:pPr>
        <w:spacing w:after="60"/>
      </w:pPr>
    </w:p>
    <w:p>
      <w:pPr>
        <w:spacing w:after="100"/>
        <w:jc w:val="both"/>
      </w:pPr>
      <w:r>
        <w:rPr>
          <w:rFonts w:ascii="Arial" w:cs="Arial" w:eastAsia="Arial" w:hAnsi="Arial"/>
          <w:sz w:val="20"/>
          <w:szCs w:val="20"/>
        </w:rPr>
        <w:t xml:space="preserve">The key claims being pushed are as follows.</w:t>
      </w:r>
    </w:p>
    <w:p>
      <w:pPr>
        <w:spacing w:after="60"/>
      </w:pPr>
    </w:p>
    <w:p>
      <w:pPr>
        <w:pStyle w:val="ListParagraph"/>
        <w:numPr>
          <w:ilvl w:val="0"/>
          <w:numId w:val="2"/>
        </w:numPr>
        <w:spacing w:after="60"/>
      </w:pPr>
      <w:r>
        <w:rPr>
          <w:rFonts w:ascii="Arial" w:cs="Arial" w:eastAsia="Arial" w:hAnsi="Arial"/>
          <w:sz w:val="20"/>
          <w:szCs w:val="20"/>
        </w:rPr>
        <w:t xml:space="preserve">The West and Ukraine are joint aggressors who have prolonged the conflict through military and economic intervention.</w:t>
      </w:r>
    </w:p>
    <w:p>
      <w:pPr>
        <w:pStyle w:val="ListParagraph"/>
        <w:numPr>
          <w:ilvl w:val="0"/>
          <w:numId w:val="2"/>
        </w:numPr>
        <w:spacing w:after="60"/>
      </w:pPr>
      <w:r>
        <w:rPr>
          <w:rFonts w:ascii="Arial" w:cs="Arial" w:eastAsia="Arial" w:hAnsi="Arial"/>
          <w:sz w:val="20"/>
          <w:szCs w:val="20"/>
        </w:rPr>
        <w:t xml:space="preserve">EU states are circumventing their own sanctions by relocating drone manufacturing to EU territory under Ukrainian corporate identities.</w:t>
      </w:r>
    </w:p>
    <w:p>
      <w:pPr>
        <w:pStyle w:val="ListParagraph"/>
        <w:numPr>
          <w:ilvl w:val="0"/>
          <w:numId w:val="2"/>
        </w:numPr>
        <w:spacing w:after="60"/>
      </w:pPr>
      <w:r>
        <w:rPr>
          <w:rFonts w:ascii="Arial" w:cs="Arial" w:eastAsia="Arial" w:hAnsi="Arial"/>
          <w:sz w:val="20"/>
          <w:szCs w:val="20"/>
        </w:rPr>
        <w:t xml:space="preserve">Russia-EU trade has collapsed from 253 billion euro in 2021 to 58 billion in 2025, framed as evidence of Western economic aggression rather than Russian policy consequences.</w:t>
      </w:r>
    </w:p>
    <w:p>
      <w:pPr>
        <w:pStyle w:val="ListParagraph"/>
        <w:numPr>
          <w:ilvl w:val="0"/>
          <w:numId w:val="2"/>
        </w:numPr>
        <w:spacing w:after="60"/>
      </w:pPr>
      <w:r>
        <w:rPr>
          <w:rFonts w:ascii="Arial" w:cs="Arial" w:eastAsia="Arial" w:hAnsi="Arial"/>
          <w:sz w:val="20"/>
          <w:szCs w:val="20"/>
        </w:rPr>
        <w:t xml:space="preserve">US action regarding the Hormuz strait is characterized as illegal and escalatory, linking the Russia-Ukraine conflict narrative to a broader anti-Western global frame.</w:t>
      </w:r>
    </w:p>
    <w:p>
      <w:pPr>
        <w:pStyle w:val="ListParagraph"/>
        <w:numPr>
          <w:ilvl w:val="0"/>
          <w:numId w:val="2"/>
        </w:numPr>
        <w:spacing w:after="60"/>
      </w:pPr>
      <w:r>
        <w:rPr>
          <w:rFonts w:ascii="Arial" w:cs="Arial" w:eastAsia="Arial" w:hAnsi="Arial"/>
          <w:sz w:val="20"/>
          <w:szCs w:val="20"/>
        </w:rPr>
        <w:t xml:space="preserve">Russia is positioned as a defensive actor facing existential pressure from a coordinated Western coalition.</w:t>
      </w:r>
    </w:p>
    <w:p>
      <w:pPr>
        <w:spacing w:after="60"/>
      </w:pPr>
    </w:p>
    <w:p>
      <w:pPr>
        <w:spacing w:after="100"/>
        <w:jc w:val="both"/>
      </w:pPr>
      <w:r>
        <w:rPr>
          <w:rFonts w:ascii="Arial" w:cs="Arial" w:eastAsia="Arial" w:hAnsi="Arial"/>
          <w:sz w:val="20"/>
          <w:szCs w:val="20"/>
        </w:rPr>
        <w:t xml:space="preserve">The target audiences for this narrative are threefold. Primary target is European domestic publics, specifically those experiencing economic disruption and questioning the cost of sanctions. Secondary target is non-aligned states in the Global South being courted through the anti-Western hegemon frame. Tertiary target is Western analytical and policy communities, where the goal is to introduce doubt about the proportionality and legality of support for Ukraine.</w:t>
      </w:r>
    </w:p>
    <w:p>
      <w:pPr>
        <w:spacing w:after="60"/>
      </w:pPr>
    </w:p>
    <w:p>
      <w:pPr>
        <w:spacing w:after="80" w:before="160"/>
      </w:pPr>
      <w:r>
        <w:rPr>
          <w:rFonts w:ascii="Arial" w:cs="Arial" w:eastAsia="Arial" w:hAnsi="Arial"/>
          <w:b/>
          <w:bCs/>
          <w:sz w:val="21"/>
          <w:szCs w:val="21"/>
        </w:rPr>
        <w:t xml:space="preserve">S2-E Legitimacy Assessment:</w:t>
      </w:r>
    </w:p>
    <w:p>
      <w:pPr>
        <w:spacing w:after="60"/>
      </w:pPr>
    </w:p>
    <w:p>
      <w:pPr>
        <w:spacing w:after="100"/>
        <w:jc w:val="both"/>
      </w:pPr>
      <w:r>
        <w:rPr>
          <w:rFonts w:ascii="Arial" w:cs="Arial" w:eastAsia="Arial" w:hAnsi="Arial"/>
          <w:sz w:val="20"/>
          <w:szCs w:val="20"/>
        </w:rPr>
        <w:t xml:space="preserve">The only actor flagged in S2-E is Russia. The legitimacy gap signal score is 25 percent.</w:t>
      </w:r>
    </w:p>
    <w:p>
      <w:pPr>
        <w:spacing w:after="60"/>
      </w:pPr>
    </w:p>
    <w:p>
      <w:pPr>
        <w:spacing w:after="100"/>
        <w:jc w:val="both"/>
      </w:pPr>
      <w:r>
        <w:rPr>
          <w:rFonts w:ascii="Arial" w:cs="Arial" w:eastAsia="Arial" w:hAnsi="Arial"/>
          <w:sz w:val="20"/>
          <w:szCs w:val="20"/>
        </w:rPr>
        <w:t xml:space="preserve">Russia: Legitimacy Tier Three. A Tier Three designation indicates that the actor is operating in the information environment with a significant credibility deficit relative to the claims it is advancing, but that this deficit is not absolute. A 25 percent legitimacy gap signal means that a meaningful portion of the target audience is receiving Russian state messaging through channels that do not filter or contextualize it as state-sponsored content. The gap is not yet critical, but it represents a persistent vulnerability in the information environment. When audiences cannot identify the source legitimacy of content they consume, adversarial narratives gain purchase they would not achieve in a fully transparent information space. The 25 percent signal means one in four units of Russian state narrative content in monitored channels is reaching audiences without source attribution or contextual challenge.</w:t>
      </w:r>
    </w:p>
    <w:p>
      <w:pPr>
        <w:spacing w:after="60"/>
      </w:pPr>
    </w:p>
    <w:p>
      <w:pPr>
        <w:spacing w:after="80" w:before="160"/>
      </w:pPr>
      <w:r>
        <w:rPr>
          <w:rFonts w:ascii="Arial" w:cs="Arial" w:eastAsia="Arial" w:hAnsi="Arial"/>
          <w:b/>
          <w:bCs/>
          <w:sz w:val="21"/>
          <w:szCs w:val="21"/>
        </w:rPr>
        <w:t xml:space="preserve">S2-GAP Broken Window:</w:t>
      </w:r>
    </w:p>
    <w:p>
      <w:pPr>
        <w:spacing w:after="60"/>
      </w:pPr>
    </w:p>
    <w:p>
      <w:pPr>
        <w:spacing w:after="100"/>
        <w:jc w:val="both"/>
      </w:pPr>
      <w:r>
        <w:rPr>
          <w:rFonts w:ascii="Arial" w:cs="Arial" w:eastAsia="Arial" w:hAnsi="Arial"/>
          <w:sz w:val="20"/>
          <w:szCs w:val="20"/>
        </w:rPr>
        <w:t xml:space="preserve">S1 missed the following. The consequences of sustained Western military support for Ukraine have not been analyzed systematically in mainstream intelligence or policy analysis. The feedback loop between military support levels and conflict duration has been treated as a political rather than analytical question, removing it from rigorous assessment.</w:t>
      </w:r>
    </w:p>
    <w:p>
      <w:pPr>
        <w:spacing w:after="60"/>
      </w:pPr>
    </w:p>
    <w:p>
      <w:pPr>
        <w:spacing w:after="100"/>
        <w:jc w:val="both"/>
      </w:pPr>
      <w:r>
        <w:rPr>
          <w:rFonts w:ascii="Arial" w:cs="Arial" w:eastAsia="Arial" w:hAnsi="Arial"/>
          <w:sz w:val="20"/>
          <w:szCs w:val="20"/>
        </w:rPr>
        <w:t xml:space="preserve">Stories absent from mainstream analysis include the following.</w:t>
      </w:r>
    </w:p>
    <w:p>
      <w:pPr>
        <w:spacing w:after="60"/>
      </w:pPr>
    </w:p>
    <w:p>
      <w:pPr>
        <w:pStyle w:val="ListParagraph"/>
        <w:numPr>
          <w:ilvl w:val="0"/>
          <w:numId w:val="2"/>
        </w:numPr>
        <w:spacing w:after="60"/>
      </w:pPr>
      <w:r>
        <w:rPr>
          <w:rFonts w:ascii="Arial" w:cs="Arial" w:eastAsia="Arial" w:hAnsi="Arial"/>
          <w:sz w:val="20"/>
          <w:szCs w:val="20"/>
        </w:rPr>
        <w:t xml:space="preserve">The economic second-order effects on EU member states of absorbing Ukrainian defense production capacity, including labor displacement, industrial subsidy distortions, and regulatory arbitrage risks.</w:t>
      </w:r>
    </w:p>
    <w:p>
      <w:pPr>
        <w:pStyle w:val="ListParagraph"/>
        <w:numPr>
          <w:ilvl w:val="0"/>
          <w:numId w:val="2"/>
        </w:numPr>
        <w:spacing w:after="60"/>
      </w:pPr>
      <w:r>
        <w:rPr>
          <w:rFonts w:ascii="Arial" w:cs="Arial" w:eastAsia="Arial" w:hAnsi="Arial"/>
          <w:sz w:val="20"/>
          <w:szCs w:val="20"/>
        </w:rPr>
        <w:t xml:space="preserve">The sanctions compliance paradox, whereby the mechanism of relocating production into EU territory to maintain Ukrainian defense output simultaneously undermines the legal and normative framework of the sanctions regime itself.</w:t>
      </w:r>
    </w:p>
    <w:p>
      <w:pPr>
        <w:pStyle w:val="ListParagraph"/>
        <w:numPr>
          <w:ilvl w:val="0"/>
          <w:numId w:val="2"/>
        </w:numPr>
        <w:spacing w:after="60"/>
      </w:pPr>
      <w:r>
        <w:rPr>
          <w:rFonts w:ascii="Arial" w:cs="Arial" w:eastAsia="Arial" w:hAnsi="Arial"/>
          <w:sz w:val="20"/>
          <w:szCs w:val="20"/>
        </w:rPr>
        <w:t xml:space="preserve">The Russian economic adaptation narrative, specifically the 253 billion to 58 billion euro trade decline figure, which has not been independently analyzed in Western mainstream sources for what it reveals about Russian trade redirection rather than isolation.</w:t>
      </w:r>
    </w:p>
    <w:p>
      <w:pPr>
        <w:pStyle w:val="ListParagraph"/>
        <w:numPr>
          <w:ilvl w:val="0"/>
          <w:numId w:val="2"/>
        </w:numPr>
        <w:spacing w:after="60"/>
      </w:pPr>
      <w:r>
        <w:rPr>
          <w:rFonts w:ascii="Arial" w:cs="Arial" w:eastAsia="Arial" w:hAnsi="Arial"/>
          <w:sz w:val="20"/>
          <w:szCs w:val="20"/>
        </w:rPr>
        <w:t xml:space="preserve">The Hormuz framing, which represents Russian state media linking two geographically distinct crises into a unified anti-Western legal argument. This linkage has not been analyzed as an information operation in mainstream coverage.</w:t>
      </w:r>
    </w:p>
    <w:p>
      <w:pPr>
        <w:spacing w:after="60"/>
      </w:pPr>
    </w:p>
    <w:p>
      <w:pPr>
        <w:spacing w:after="100"/>
        <w:jc w:val="both"/>
      </w:pPr>
      <w:r>
        <w:rPr>
          <w:rFonts w:ascii="Arial" w:cs="Arial" w:eastAsia="Arial" w:hAnsi="Arial"/>
          <w:sz w:val="20"/>
          <w:szCs w:val="20"/>
        </w:rPr>
        <w:t xml:space="preserve">The key gap finding is that the intelligence gap between ground-level operational analysis and adversarial narrative analysis is 80 percent, meaning the adversary's framing of consequences is substantially more developed in monitored information channels than the analytical community's own assessment of those consequences. This absence matters because when a gap of this size exists, the adversary's narrative fills the vacuum by default, particularly among audiences already predisposed to question Western policy coherence.</w:t>
      </w:r>
    </w:p>
    <w:p>
      <w:pPr>
        <w:spacing w:after="60"/>
      </w:pPr>
    </w:p>
    <w:p>
      <w:pPr>
        <w:pBdr>
          <w:bottom w:val="single" w:color="cccccc" w:sz="1" w:space="4"/>
        </w:pBdr>
        <w:spacing w:after="160" w:before="360"/>
      </w:pPr>
      <w:r>
        <w:rPr>
          <w:rFonts w:ascii="Arial" w:cs="Arial" w:eastAsia="Arial" w:hAnsi="Arial"/>
          <w:b/>
          <w:bCs/>
          <w:color w:val="1a1a2e"/>
          <w:sz w:val="24"/>
          <w:szCs w:val="24"/>
        </w:rPr>
        <w:t xml:space="preserve">CUI BONO — WHO BENEFITS</w:t>
      </w:r>
    </w:p>
    <w:p>
      <w:pPr>
        <w:spacing w:after="80" w:before="160"/>
      </w:pPr>
      <w:r>
        <w:rPr>
          <w:rFonts w:ascii="Arial" w:cs="Arial" w:eastAsia="Arial" w:hAnsi="Arial"/>
          <w:b/>
          <w:bCs/>
          <w:sz w:val="21"/>
          <w:szCs w:val="21"/>
        </w:rPr>
        <w:t xml:space="preserve">Primary Beneficiary:</w:t>
      </w:r>
    </w:p>
    <w:p>
      <w:pPr>
        <w:spacing w:after="60"/>
      </w:pPr>
    </w:p>
    <w:p>
      <w:pPr>
        <w:spacing w:after="100"/>
        <w:jc w:val="both"/>
      </w:pPr>
      <w:r>
        <w:rPr>
          <w:rFonts w:ascii="Arial" w:cs="Arial" w:eastAsia="Arial" w:hAnsi="Arial"/>
          <w:sz w:val="20"/>
          <w:szCs w:val="20"/>
        </w:rPr>
        <w:t xml:space="preserve">The primary beneficiary of the complete S2 injection pattern this cycle is the Russian state information apparatus and its affiliated policy actors. The evidence is structural and convergent across all active S2 data.</w:t>
      </w:r>
    </w:p>
    <w:p>
      <w:pPr>
        <w:spacing w:after="60"/>
      </w:pPr>
    </w:p>
    <w:p>
      <w:pPr>
        <w:spacing w:after="100"/>
        <w:jc w:val="both"/>
      </w:pPr>
      <w:r>
        <w:rPr>
          <w:rFonts w:ascii="Arial" w:cs="Arial" w:eastAsia="Arial" w:hAnsi="Arial"/>
          <w:sz w:val="20"/>
          <w:szCs w:val="20"/>
        </w:rPr>
        <w:t xml:space="preserve">S2-A plants an undefined anchor phrase that, through the S2-C emotional sequence, becomes associated with the failure of Western-oriented frameworks. S2-C constructs a five-step anxiety sequence that ends in the suppression of that anchor, conditioning analytical audiences to perceive Western frameworks as the source of geopolitical entrapment. S2-D advances a 92 percent consistent narrative that positions Russia as a defensive victim of Western aggression, providing the factual scaffolding for the emotional architecture built in S2-C. S2-GAP exposes the absence of Western self-critical analysis, leaving the Russian framing of consequences as the only structured account available in monitored channels.</w:t>
      </w:r>
    </w:p>
    <w:p>
      <w:pPr>
        <w:spacing w:after="60"/>
      </w:pPr>
    </w:p>
    <w:p>
      <w:pPr>
        <w:spacing w:after="100"/>
        <w:jc w:val="both"/>
      </w:pPr>
      <w:r>
        <w:rPr>
          <w:rFonts w:ascii="Arial" w:cs="Arial" w:eastAsia="Arial" w:hAnsi="Arial"/>
          <w:sz w:val="20"/>
          <w:szCs w:val="20"/>
        </w:rPr>
        <w:t xml:space="preserve">All four active S2 positions point toward the same outcome: the erosion of confidence in Western analytical coherence, Western policy legitimacy, and the value of Western-aligned frameworks as solutions to geopolitical instability. This is the consistent strategic goal of Russian active measures doctrine across documented historical operations.</w:t>
      </w:r>
    </w:p>
    <w:p>
      <w:pPr>
        <w:spacing w:after="60"/>
      </w:pPr>
    </w:p>
    <w:p>
      <w:pPr>
        <w:spacing w:after="80" w:before="160"/>
      </w:pPr>
      <w:r>
        <w:rPr>
          <w:rFonts w:ascii="Arial" w:cs="Arial" w:eastAsia="Arial" w:hAnsi="Arial"/>
          <w:b/>
          <w:bCs/>
          <w:sz w:val="21"/>
          <w:szCs w:val="21"/>
        </w:rPr>
        <w:t xml:space="preserve">Secondary and Tertiary Beneficiaries:</w:t>
      </w:r>
    </w:p>
    <w:p>
      <w:pPr>
        <w:spacing w:after="60"/>
      </w:pPr>
    </w:p>
    <w:p>
      <w:pPr>
        <w:spacing w:after="100"/>
        <w:jc w:val="both"/>
      </w:pPr>
      <w:r>
        <w:rPr>
          <w:rFonts w:ascii="Arial" w:cs="Arial" w:eastAsia="Arial" w:hAnsi="Arial"/>
          <w:sz w:val="20"/>
          <w:szCs w:val="20"/>
        </w:rPr>
        <w:t xml:space="preserve">The secondary beneficiary is the non-aligned bloc of states currently navigating the choice between Western and Russian-aligned economic and political partnerships. Russian state media framing explicitly targets this audience with the Hormuz narrative and the trade collapse figures, offering a legibility framework in which Western actions are categorically aggressive and Russian actions are categorically defensive. Non-aligned states benefit in the narrow sense that adversarial framing increases their leverage in negotiations with both blocs, as Western partners must work harder to counter a narrative that has already reached non-aligned domestic audiences.</w:t>
      </w:r>
    </w:p>
    <w:p>
      <w:pPr>
        <w:spacing w:after="60"/>
      </w:pPr>
    </w:p>
    <w:p>
      <w:pPr>
        <w:spacing w:after="100"/>
        <w:jc w:val="both"/>
      </w:pPr>
      <w:r>
        <w:rPr>
          <w:rFonts w:ascii="Arial" w:cs="Arial" w:eastAsia="Arial" w:hAnsi="Arial"/>
          <w:sz w:val="20"/>
          <w:szCs w:val="20"/>
        </w:rPr>
        <w:t xml:space="preserve">The tertiary beneficiary is domestic political opposition movements within EU member states, particularly those already running on anti-sanctions or anti-intervention platforms. The structural dependency and debt trap framing in S2-C provides rhetorical material for political actors in Hungary, Slovakia, and parts of Germany and France who are contesting the costs of the Ukraine support consensus. These actors do not need to be coordinated with Russian state media to benefit from its outputs. Narrative alignment without coordination is a known mechanism of adversarial influence amplification.</w:t>
      </w:r>
    </w:p>
    <w:p>
      <w:pPr>
        <w:spacing w:after="60"/>
      </w:pPr>
    </w:p>
    <w:p>
      <w:pPr>
        <w:spacing w:after="80" w:before="160"/>
      </w:pPr>
      <w:r>
        <w:rPr>
          <w:rFonts w:ascii="Arial" w:cs="Arial" w:eastAsia="Arial" w:hAnsi="Arial"/>
          <w:b/>
          <w:bCs/>
          <w:sz w:val="21"/>
          <w:szCs w:val="21"/>
        </w:rPr>
        <w:t xml:space="preserve">Convergence Assessment:</w:t>
      </w:r>
    </w:p>
    <w:p>
      <w:pPr>
        <w:spacing w:after="60"/>
      </w:pPr>
    </w:p>
    <w:p>
      <w:pPr>
        <w:spacing w:after="100"/>
        <w:jc w:val="both"/>
      </w:pPr>
      <w:r>
        <w:rPr>
          <w:rFonts w:ascii="Arial" w:cs="Arial" w:eastAsia="Arial" w:hAnsi="Arial"/>
          <w:sz w:val="20"/>
          <w:szCs w:val="20"/>
        </w:rPr>
        <w:t xml:space="preserve">Convergence level: PROBABLE.</w:t>
      </w:r>
    </w:p>
    <w:p>
      <w:pPr>
        <w:spacing w:after="60"/>
      </w:pPr>
    </w:p>
    <w:p>
      <w:pPr>
        <w:spacing w:after="100"/>
        <w:jc w:val="both"/>
      </w:pPr>
      <w:r>
        <w:rPr>
          <w:rFonts w:ascii="Arial" w:cs="Arial" w:eastAsia="Arial" w:hAnsi="Arial"/>
          <w:sz w:val="20"/>
          <w:szCs w:val="20"/>
        </w:rPr>
        <w:t xml:space="preserve">The evidence chain is as follows. S2-D operates at 92 percent consistency, which is a high-stability sustained operation, not ambient noise. S2-C's five-step emotional sequence is architecturally sophisticated, indicating deliberate construction rather than organic framing. S2-A's phrase injection connects to S2-C's endpoint, suggesting these two data streams share a common construction logic even if they originate from different source channels. S2-GAP's 80 percent gap score confirms that the adversarial narrative has achieved a structural information advantage in the current monitoring environment. The convergence does not reach CONFIRMED status because S2-B returned null. Without detectable coordination data, the attribution chain has a missing link between intent and execution. The most parsimonious explanation for the totality of observed signals is a coordinated Russian state information operation, but the null coordination signal prevents full confirmation this cycle.</w:t>
      </w: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3 — PATTERN INTELLIGENCE</w:t>
      </w:r>
    </w:p>
    <w:p>
      <w:pPr>
        <w:spacing w:after="80" w:before="160"/>
      </w:pPr>
      <w:r>
        <w:rPr>
          <w:rFonts w:ascii="Arial" w:cs="Arial" w:eastAsia="Arial" w:hAnsi="Arial"/>
          <w:b/>
          <w:bCs/>
          <w:sz w:val="21"/>
          <w:szCs w:val="21"/>
        </w:rPr>
        <w:t xml:space="preserve">7-Day Pattern:</w:t>
      </w:r>
    </w:p>
    <w:p>
      <w:pPr>
        <w:spacing w:after="60"/>
      </w:pPr>
    </w:p>
    <w:p>
      <w:pPr>
        <w:spacing w:after="100"/>
        <w:jc w:val="both"/>
      </w:pPr>
      <w:r>
        <w:rPr>
          <w:rFonts w:ascii="Arial" w:cs="Arial" w:eastAsia="Arial" w:hAnsi="Arial"/>
          <w:sz w:val="20"/>
          <w:szCs w:val="20"/>
        </w:rPr>
        <w:t xml:space="preserve">The pattern forming over the current seven-day window is centralized state control expanding simultaneously across financial networks, physical movement infrastructure, and information channels, with the United States, the EU, and Russia each accelerating this expansion through distinct mechanisms that produce convergent structural outcomes. The evidence base is S3-A's observations on visa restrictions, asset seizures, and strategic port diplomacy as a unified US behavioral pattern, combined with S2-C's structural dependency framing and S2-D's trade collapse data.</w:t>
      </w:r>
    </w:p>
    <w:p>
      <w:pPr>
        <w:spacing w:after="60"/>
      </w:pPr>
    </w:p>
    <w:p>
      <w:pPr>
        <w:spacing w:after="100"/>
        <w:jc w:val="both"/>
      </w:pPr>
      <w:r>
        <w:rPr>
          <w:rFonts w:ascii="Arial" w:cs="Arial" w:eastAsia="Arial" w:hAnsi="Arial"/>
          <w:sz w:val="20"/>
          <w:szCs w:val="20"/>
        </w:rPr>
        <w:t xml:space="preserve">The event sequence and its significance are as follows. First, financial surveillance and asset seizure mechanisms were normalized in the post-2022 sanctions environment, establishing the legal and procedural precedent for state-directed financial control at scale. Second, physical movement restrictions accumulated through visa policy tightening, not as discrete decisions but as a pattern of access control that mirrors financial gatekeeping logic. Third, strategic port diplomacy emerged as a physical-world complement to financial network control, with states using infrastructure leverage to constrain partners and adversaries alike. Fourth, narrative control operations intensified in parallel, with S2-D's 92 percent consistency score reflecting a sustained and mature operation running alongside physical and financial control mechanisms. The order of this sequence reveals a strategic architecture: financial control preceded movement control, which preceded physical infrastructure control, which is now being reinforced by information control. This is not coincidental sequencing. It is layered sovereignty projection.</w:t>
      </w:r>
    </w:p>
    <w:p>
      <w:pPr>
        <w:spacing w:after="60"/>
      </w:pPr>
    </w:p>
    <w:p>
      <w:pPr>
        <w:spacing w:after="80" w:before="160"/>
      </w:pPr>
      <w:r>
        <w:rPr>
          <w:rFonts w:ascii="Arial" w:cs="Arial" w:eastAsia="Arial" w:hAnsi="Arial"/>
          <w:b/>
          <w:bCs/>
          <w:sz w:val="21"/>
          <w:szCs w:val="21"/>
        </w:rPr>
        <w:t xml:space="preserve">Distraction and Quiet Event:</w:t>
      </w:r>
    </w:p>
    <w:p>
      <w:pPr>
        <w:spacing w:after="60"/>
      </w:pPr>
    </w:p>
    <w:p>
      <w:pPr>
        <w:spacing w:after="100"/>
        <w:jc w:val="both"/>
      </w:pPr>
      <w:r>
        <w:rPr>
          <w:rFonts w:ascii="Arial" w:cs="Arial" w:eastAsia="Arial" w:hAnsi="Arial"/>
          <w:sz w:val="20"/>
          <w:szCs w:val="20"/>
        </w:rPr>
        <w:t xml:space="preserve">The loud event consuming analytical bandwidth is the Russia-Ukraine kinetic conflict, specifically the drone production relocation story and the sanctions compliance debate. This story is absorbing institutional attention because it combines military, economic, and legal dimensions, and because it generates continuous new data points that require processing.</w:t>
      </w:r>
    </w:p>
    <w:p>
      <w:pPr>
        <w:spacing w:after="60"/>
      </w:pPr>
    </w:p>
    <w:p>
      <w:pPr>
        <w:spacing w:after="100"/>
        <w:jc w:val="both"/>
      </w:pPr>
      <w:r>
        <w:rPr>
          <w:rFonts w:ascii="Arial" w:cs="Arial" w:eastAsia="Arial" w:hAnsi="Arial"/>
          <w:sz w:val="20"/>
          <w:szCs w:val="20"/>
        </w:rPr>
        <w:t xml:space="preserve">The quiet structural event happening behind it is the normalization of executive financial surveillance architecture across democratic states. S3-A identifies asset seizures, visa restrictions, and port diplomacy as a pattern. S3-D identifies the normalization of executive overreach and financial surveillance under the guise of stability as the most significant 30-day structural change. The quiet event is not the Russia-Ukraine conflict. The quiet event is the institutional infrastructure being built by all major state actors simultaneously, infrastructure that will outlast the current conflict and constrain the policy options of future governments.</w:t>
      </w:r>
    </w:p>
    <w:p>
      <w:pPr>
        <w:spacing w:after="60"/>
      </w:pPr>
    </w:p>
    <w:p>
      <w:pPr>
        <w:spacing w:after="80" w:before="160"/>
      </w:pPr>
      <w:r>
        <w:rPr>
          <w:rFonts w:ascii="Arial" w:cs="Arial" w:eastAsia="Arial" w:hAnsi="Arial"/>
          <w:b/>
          <w:bCs/>
          <w:sz w:val="21"/>
          <w:szCs w:val="21"/>
        </w:rPr>
        <w:t xml:space="preserve">Hidden Builder:</w:t>
      </w:r>
    </w:p>
    <w:p>
      <w:pPr>
        <w:spacing w:after="60"/>
      </w:pPr>
    </w:p>
    <w:p>
      <w:pPr>
        <w:spacing w:after="100"/>
        <w:jc w:val="both"/>
      </w:pPr>
      <w:r>
        <w:rPr>
          <w:rFonts w:ascii="Arial" w:cs="Arial" w:eastAsia="Arial" w:hAnsi="Arial"/>
          <w:sz w:val="20"/>
          <w:szCs w:val="20"/>
        </w:rPr>
        <w:t xml:space="preserve">Non-aligned states are gaining structural advantage quietly. The evidence is S3-D's explicit finding that non-aligned states are gaining leverage as US soft power and decentralized systems erode. The mechanism is straightforward. As both Western and Russian blocs tighten financial and movement controls, non-aligned states that have not fully committed to either architecture become essential intermediaries. They control the routing of goods, capital, and people between systems that are increasingly sealed against direct contact with each other. The Russia-EU trade collapse from 253 billion to 58 billion euro documented in S2-D does not represent trade destruction. It represents trade rerouting, and the states through which that rerouting is occurring are accumulating leverage, revenue, and structural indispensability that will shape the post-conflict international order regardless of how the Ukraine conflict resolves.</w:t>
      </w:r>
    </w:p>
    <w:p>
      <w:pPr>
        <w:spacing w:after="60"/>
      </w:pPr>
    </w:p>
    <w:p>
      <w:pPr>
        <w:spacing w:after="80" w:before="160"/>
      </w:pPr>
      <w:r>
        <w:rPr>
          <w:rFonts w:ascii="Arial" w:cs="Arial" w:eastAsia="Arial" w:hAnsi="Arial"/>
          <w:b/>
          <w:bCs/>
          <w:sz w:val="21"/>
          <w:szCs w:val="21"/>
        </w:rPr>
        <w:t xml:space="preserve">First Domino:</w:t>
      </w:r>
    </w:p>
    <w:p>
      <w:pPr>
        <w:spacing w:after="60"/>
      </w:pPr>
    </w:p>
    <w:p>
      <w:pPr>
        <w:spacing w:after="100"/>
        <w:jc w:val="both"/>
      </w:pPr>
      <w:r>
        <w:rPr>
          <w:rFonts w:ascii="Arial" w:cs="Arial" w:eastAsia="Arial" w:hAnsi="Arial"/>
          <w:sz w:val="20"/>
          <w:szCs w:val="20"/>
        </w:rPr>
        <w:t xml:space="preserve">If current patterns continue, the first domino that becomes inevitable is the formal bifurcation of the international financial architecture into two incompatible systems, one anchored to Western institutional frameworks and one operating outside them, with a non-aligned intermediary layer exploiting the seam between them. This is not prediction. It is the logical endpoint of the following observed evidence: the 80 percent intelligence gap confirms Western analytical frameworks are not adequately tracking adversarial economic adaptation. The 92 percent consistent adversarial narrative is actively eroding Western legitimacy in non-aligned audiences. The centralization of financial and movement control documented in S3-A and S3-D is reducing the number of actors who can operate freely across both systems. The non-aligned leverage gain identified in S3-D confirms the intermediary layer is already forming. Once this intermediary layer reaches sufficient scale and institutionalization, bifurcation becomes self-sustaining regardless of diplomatic or military outcomes in any specific theater.</w:t>
      </w: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3 — CHECKS AND VERDICT</w:t>
      </w:r>
    </w:p>
    <w:p>
      <w:pPr>
        <w:spacing w:after="80" w:before="160"/>
      </w:pPr>
      <w:r>
        <w:rPr>
          <w:rFonts w:ascii="Arial" w:cs="Arial" w:eastAsia="Arial" w:hAnsi="Arial"/>
          <w:b/>
          <w:bCs/>
          <w:sz w:val="21"/>
          <w:szCs w:val="21"/>
        </w:rPr>
        <w:t xml:space="preserve">ACH Check:</w:t>
      </w:r>
    </w:p>
    <w:p>
      <w:pPr>
        <w:spacing w:after="60"/>
      </w:pPr>
    </w:p>
    <w:p>
      <w:pPr>
        <w:spacing w:after="100"/>
        <w:jc w:val="both"/>
      </w:pPr>
      <w:r>
        <w:rPr>
          <w:rFonts w:ascii="Arial" w:cs="Arial" w:eastAsia="Arial" w:hAnsi="Arial"/>
          <w:sz w:val="20"/>
          <w:szCs w:val="20"/>
        </w:rPr>
        <w:t xml:space="preserve">The strongest evidence contradicting the pattern analysis is the null result in S2-B. If a coordinated Russian information operation of the sophistication implied by S2-C and S2-D were underway, coordination signals should be detectable. Their absence suggests one of two alternative hypotheses: the pattern is partly organic, meaning Western policy incoherence is generating its own analytical gaps without adversarial injection, or the monitoring architecture has a collection gap that is concealing coordination that exists.</w:t>
      </w:r>
    </w:p>
    <w:p>
      <w:pPr>
        <w:spacing w:after="60"/>
      </w:pPr>
    </w:p>
    <w:p>
      <w:pPr>
        <w:spacing w:after="100"/>
        <w:jc w:val="both"/>
      </w:pPr>
      <w:r>
        <w:rPr>
          <w:rFonts w:ascii="Arial" w:cs="Arial" w:eastAsia="Arial" w:hAnsi="Arial"/>
          <w:sz w:val="20"/>
          <w:szCs w:val="20"/>
        </w:rPr>
        <w:t xml:space="preserve">A second contradicting signal is the 25 percent legitimacy gap score in S2-E. If Russian state narrative were achieving the penetration implied by S2-D's 92 percent consistency score, the legitimacy gap score would be expected to be higher. The relatively low gap score suggests that Russian messaging, while consistent and structurally present, is not translating into proportionate audience acceptance in monitored channels.</w:t>
      </w:r>
    </w:p>
    <w:p>
      <w:pPr>
        <w:spacing w:after="60"/>
      </w:pPr>
    </w:p>
    <w:p>
      <w:pPr>
        <w:spacing w:after="100"/>
        <w:jc w:val="both"/>
      </w:pPr>
      <w:r>
        <w:rPr>
          <w:rFonts w:ascii="Arial" w:cs="Arial" w:eastAsia="Arial" w:hAnsi="Arial"/>
          <w:sz w:val="20"/>
          <w:szCs w:val="20"/>
        </w:rPr>
        <w:t xml:space="preserve">Confidence level in the dominant reading remains at 0.80, consistent with the MA Report quality score. The dominant reading holds despite these contradictions because the structural evidence in S3-A and S3-D is independent of the S2 adversarial narrative analysis and reaches convergent conclusions about centralization and leverage shift through entirely different analytical pathways. Two independent analytical systems arriving at convergent structural findings is stronger evidence than either system alone, and it does not depend on resolving the S2-B null result.</w:t>
      </w:r>
    </w:p>
    <w:p>
      <w:pPr>
        <w:spacing w:after="60"/>
      </w:pPr>
    </w:p>
    <w:p>
      <w:pPr>
        <w:spacing w:after="80" w:before="160"/>
      </w:pPr>
      <w:r>
        <w:rPr>
          <w:rFonts w:ascii="Arial" w:cs="Arial" w:eastAsia="Arial" w:hAnsi="Arial"/>
          <w:b/>
          <w:bCs/>
          <w:sz w:val="21"/>
          <w:szCs w:val="21"/>
        </w:rPr>
        <w:t xml:space="preserve">Sectarian Trap Status:</w:t>
      </w:r>
    </w:p>
    <w:p>
      <w:pPr>
        <w:spacing w:after="60"/>
      </w:pPr>
    </w:p>
    <w:p>
      <w:pPr>
        <w:spacing w:after="100"/>
        <w:jc w:val="both"/>
      </w:pPr>
      <w:r>
        <w:rPr>
          <w:rFonts w:ascii="Arial" w:cs="Arial" w:eastAsia="Arial" w:hAnsi="Arial"/>
          <w:sz w:val="20"/>
          <w:szCs w:val="20"/>
        </w:rPr>
        <w:t xml:space="preserve">Ethnic, religious, and political tension manufacturing is detected in this cycle.</w:t>
      </w:r>
    </w:p>
    <w:p>
      <w:pPr>
        <w:spacing w:after="60"/>
      </w:pPr>
    </w:p>
    <w:p>
      <w:pPr>
        <w:spacing w:after="100"/>
        <w:jc w:val="both"/>
      </w:pPr>
      <w:r>
        <w:rPr>
          <w:rFonts w:ascii="Arial" w:cs="Arial" w:eastAsia="Arial" w:hAnsi="Arial"/>
          <w:sz w:val="20"/>
          <w:szCs w:val="20"/>
        </w:rPr>
        <w:t xml:space="preserve">The group being targeted is Ukrainian national and cultural identity, specifically through Russian state media characterization of Ukrainian cultural policies under article 9 framing as Soviet-era residue and through the broader sovereignty theft and ethnic erasure narrative identified in S2-C.</w:t>
      </w:r>
    </w:p>
    <w:p>
      <w:pPr>
        <w:spacing w:after="60"/>
      </w:pPr>
    </w:p>
    <w:p>
      <w:pPr>
        <w:spacing w:after="100"/>
        <w:jc w:val="both"/>
      </w:pPr>
      <w:r>
        <w:rPr>
          <w:rFonts w:ascii="Arial" w:cs="Arial" w:eastAsia="Arial" w:hAnsi="Arial"/>
          <w:sz w:val="20"/>
          <w:szCs w:val="20"/>
        </w:rPr>
        <w:t xml:space="preserve">The amplifier is Russian state media operating at 92 percent narrative consistency, as documented in S2-D.</w:t>
      </w:r>
    </w:p>
    <w:p>
      <w:pPr>
        <w:spacing w:after="60"/>
      </w:pPr>
    </w:p>
    <w:p>
      <w:pPr>
        <w:spacing w:after="100"/>
        <w:jc w:val="both"/>
      </w:pPr>
      <w:r>
        <w:rPr>
          <w:rFonts w:ascii="Arial" w:cs="Arial" w:eastAsia="Arial" w:hAnsi="Arial"/>
          <w:sz w:val="20"/>
          <w:szCs w:val="20"/>
        </w:rPr>
        <w:t xml:space="preserve">The assessment is manufactured rather than organic. The ethnic and identity framing does not emerge from grassroots Ukrainian or Russian civil society discourse. It is introduced through state media channels with specific political objectives: to delegitimize Ukrainian statehood in international audiences, to mobilize Russian domestic opinion around civilizational defense framing, and to introduce identity conflict into Western policy debates where it creates friction around support for Ukraine. The five-step emotion sequence in S2-C explicitly uses identity weaponization as step four, confirming deliberate construction. The sectarian trap in this cycle is specifically designed to make the conflict appear irresolvable through political means, thereby justifying continued military approaches and blocking diplomatic off-ramps that would reduce the conflict's utility to all parties currently extracting strategic benefit from its continuation.</w:t>
      </w:r>
    </w:p>
    <w:p>
      <w:pPr>
        <w:spacing w:after="60"/>
      </w:pPr>
    </w:p>
    <w:p>
      <w:pPr>
        <w:spacing w:after="80" w:before="160"/>
      </w:pPr>
      <w:r>
        <w:rPr>
          <w:rFonts w:ascii="Arial" w:cs="Arial" w:eastAsia="Arial" w:hAnsi="Arial"/>
          <w:b/>
          <w:bCs/>
          <w:sz w:val="21"/>
          <w:szCs w:val="21"/>
        </w:rPr>
        <w:t xml:space="preserve">S3-D Structural:</w:t>
      </w:r>
    </w:p>
    <w:p>
      <w:pPr>
        <w:spacing w:after="60"/>
      </w:pPr>
    </w:p>
    <w:p>
      <w:pPr>
        <w:spacing w:after="100"/>
        <w:jc w:val="both"/>
      </w:pPr>
      <w:r>
        <w:rPr>
          <w:rFonts w:ascii="Arial" w:cs="Arial" w:eastAsia="Arial" w:hAnsi="Arial"/>
          <w:sz w:val="20"/>
          <w:szCs w:val="20"/>
        </w:rPr>
        <w:t xml:space="preserve">The 30-day structural finding is that power has shifted toward centralized control of finance, movement, and narrative across all major state actors simultaneously. This is not a unilateral move by any single actor. It is a convergent structural trend in which US visa restrictions and asset seizures, EU sanctions architecture and drone production relocation, and Russian trade redirection and information operations all produce the same outcome: reduced space for independent actors, reduced transparency in financial and physical infrastructure, and increased executive authority operating outside normal democratic accountability mechanisms.</w:t>
      </w:r>
    </w:p>
    <w:p>
      <w:pPr>
        <w:spacing w:after="60"/>
      </w:pPr>
    </w:p>
    <w:p>
      <w:pPr>
        <w:spacing w:after="100"/>
        <w:jc w:val="both"/>
      </w:pPr>
      <w:r>
        <w:rPr>
          <w:rFonts w:ascii="Arial" w:cs="Arial" w:eastAsia="Arial" w:hAnsi="Arial"/>
          <w:sz w:val="20"/>
          <w:szCs w:val="20"/>
        </w:rPr>
        <w:t xml:space="preserve">The structural first domino from the 30-day finding is the erosion of multilateral institutional legitimacy as the primary framework for international dispute resolution. When all major state actors simultaneously centralize control and normalize executive overreach under stability justifications, the institutions built to mediate between those actors lose the procedural authority they require to function. The World Trade Organization, the International Court of Justice, and the United Nations Security Council are all premised on member state restraint of unilateral action. The 30-day pattern documents the systematic expansion of unilateral action by all veto-holding powers simultaneously. The first domino is therefore not a single crisis event. It is the quiet functional obsolescence of the existing multilateral order, occurring below the threshold of any single headline.</w:t>
      </w:r>
    </w:p>
    <w:p>
      <w:pPr>
        <w:spacing w:after="60"/>
      </w:pPr>
    </w:p>
    <w:p>
      <w:pPr>
        <w:spacing w:after="80" w:before="160"/>
      </w:pPr>
      <w:r>
        <w:rPr>
          <w:rFonts w:ascii="Arial" w:cs="Arial" w:eastAsia="Arial" w:hAnsi="Arial"/>
          <w:b/>
          <w:bCs/>
          <w:sz w:val="21"/>
          <w:szCs w:val="21"/>
        </w:rPr>
        <w:t xml:space="preserve">Mission Analyst Verdict:</w:t>
      </w:r>
    </w:p>
    <w:p>
      <w:pPr>
        <w:spacing w:after="60"/>
      </w:pPr>
    </w:p>
    <w:p>
      <w:pPr>
        <w:spacing w:after="100"/>
        <w:jc w:val="both"/>
      </w:pPr>
      <w:r>
        <w:rPr>
          <w:rFonts w:ascii="Arial" w:cs="Arial" w:eastAsia="Arial" w:hAnsi="Arial"/>
          <w:sz w:val="20"/>
          <w:szCs w:val="20"/>
        </w:rPr>
        <w:t xml:space="preserve">Threat level: HIGH. This is consistent with the MA Report designation and supported by the convergent findings across S2 and S3 analytical streams.</w:t>
      </w:r>
    </w:p>
    <w:p>
      <w:pPr>
        <w:spacing w:after="60"/>
      </w:pPr>
    </w:p>
    <w:p>
      <w:pPr>
        <w:spacing w:after="100"/>
        <w:jc w:val="both"/>
      </w:pPr>
      <w:r>
        <w:rPr>
          <w:rFonts w:ascii="Arial" w:cs="Arial" w:eastAsia="Arial" w:hAnsi="Arial"/>
          <w:sz w:val="20"/>
          <w:szCs w:val="20"/>
        </w:rPr>
        <w:t xml:space="preserve">The single most important finding from this cycle is that the adversarial information architecture documented in S2-C, S2-D, and S2-GAP is not operating in isolation. It is running in parallel with and reinforcing the structural centralization trend documented independently in S3-A and S3-D. This means the information operation is not merely shaping perception. It is shaping perception in a direction that makes the structural trend more politically durable. Audiences conditioned to accept centralized control as a defensive response to aggression will generate less resistance to the normalization of executive overreach documented in S3-D. The convergence of information operations and structural power concentration in the same analytical cycle, pointing in the same direction, is the critical finding.</w:t>
      </w:r>
    </w:p>
    <w:p>
      <w:pPr>
        <w:spacing w:after="60"/>
      </w:pPr>
    </w:p>
    <w:p>
      <w:pPr>
        <w:spacing w:after="100"/>
        <w:jc w:val="both"/>
      </w:pPr>
      <w:r>
        <w:rPr>
          <w:rFonts w:ascii="Arial" w:cs="Arial" w:eastAsia="Arial" w:hAnsi="Arial"/>
          <w:sz w:val="20"/>
          <w:szCs w:val="20"/>
        </w:rPr>
        <w:t xml:space="preserve">Three signals to watch in the next cycle are as follows.</w:t>
      </w:r>
    </w:p>
    <w:p>
      <w:pPr>
        <w:spacing w:after="60"/>
      </w:pPr>
    </w:p>
    <w:p>
      <w:pPr>
        <w:pStyle w:val="ListParagraph"/>
        <w:numPr>
          <w:ilvl w:val="0"/>
          <w:numId w:val="2"/>
        </w:numPr>
        <w:spacing w:after="60"/>
      </w:pPr>
      <w:r>
        <w:rPr>
          <w:rFonts w:ascii="Arial" w:cs="Arial" w:eastAsia="Arial" w:hAnsi="Arial"/>
          <w:sz w:val="20"/>
          <w:szCs w:val="20"/>
        </w:rPr>
        <w:t xml:space="preserve">First: whether S2-B returns coordination data. If the next cycle produces a coordination signal that was absent this cycle, it will retroactively clarify whether the current pattern is networked or decentralized, which changes the attribution confidence level from PROBABLE to CONFIRMED or forces a revision of the primary beneficiary assessment.</w:t>
      </w:r>
    </w:p>
    <w:p>
      <w:pPr>
        <w:spacing w:after="60"/>
      </w:pPr>
    </w:p>
    <w:p>
      <w:pPr>
        <w:pStyle w:val="ListParagraph"/>
        <w:numPr>
          <w:ilvl w:val="0"/>
          <w:numId w:val="2"/>
        </w:numPr>
        <w:spacing w:after="60"/>
      </w:pPr>
      <w:r>
        <w:rPr>
          <w:rFonts w:ascii="Arial" w:cs="Arial" w:eastAsia="Arial" w:hAnsi="Arial"/>
          <w:sz w:val="20"/>
          <w:szCs w:val="20"/>
        </w:rPr>
        <w:t xml:space="preserve">Second: the non-aligned intermediary layer activation rate, specifically whether states currently routing Russia-EU trade substitution are beginning to formalize their intermediary roles through bilateral agreements, infrastructure investment, or institutional framework-building. Formalization of the intermediary role is the signal that bifurcation has passed from a structural trend into an institutional reality.</w:t>
      </w:r>
    </w:p>
    <w:p>
      <w:pPr>
        <w:spacing w:after="60"/>
      </w:pPr>
    </w:p>
    <w:p>
      <w:pPr>
        <w:pStyle w:val="ListParagraph"/>
        <w:numPr>
          <w:ilvl w:val="0"/>
          <w:numId w:val="2"/>
        </w:numPr>
        <w:spacing w:after="60"/>
      </w:pPr>
      <w:r>
        <w:rPr>
          <w:rFonts w:ascii="Arial" w:cs="Arial" w:eastAsia="Arial" w:hAnsi="Arial"/>
          <w:sz w:val="20"/>
          <w:szCs w:val="20"/>
        </w:rPr>
        <w:t xml:space="preserve">Third: the GCSP anchor phrase propagation rate. If the undefined acronym introduced in S2-A appears in additional monitored channels in the next cycle with increasing specificity of meaning attached to it, this will confirm that the phrase injection is part of a longer-horizon seeding operation rather than a single-cycle anomaly. Tracking the accumulation of meaning around an undefined anchor phrase is a reliable method for identifying the later stages of a sustained narrative construction operation.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2026-04-16T19:27:16.734Z</dcterms:created>
  <dcterms:modified xsi:type="dcterms:W3CDTF">2026-04-16T19:27:16.734Z</dcterms:modified>
</cp:coreProperties>
</file>

<file path=docProps/custom.xml><?xml version="1.0" encoding="utf-8"?>
<Properties xmlns="http://schemas.openxmlformats.org/officeDocument/2006/custom-properties" xmlns:vt="http://schemas.openxmlformats.org/officeDocument/2006/docPropsVTypes"/>
</file>