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Lens — Rules Registry</w:t>
      </w:r>
    </w:p>
    <w:p>
      <w:r>
        <w:rPr>
          <w:b w:val="false"/>
          <w:bCs w:val="false"/>
          <w:color w:val="666666"/>
          <w:sz w:val="20"/>
          <w:szCs w:val="20"/>
        </w:rPr>
        <w:t xml:space="preserve">Document: lens-DOC-002_rules  |  Updated: LENS-010  |  Total Rules: 65</w:t>
      </w:r>
    </w:p>
    <w:p>
      <w:r>
        <w:rPr>
          <w:b/>
          <w:bCs/>
          <w:color w:val="8B0000"/>
          <w:sz w:val="20"/>
          <w:szCs w:val="20"/>
        </w:rPr>
        <w:t xml:space="preserve">LENS-010 additions: LR-058 to LR-065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NEW — LR-065(S): API Key Verification + Account Isolation</w:t>
      </w:r>
    </w:p>
    <w:p>
      <w:r>
        <w:rPr>
          <w:b/>
          <w:bCs/>
          <w:color w:val="8B0000"/>
          <w:sz w:val="20"/>
          <w:szCs w:val="20"/>
        </w:rPr>
        <w:t xml:space="preserve">Added: LENS-010 | Type: (S)ecurity</w:t>
      </w:r>
    </w:p>
    <w:p>
      <w:r>
        <w:t xml:space="preserve"/>
      </w:r>
    </w:p>
    <w:p>
      <w:r>
        <w:rPr>
          <w:b/>
          <w:bCs/>
          <w:color w:val="1F3864"/>
          <w:sz w:val="20"/>
          <w:szCs w:val="20"/>
        </w:rPr>
        <w:t xml:space="preserve">THE RULE — Two parts:</w:t>
      </w:r>
    </w:p>
    <w:p>
      <w:r>
        <w:t xml:space="preserve"/>
      </w:r>
    </w:p>
    <w:p>
      <w:r>
        <w:rPr>
          <w:b w:val="false"/>
          <w:bCs w:val="false"/>
          <w:color w:val="444444"/>
          <w:sz w:val="20"/>
          <w:szCs w:val="20"/>
        </w:rPr>
        <w:t xml:space="preserve">Part 1 — Key Display Limit: When showing or logging any API key for verification, show FIRST 9 CHARACTERS ONLY. No more. Format: key[:9]. Example: gsk_J2O3X. This applies to all providers.</w:t>
      </w:r>
    </w:p>
    <w:p>
      <w:r>
        <w:t xml:space="preserve"/>
      </w:r>
    </w:p>
    <w:p>
      <w:r>
        <w:rPr>
          <w:b w:val="false"/>
          <w:bCs w:val="false"/>
          <w:color w:val="444444"/>
          <w:sz w:val="20"/>
          <w:szCs w:val="20"/>
        </w:rPr>
        <w:t xml:space="preserve">Part 2 — Account Isolation: Each system must use API keys from COMPLETELY SEPARATE PROVIDER ACCOUNTS — not just separate keys from the same account.</w:t>
      </w:r>
    </w:p>
    <w:p>
      <w:r>
        <w:t xml:space="preserve"/>
      </w:r>
    </w:p>
    <w:p>
      <w:r>
        <w:rPr>
          <w:b/>
          <w:bCs/>
          <w:color w:val="8B0000"/>
          <w:sz w:val="20"/>
          <w:szCs w:val="20"/>
        </w:rPr>
        <w:t xml:space="preserve">WHY ACCOUNT ISOLATION IS REQUIRED:</w:t>
      </w:r>
    </w:p>
    <w:p>
      <w:pPr>
        <w:pStyle w:val="ListParagraph"/>
        <w:numPr>
          <w:ilvl w:val="0"/>
          <w:numId w:val="2"/>
        </w:numPr>
      </w:pPr>
      <w:r>
        <w:t xml:space="preserve">Multiple keys from the same Groq account share the same daily token pool (TPD: 100K/day)</w:t>
      </w:r>
    </w:p>
    <w:p>
      <w:pPr>
        <w:pStyle w:val="ListParagraph"/>
        <w:numPr>
          <w:ilvl w:val="0"/>
          <w:numId w:val="2"/>
        </w:numPr>
      </w:pPr>
      <w:r>
        <w:t xml:space="preserve">System 1 burns ~96K tokens per day on production runs</w:t>
      </w:r>
    </w:p>
    <w:p>
      <w:pPr>
        <w:pStyle w:val="ListParagraph"/>
        <w:numPr>
          <w:ilvl w:val="0"/>
          <w:numId w:val="2"/>
        </w:numPr>
      </w:pPr>
      <w:r>
        <w:t xml:space="preserve">If GROQ_S2_API_KEY is from the same account as GROQ_API_KEY — S2-A gets 4K tokens left</w:t>
      </w:r>
    </w:p>
    <w:p>
      <w:pPr>
        <w:pStyle w:val="ListParagraph"/>
        <w:numPr>
          <w:ilvl w:val="0"/>
          <w:numId w:val="2"/>
        </w:numPr>
      </w:pPr>
      <w:r>
        <w:t xml:space="preserve">S2-A fails with 429 TPD error every production run — not a rate limit, a starvation</w:t>
      </w:r>
    </w:p>
    <w:p>
      <w:pPr>
        <w:pStyle w:val="ListParagraph"/>
        <w:numPr>
          <w:ilvl w:val="0"/>
          <w:numId w:val="2"/>
        </w:numPr>
      </w:pPr>
      <w:r>
        <w:t xml:space="preserve">Error evidence: same org_ID appears in 429 message across different keys = same account</w:t>
      </w:r>
    </w:p>
    <w:p>
      <w:r>
        <w:t xml:space="preserve"/>
      </w:r>
    </w:p>
    <w:p>
      <w:r>
        <w:rPr>
          <w:b/>
          <w:bCs/>
          <w:color w:val="1F3864"/>
          <w:sz w:val="20"/>
          <w:szCs w:val="20"/>
        </w:rPr>
        <w:t xml:space="preserve">VERIFICATION METHOD: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NaNck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default"/>
            </w:r>
          </w:p>
        </w:tc>
      </w:tr>
      <w:tr>
        <w:trPr>
          <w:tblHeader w:val="3120,3120,3120"/>
        </w:trPr>
        <w:tc>
          <w:tcPr>
            <w:tcW w:type="dxa" w:w="NaNX)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3120,3120,3120"/>
                <w:bCs w:val="3120,3120,3120"/>
                <w:sz w:val="18"/>
                <w:szCs w:val="18"/>
              </w:rPr>
              <w:t xml:space="preserve">Groq</w:t>
            </w:r>
          </w:p>
        </w:tc>
      </w:tr>
      <w:tr>
        <w:trPr>
          <w:tblHeader w:val="3120,3120,3120"/>
        </w:trPr>
        <w:tc>
          <w:tcPr>
            <w:tcW w:type="dxa" w:w="NaNes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3120,3120,3120"/>
                <w:bCs w:val="3120,3120,3120"/>
                <w:sz w:val="18"/>
                <w:szCs w:val="18"/>
              </w:rPr>
              <w:t xml:space="preserve">Groq (definitive)</w:t>
            </w:r>
          </w:p>
        </w:tc>
      </w:tr>
      <w:tr>
        <w:trPr>
          <w:tblHeader w:val="3120,3120,3120"/>
        </w:trPr>
        <w:tc>
          <w:tcPr>
            <w:tcW w:type="dxa" w:w="NaNt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3120,3120,3120"/>
                <w:bCs w:val="3120,3120,3120"/>
                <w:sz w:val="18"/>
                <w:szCs w:val="18"/>
              </w:rPr>
              <w:t xml:space="preserve">Gemini</w:t>
            </w:r>
          </w:p>
        </w:tc>
      </w:tr>
      <w:tr>
        <w:trPr>
          <w:tblHeader w:val="3120,3120,3120"/>
        </w:trPr>
        <w:tc>
          <w:tcPr>
            <w:tcW w:type="dxa" w:w="NaNt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3120,3120,3120"/>
                <w:bCs w:val="3120,3120,3120"/>
                <w:sz w:val="18"/>
                <w:szCs w:val="18"/>
              </w:rPr>
              <w:t xml:space="preserve">Cerebras</w:t>
            </w:r>
          </w:p>
        </w:tc>
      </w:tr>
      <w:tr>
        <w:trPr>
          <w:tblHeader w:val="3120,3120,3120"/>
        </w:trPr>
        <w:tc>
          <w:tcPr>
            <w:tcW w:type="dxa" w:w="NaNt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3120,3120,3120"/>
                <w:bCs w:val="3120,3120,3120"/>
                <w:sz w:val="18"/>
                <w:szCs w:val="18"/>
              </w:rPr>
              <w:t xml:space="preserve">Mistral</w:t>
            </w:r>
          </w:p>
        </w:tc>
      </w:tr>
    </w:tbl>
    <w:p>
      <w:r>
        <w:t xml:space="preserve"/>
      </w:r>
    </w:p>
    <w:p>
      <w:r>
        <w:rPr>
          <w:b/>
          <w:bCs/>
          <w:color w:val="1F3864"/>
          <w:sz w:val="20"/>
          <w:szCs w:val="20"/>
        </w:rPr>
        <w:t xml:space="preserve">REQUIRED ACCOUNT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NaNem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default"/>
            </w:r>
          </w:p>
        </w:tc>
      </w:tr>
      <w:tr>
        <w:trPr>
          <w:tblHeader w:val="2340,2340,4680"/>
        </w:trPr>
        <w:tc>
          <w:tcPr>
            <w:tcW w:type="dxa" w:w="NaNr)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2340,2340,4680"/>
                <w:bCs w:val="2340,2340,4680"/>
                <w:sz w:val="18"/>
                <w:szCs w:val="18"/>
              </w:rPr>
              <w:t xml:space="preserve">GROQ_API_KEY</w:t>
            </w:r>
          </w:p>
        </w:tc>
      </w:tr>
      <w:tr>
        <w:trPr>
          <w:tblHeader w:val="2340,2340,4680"/>
        </w:trPr>
        <w:tc>
          <w:tcPr>
            <w:tcW w:type="dxa" w:w="NaND)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2340,2340,4680"/>
                <w:bCs w:val="2340,2340,4680"/>
                <w:sz w:val="18"/>
                <w:szCs w:val="18"/>
              </w:rPr>
              <w:t xml:space="preserve">GROQ_S2_API_KEY</w:t>
            </w:r>
          </w:p>
        </w:tc>
      </w:tr>
      <w:tr>
        <w:trPr>
          <w:tblHeader w:val="2340,2340,4680"/>
        </w:trPr>
        <w:tc>
          <w:tcPr>
            <w:tcW w:type="dxa" w:w="NaNE)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2340,2340,4680"/>
                <w:bCs w:val="2340,2340,4680"/>
                <w:sz w:val="18"/>
                <w:szCs w:val="18"/>
              </w:rPr>
              <w:t xml:space="preserve">GROQ_S2E_API_KEY</w:t>
            </w:r>
          </w:p>
        </w:tc>
      </w:tr>
      <w:tr>
        <w:trPr>
          <w:tblHeader w:val="2340,2340,4680"/>
        </w:trPr>
        <w:tc>
          <w:tcPr>
            <w:tcW w:type="dxa" w:w="NaNs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2340,2340,4680"/>
                <w:bCs w:val="2340,2340,4680"/>
                <w:sz w:val="18"/>
                <w:szCs w:val="18"/>
              </w:rPr>
              <w:t xml:space="preserve">GROQ_MANAGER_API_KEY</w:t>
            </w:r>
          </w:p>
        </w:tc>
      </w:tr>
      <w:tr>
        <w:trPr>
          <w:tblHeader w:val="2340,2340,4680"/>
        </w:trPr>
        <w:tc>
          <w:tcPr>
            <w:tcW w:type="dxa" w:w="NaNA)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2340,2340,4680"/>
                <w:bCs w:val="2340,2340,4680"/>
                <w:sz w:val="18"/>
                <w:szCs w:val="18"/>
              </w:rPr>
              <w:t xml:space="preserve">GROQ_S3_API_KEY</w:t>
            </w:r>
          </w:p>
        </w:tc>
      </w:tr>
    </w:tbl>
    <w:p>
      <w:r>
        <w:t xml:space="preserve"/>
      </w:r>
    </w:p>
    <w:p>
      <w:r>
        <w:rPr>
          <w:b/>
          <w:bCs/>
          <w:color w:val="8B0000"/>
          <w:sz w:val="20"/>
          <w:szCs w:val="20"/>
        </w:rPr>
        <w:t xml:space="preserve">LENS-010 STATUS: GROQ_S2_API_KEY account isolation unconfirmed. Run #18 (Apr 15) showed S2-A failing with same org_ID as System 1 key. Action required before LENS-011: verify all Groq keys are from separate accounts.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r>
        <w:rPr>
          <w:b w:val="false"/>
          <w:bCs w:val="false"/>
          <w:color w:val="666666"/>
          <w:sz w:val="20"/>
          <w:szCs w:val="20"/>
        </w:rPr>
        <w:t xml:space="preserve">End of LR-065(S) | This rule is permanent and non-overridable.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2026-04-15T07:15:08.194Z</dcterms:created>
  <dcterms:modified xsi:type="dcterms:W3CDTF">2026-04-15T07:15:08.195Z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