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12"/>
        <w:jc w:val="center"/>
      </w:pPr>
      <w:r>
        <w:rPr>
          <w:rFonts w:ascii="Times New Roman" w:cs="Times New Roman" w:eastAsia="Times New Roman" w:hAnsi="Times New Roman"/>
          <w:b/>
          <w:bCs/>
          <w:color w:val="595959"/>
          <w:sz w:val="24"/>
          <w:szCs w:val="24"/>
        </w:rPr>
        <w:t xml:space="preserve">PRESENTATION SCRIPT</w:t>
      </w:r>
    </w:p>
    <w:p>
      <w:pPr>
        <w:spacing w:after="120" w:before="0" w:line="300"/>
        <w:jc w:val="center"/>
      </w:pPr>
      <w:r>
        <w:rPr>
          <w:rFonts w:ascii="Times New Roman" w:cs="Times New Roman" w:eastAsia="Times New Roman" w:hAnsi="Times New Roman"/>
          <w:b/>
          <w:bCs/>
          <w:sz w:val="34"/>
          <w:szCs w:val="34"/>
        </w:rPr>
        <w:t xml:space="preserve">Cosmic Radiation Exposure of Aircraft Crew Members and Their Legal Protection in the Russian Federation</w:t>
      </w:r>
    </w:p>
    <w:p>
      <w:pPr>
        <w:spacing w:after="240" w:before="0" w:line="312"/>
        <w:jc w:val="center"/>
      </w:pPr>
      <w:r>
        <w:rPr>
          <w:rFonts w:ascii="Times New Roman" w:cs="Times New Roman" w:eastAsia="Times New Roman" w:hAnsi="Times New Roman"/>
          <w:i/>
          <w:iCs/>
          <w:sz w:val="24"/>
          <w:szCs w:val="24"/>
        </w:rPr>
        <w:t xml:space="preserve">Космическое облучение членов экипажей воздушных судов и их правовая защита в Российской Федерации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Speaker 1</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Nikita Shutov (Шутов Н. Р.) — “NIKITA” blocks, white background</w:t>
            </w:r>
          </w:p>
        </w:tc>
      </w:tr>
      <w:tr>
        <w:tc>
          <w:tcPr>
            <w:tcW w:type="dxa" w:w="2200"/>
            <w:tcBorders>
              <w:top w:val="single" w:color="000000" w:sz="4"/>
              <w:left w:val="single" w:color="000000" w:sz="4"/>
              <w:bottom w:val="single" w:color="000000" w:sz="4"/>
              <w:right w:val="single" w:color="000000" w:sz="4"/>
            </w:tcBorders>
            <w:shd w:fill="E7E6E6"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Speaker 2</w:t>
            </w:r>
          </w:p>
        </w:tc>
        <w:tc>
          <w:tcPr>
            <w:tcW w:type="dxa" w:w="7438"/>
            <w:tcBorders>
              <w:top w:val="single" w:color="000000" w:sz="4"/>
              <w:left w:val="single" w:color="000000" w:sz="4"/>
              <w:bottom w:val="single" w:color="000000" w:sz="4"/>
              <w:right w:val="single" w:color="000000" w:sz="4"/>
            </w:tcBorders>
            <w:shd w:fill="E7E6E6"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Ilya Roldugin (Ролдугин И. Д.) — “ILYA” blocks, grey background</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Supervisor</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Professor Natalia S. Boyko, Department of Flight Operations and Flight Safety, Ulyanovsk Civil Aviation Institute</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Slides</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The slides are in Russian; this English text follows them slide by slide</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Timing</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About 9 minutes at a calm pace (≈ 115 words per minute). Rehearse aloud with a timer.</w:t>
            </w:r>
          </w:p>
        </w:tc>
      </w:tr>
    </w:tbl>
    <w:p>
      <w:pPr>
        <w:keepNext/>
        <w:spacing w:after="120" w:before="300" w:line="312"/>
      </w:pPr>
      <w:r>
        <w:rPr>
          <w:rFonts w:ascii="Times New Roman" w:cs="Times New Roman" w:eastAsia="Times New Roman" w:hAnsi="Times New Roman"/>
          <w:b/>
          <w:bCs/>
          <w:sz w:val="30"/>
          <w:szCs w:val="30"/>
        </w:rPr>
        <w:t xml:space="preserve">Running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338"/>
        <w:gridCol w:w="1400"/>
        <w:gridCol w:w="1000"/>
      </w:tblGrid>
      <w:tr>
        <w:trPr>
          <w:tblHeader/>
        </w:trPr>
        <w:tc>
          <w:tcPr>
            <w:tcW w:type="dxa" w:w="9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Slide</w:t>
            </w:r>
          </w:p>
        </w:tc>
        <w:tc>
          <w:tcPr>
            <w:tcW w:type="dxa" w:w="6338"/>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left"/>
            </w:pPr>
            <w:r>
              <w:rPr>
                <w:rFonts w:ascii="Times New Roman" w:cs="Times New Roman" w:eastAsia="Times New Roman" w:hAnsi="Times New Roman"/>
                <w:b/>
                <w:bCs/>
                <w:sz w:val="22"/>
                <w:szCs w:val="22"/>
              </w:rPr>
              <w:t xml:space="preserve">Title (exact slide title in Russian)</w:t>
            </w:r>
          </w:p>
        </w:tc>
        <w:tc>
          <w:tcPr>
            <w:tcW w:type="dxa" w:w="14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Speaker</w:t>
            </w:r>
          </w:p>
        </w:tc>
        <w:tc>
          <w:tcPr>
            <w:tcW w:type="dxa" w:w="10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Time</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Title</w:t>
            </w:r>
            <w:r>
              <w:rPr>
                <w:rFonts w:ascii="Times New Roman" w:cs="Times New Roman" w:eastAsia="Times New Roman" w:hAnsi="Times New Roman"/>
                <w:i/>
                <w:iCs/>
                <w:color w:val="404040"/>
                <w:sz w:val="20"/>
                <w:szCs w:val="20"/>
              </w:rPr>
              <w:t xml:space="preserve">  (Титульный слайд)</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2</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Relevance and Aim of the Work</w:t>
            </w:r>
            <w:r>
              <w:rPr>
                <w:rFonts w:ascii="Times New Roman" w:cs="Times New Roman" w:eastAsia="Times New Roman" w:hAnsi="Times New Roman"/>
                <w:i/>
                <w:iCs/>
                <w:color w:val="404040"/>
                <w:sz w:val="20"/>
                <w:szCs w:val="20"/>
              </w:rPr>
              <w:t xml:space="preserve">  (Актуальность и цель работы)</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3</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Measurements on Board: Results of the Previous Work</w:t>
            </w:r>
            <w:r>
              <w:rPr>
                <w:rFonts w:ascii="Times New Roman" w:cs="Times New Roman" w:eastAsia="Times New Roman" w:hAnsi="Times New Roman"/>
                <w:i/>
                <w:iCs/>
                <w:color w:val="404040"/>
                <w:sz w:val="20"/>
                <w:szCs w:val="20"/>
              </w:rPr>
              <w:t xml:space="preserve">  (Измерения на борту: результаты предыдущей работы)</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4</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Recording the Readings: Novokuznetsk – Irkutsk Flight</w:t>
            </w:r>
            <w:r>
              <w:rPr>
                <w:rFonts w:ascii="Times New Roman" w:cs="Times New Roman" w:eastAsia="Times New Roman" w:hAnsi="Times New Roman"/>
                <w:i/>
                <w:iCs/>
                <w:color w:val="404040"/>
                <w:sz w:val="20"/>
                <w:szCs w:val="20"/>
              </w:rPr>
              <w:t xml:space="preserve">  (Регистрация показаний: рейс Новокузнецк – Иркутск)</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5</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Why the Annual Dose Must Be Calculated</w:t>
            </w:r>
            <w:r>
              <w:rPr>
                <w:rFonts w:ascii="Times New Roman" w:cs="Times New Roman" w:eastAsia="Times New Roman" w:hAnsi="Times New Roman"/>
                <w:i/>
                <w:iCs/>
                <w:color w:val="404040"/>
                <w:sz w:val="20"/>
                <w:szCs w:val="20"/>
              </w:rPr>
              <w:t xml:space="preserve">  (Почему годовую дозу нужно рассчитывать)</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6</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Legal Basis and the Crew Dose Limit</w:t>
            </w:r>
            <w:r>
              <w:rPr>
                <w:rFonts w:ascii="Times New Roman" w:cs="Times New Roman" w:eastAsia="Times New Roman" w:hAnsi="Times New Roman"/>
                <w:i/>
                <w:iCs/>
                <w:color w:val="404040"/>
                <w:sz w:val="20"/>
                <w:szCs w:val="20"/>
              </w:rPr>
              <w:t xml:space="preserve">  (Правовая основа и предел дозы облучения экипажа)</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7</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Changes in Sanitary Rules in 2021–2025</w:t>
            </w:r>
            <w:r>
              <w:rPr>
                <w:rFonts w:ascii="Times New Roman" w:cs="Times New Roman" w:eastAsia="Times New Roman" w:hAnsi="Times New Roman"/>
                <w:i/>
                <w:iCs/>
                <w:color w:val="404040"/>
                <w:sz w:val="20"/>
                <w:szCs w:val="20"/>
              </w:rPr>
              <w:t xml:space="preserve">  (Изменения санитарных норм в 2021–2025 годах)</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8</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Employer’s Duties and the Special Assessment of Working Conditions</w:t>
            </w:r>
            <w:r>
              <w:rPr>
                <w:rFonts w:ascii="Times New Roman" w:cs="Times New Roman" w:eastAsia="Times New Roman" w:hAnsi="Times New Roman"/>
                <w:i/>
                <w:iCs/>
                <w:color w:val="404040"/>
                <w:sz w:val="20"/>
                <w:szCs w:val="20"/>
              </w:rPr>
              <w:t xml:space="preserve">  (Обязанности работодателя и специальная оценка условий труда)</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9</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System of Legal Regulation</w:t>
            </w:r>
            <w:r>
              <w:rPr>
                <w:rFonts w:ascii="Times New Roman" w:cs="Times New Roman" w:eastAsia="Times New Roman" w:hAnsi="Times New Roman"/>
                <w:i/>
                <w:iCs/>
                <w:color w:val="404040"/>
                <w:sz w:val="20"/>
                <w:szCs w:val="20"/>
              </w:rPr>
              <w:t xml:space="preserve">  (Система правового регулирования)</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10</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Flight Time Limits and Annual Dose Estimate</w:t>
            </w:r>
            <w:r>
              <w:rPr>
                <w:rFonts w:ascii="Times New Roman" w:cs="Times New Roman" w:eastAsia="Times New Roman" w:hAnsi="Times New Roman"/>
                <w:i/>
                <w:iCs/>
                <w:color w:val="404040"/>
                <w:sz w:val="20"/>
                <w:szCs w:val="20"/>
              </w:rPr>
              <w:t xml:space="preserve">  (Ограничение налёта и оценка годовой дозы)</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0:50</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11</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International Experience</w:t>
            </w:r>
            <w:r>
              <w:rPr>
                <w:rFonts w:ascii="Times New Roman" w:cs="Times New Roman" w:eastAsia="Times New Roman" w:hAnsi="Times New Roman"/>
                <w:i/>
                <w:iCs/>
                <w:color w:val="404040"/>
                <w:sz w:val="20"/>
                <w:szCs w:val="20"/>
              </w:rPr>
              <w:t xml:space="preserve">  (Международный опыт)</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12</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Conclusions</w:t>
            </w:r>
            <w:r>
              <w:rPr>
                <w:rFonts w:ascii="Times New Roman" w:cs="Times New Roman" w:eastAsia="Times New Roman" w:hAnsi="Times New Roman"/>
                <w:i/>
                <w:iCs/>
                <w:color w:val="404040"/>
                <w:sz w:val="20"/>
                <w:szCs w:val="20"/>
              </w:rPr>
              <w:t xml:space="preserve">  (Выводы)</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13</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i/>
                <w:iCs/>
                <w:color w:val="404040"/>
                <w:sz w:val="20"/>
                <w:szCs w:val="20"/>
              </w:rPr>
              <w:t xml:space="preserve">  (Список использованных источников)</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0:10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14</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Thank You</w:t>
            </w:r>
            <w:r>
              <w:rPr>
                <w:rFonts w:ascii="Times New Roman" w:cs="Times New Roman" w:eastAsia="Times New Roman" w:hAnsi="Times New Roman"/>
                <w:i/>
                <w:iCs/>
                <w:color w:val="404040"/>
                <w:sz w:val="20"/>
                <w:szCs w:val="20"/>
              </w:rPr>
              <w:t xml:space="preserve">  (Спасибо за внимание!)</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0:10</w:t>
            </w:r>
          </w:p>
        </w:tc>
      </w:tr>
    </w:tbl>
    <w:p>
      <w:r>
        <w:br w:type="page"/>
      </w:r>
    </w:p>
    <w:p>
      <w:pPr>
        <w:keepNext/>
        <w:spacing w:after="60" w:before="0" w:line="312"/>
      </w:pPr>
      <w:r>
        <w:rPr>
          <w:rFonts w:ascii="Times New Roman" w:cs="Times New Roman" w:eastAsia="Times New Roman" w:hAnsi="Times New Roman"/>
          <w:b/>
          <w:bCs/>
          <w:sz w:val="30"/>
          <w:szCs w:val="30"/>
        </w:rPr>
        <w:t xml:space="preserve">Script</w:t>
      </w:r>
    </w:p>
    <w:p>
      <w:pPr>
        <w:spacing w:after="160" w:before="0" w:line="312"/>
      </w:pPr>
      <w:r>
        <w:rPr>
          <w:rFonts w:ascii="Times New Roman" w:cs="Times New Roman" w:eastAsia="Times New Roman" w:hAnsi="Times New Roman"/>
          <w:i/>
          <w:iCs/>
          <w:color w:val="404040"/>
          <w:sz w:val="22"/>
          <w:szCs w:val="22"/>
        </w:rPr>
        <w:t xml:space="preserve">Bold arrows (►) mark the hand-over to the other speaker. “[Next slide]” marks the moment to switch the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Title</w:t>
            </w:r>
            <w:r>
              <w:rPr>
                <w:rFonts w:ascii="Times New Roman" w:cs="Times New Roman" w:eastAsia="Times New Roman" w:hAnsi="Times New Roman"/>
                <w:i/>
                <w:iCs/>
                <w:color w:val="404040"/>
                <w:sz w:val="20"/>
                <w:szCs w:val="20"/>
              </w:rPr>
              <w:t xml:space="preserve">  (Титульный слайд)</w:t>
            </w:r>
          </w:p>
          <w:p>
            <w:pPr>
              <w:spacing w:after="80" w:before="0" w:line="360"/>
            </w:pPr>
            <w:r>
              <w:rPr>
                <w:rFonts w:ascii="Times New Roman" w:cs="Times New Roman" w:eastAsia="Times New Roman" w:hAnsi="Times New Roman"/>
                <w:sz w:val="28"/>
                <w:szCs w:val="28"/>
              </w:rPr>
              <w:t xml:space="preserve">Good afternoon, members of the jury and dear colleagues. My name is Nikita Shutov, and this is my colleague Ilya Roldugin. We are cadets of the Ulyanovsk Civil Aviation Institute. We would like to present our paper “Cosmic Radiation Exposure of Aircraft Crew Members and Their Legal Protection in the Russian Federation”. Our academic supervisor is Professor Natalia Semenovna Boyko of the Department of Flight Operations and Flight Safety.</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2</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0:55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Relevance and Aim of the Work</w:t>
            </w:r>
            <w:r>
              <w:rPr>
                <w:rFonts w:ascii="Times New Roman" w:cs="Times New Roman" w:eastAsia="Times New Roman" w:hAnsi="Times New Roman"/>
                <w:i/>
                <w:iCs/>
                <w:color w:val="404040"/>
                <w:sz w:val="20"/>
                <w:szCs w:val="20"/>
              </w:rPr>
              <w:t xml:space="preserve">  (Актуальность и цель работы)</w:t>
            </w:r>
          </w:p>
          <w:p>
            <w:pPr>
              <w:spacing w:after="80" w:before="0" w:line="360"/>
            </w:pPr>
            <w:r>
              <w:rPr>
                <w:rFonts w:ascii="Times New Roman" w:cs="Times New Roman" w:eastAsia="Times New Roman" w:hAnsi="Times New Roman"/>
                <w:sz w:val="28"/>
                <w:szCs w:val="28"/>
              </w:rPr>
              <w:t xml:space="preserve">At cruising level, radiation levels are much higher than on the ground. As early as 1990, the International Commission on Radiological Protection recognised this exposure of aircrew as occupational. In my previous work I measured radiation levels on board an aircraft with a home-made Geiger counter. Now we look at the topic from the legal side. The aim of our work is to examine how Russian law regulates the exposure of aircrew to cosmic radiation. We answer three questions: which rules limit crew exposure, who must keep a record of the dose, and what has changed in the law in recent years.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3</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Measurements on Board: Results of the Previous Work</w:t>
            </w:r>
            <w:r>
              <w:rPr>
                <w:rFonts w:ascii="Times New Roman" w:cs="Times New Roman" w:eastAsia="Times New Roman" w:hAnsi="Times New Roman"/>
                <w:i/>
                <w:iCs/>
                <w:color w:val="404040"/>
                <w:sz w:val="20"/>
                <w:szCs w:val="20"/>
              </w:rPr>
              <w:t xml:space="preserve">  (Измерения на борту: результаты предыдущей работы)</w:t>
            </w:r>
          </w:p>
          <w:p>
            <w:pPr>
              <w:spacing w:after="80" w:before="0" w:line="360"/>
            </w:pPr>
            <w:r>
              <w:rPr>
                <w:rFonts w:ascii="Times New Roman" w:cs="Times New Roman" w:eastAsia="Times New Roman" w:hAnsi="Times New Roman"/>
                <w:sz w:val="28"/>
                <w:szCs w:val="28"/>
              </w:rPr>
              <w:t xml:space="preserve">Let me briefly recall the results. The measurements were taken on two flights at roughly the same latitudes: Novokuznetsk – Irkutsk and Yekaterinburg – Chita. The counter was in the cockpit, and readings were taken before take-off, at cruising level and after landing. Near the ground the average readings were about 8 to 15 microroentgens per hour; at 33 to 35 thousand feet they were 170 to 184. So at cruising level the readings were 11 to 22 times higher — on average about 16 times.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4</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Recording the Readings: Novokuznetsk – Irkutsk Flight</w:t>
            </w:r>
            <w:r>
              <w:rPr>
                <w:rFonts w:ascii="Times New Roman" w:cs="Times New Roman" w:eastAsia="Times New Roman" w:hAnsi="Times New Roman"/>
                <w:i/>
                <w:iCs/>
                <w:color w:val="404040"/>
                <w:sz w:val="20"/>
                <w:szCs w:val="20"/>
              </w:rPr>
              <w:t xml:space="preserve">  (Регистрация показаний: рейс Новокузнецк – Иркутск)</w:t>
            </w:r>
          </w:p>
          <w:p>
            <w:pPr>
              <w:spacing w:after="80" w:before="0" w:line="360"/>
            </w:pPr>
            <w:r>
              <w:rPr>
                <w:rFonts w:ascii="Times New Roman" w:cs="Times New Roman" w:eastAsia="Times New Roman" w:hAnsi="Times New Roman"/>
                <w:sz w:val="28"/>
                <w:szCs w:val="28"/>
              </w:rPr>
              <w:t xml:space="preserve">Here you can see single readings on the Novokuznetsk – Irkutsk flight: 13.2 microroentgens per hour before take-off, almost 195 at flight level three-five-zero near waypoint NILRA, and 9.9 after landing in Irkutsk. These are single readings, so they differ slightly from the averages in the table. On the right you can see waypoint NILRA on the cockpit displays and in the computer flight plan.</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5</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0:50</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Why the Annual Dose Must Be Calculated</w:t>
            </w:r>
            <w:r>
              <w:rPr>
                <w:rFonts w:ascii="Times New Roman" w:cs="Times New Roman" w:eastAsia="Times New Roman" w:hAnsi="Times New Roman"/>
                <w:i/>
                <w:iCs/>
                <w:color w:val="404040"/>
                <w:sz w:val="20"/>
                <w:szCs w:val="20"/>
              </w:rPr>
              <w:t xml:space="preserve">  (Почему годовую дозу нужно рассчитывать)</w:t>
            </w:r>
          </w:p>
          <w:p>
            <w:pPr>
              <w:spacing w:after="80" w:before="0" w:line="360"/>
            </w:pPr>
            <w:r>
              <w:rPr>
                <w:rFonts w:ascii="Times New Roman" w:cs="Times New Roman" w:eastAsia="Times New Roman" w:hAnsi="Times New Roman"/>
                <w:sz w:val="28"/>
                <w:szCs w:val="28"/>
              </w:rPr>
              <w:t xml:space="preserve">However, these readings alone are not enough to estimate the annual dose. A Geiger counter is designed mainly for gamma and beta radiation and hardly detects neutrons. But at altitude, neutrons give a large part of the dose. That is why a crew member’s annual dose is calculated from actual routes, altitudes and flight dates — with software such as CARI-7 or with the Russian model RUSCOSMICS. This leads to the main question of our work: who in Russia must keep a record of this dose, and which legal rules set out this duty? Ilya will continue.</w:t>
            </w:r>
          </w:p>
          <w:p>
            <w:pPr>
              <w:spacing w:after="0" w:before="0" w:line="312"/>
              <w:jc w:val="right"/>
            </w:pPr>
            <w:r>
              <w:rPr>
                <w:rFonts w:ascii="Times New Roman" w:cs="Times New Roman" w:eastAsia="Times New Roman" w:hAnsi="Times New Roman"/>
                <w:b/>
                <w:bCs/>
                <w:i w:val="false"/>
                <w:iCs w:val="false"/>
                <w:color w:val="000000"/>
                <w:sz w:val="22"/>
                <w:szCs w:val="22"/>
              </w:rPr>
              <w:t xml:space="preserve">► ILYA continues  ·  [Next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6</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0:50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Legal Basis and the Crew Dose Limit</w:t>
            </w:r>
            <w:r>
              <w:rPr>
                <w:rFonts w:ascii="Times New Roman" w:cs="Times New Roman" w:eastAsia="Times New Roman" w:hAnsi="Times New Roman"/>
                <w:i/>
                <w:iCs/>
                <w:color w:val="404040"/>
                <w:sz w:val="20"/>
                <w:szCs w:val="20"/>
              </w:rPr>
              <w:t xml:space="preserve">  (Правовая основа и предел дозы облучения экипажа)</w:t>
            </w:r>
          </w:p>
          <w:p>
            <w:pPr>
              <w:spacing w:after="80" w:before="0" w:line="360"/>
            </w:pPr>
            <w:r>
              <w:rPr>
                <w:rFonts w:ascii="Times New Roman" w:cs="Times New Roman" w:eastAsia="Times New Roman" w:hAnsi="Times New Roman"/>
                <w:sz w:val="28"/>
                <w:szCs w:val="28"/>
              </w:rPr>
              <w:t xml:space="preserve">Thank you, Nikita. Regulation is based on two federal laws: No. 3-FZ “On Radiation Safety of the Population” and No. 52-FZ “On the Sanitary and Epidemiological Welfare of the Population”. The dose limit itself is set by the Radiation Safety Standards, NRB-99/2009. Under clause 4.1, a worker’s effective dose from natural radiation sources under occupational conditions must not exceed 5 millisieverts per year. Clause 4.3 applies this rule directly to aircraft crews. Under Article 56 of the Air Code, the crew consists of the flight crew and the cabin crew, so the limit covers both pilots and flight attendants.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7</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Changes in Sanitary Rules in 2021–2025</w:t>
            </w:r>
            <w:r>
              <w:rPr>
                <w:rFonts w:ascii="Times New Roman" w:cs="Times New Roman" w:eastAsia="Times New Roman" w:hAnsi="Times New Roman"/>
                <w:i/>
                <w:iCs/>
                <w:color w:val="404040"/>
                <w:sz w:val="20"/>
                <w:szCs w:val="20"/>
              </w:rPr>
              <w:t xml:space="preserve">  (Изменения санитарных норм в 2021–2025 годах)</w:t>
            </w:r>
          </w:p>
          <w:p>
            <w:pPr>
              <w:spacing w:after="80" w:before="0" w:line="360"/>
            </w:pPr>
            <w:r>
              <w:rPr>
                <w:rFonts w:ascii="Times New Roman" w:cs="Times New Roman" w:eastAsia="Times New Roman" w:hAnsi="Times New Roman"/>
                <w:sz w:val="28"/>
                <w:szCs w:val="28"/>
              </w:rPr>
              <w:t xml:space="preserve">Nikita’s previous work cited two sets of sanitary rules — the SanPiNs of 2008 and 2010 shown on the slide. Both are no longer in force. The first ceased to apply on 1 January 2021, and the second on 1 September 2025, when a new SanPiN came into force. Still, the limit of 5 millisieverts per year remains in NRB-99/2009, and Article 18 of Federal Law No. 3-FZ provides for monitoring and recording of individual doses through a single state system.</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8</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Employer’s Duties and the Special Assessment of Working Conditions</w:t>
            </w:r>
            <w:r>
              <w:rPr>
                <w:rFonts w:ascii="Times New Roman" w:cs="Times New Roman" w:eastAsia="Times New Roman" w:hAnsi="Times New Roman"/>
                <w:i/>
                <w:iCs/>
                <w:color w:val="404040"/>
                <w:sz w:val="20"/>
                <w:szCs w:val="20"/>
              </w:rPr>
              <w:t xml:space="preserve">  (Обязанности работодателя и специальная оценка условий труда)</w:t>
            </w:r>
          </w:p>
          <w:p>
            <w:pPr>
              <w:spacing w:after="80" w:before="0" w:line="360"/>
            </w:pPr>
            <w:r>
              <w:rPr>
                <w:rFonts w:ascii="Times New Roman" w:cs="Times New Roman" w:eastAsia="Times New Roman" w:hAnsi="Times New Roman"/>
                <w:sz w:val="28"/>
                <w:szCs w:val="28"/>
              </w:rPr>
              <w:t xml:space="preserve">Under Article 214 of the Labour Code, the airline as the employer must ensure safe working conditions. Since 1 March 2025, Order No. 255n of the Ministry of Labour has set specific rules for the special assessment of working conditions of flight and cabin crews. As a general rule, harmful factors are measured during a special control flight. But this assessment describes the workplace, not the dose that a particular person receives over a year on different routes.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9</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System of Legal Regulation</w:t>
            </w:r>
            <w:r>
              <w:rPr>
                <w:rFonts w:ascii="Times New Roman" w:cs="Times New Roman" w:eastAsia="Times New Roman" w:hAnsi="Times New Roman"/>
                <w:i/>
                <w:iCs/>
                <w:color w:val="404040"/>
                <w:sz w:val="20"/>
                <w:szCs w:val="20"/>
              </w:rPr>
              <w:t xml:space="preserve">  (Система правового регулирования)</w:t>
            </w:r>
          </w:p>
          <w:p>
            <w:pPr>
              <w:spacing w:after="80" w:before="0" w:line="360"/>
            </w:pPr>
            <w:r>
              <w:rPr>
                <w:rFonts w:ascii="Times New Roman" w:cs="Times New Roman" w:eastAsia="Times New Roman" w:hAnsi="Times New Roman"/>
                <w:sz w:val="28"/>
                <w:szCs w:val="28"/>
              </w:rPr>
              <w:t xml:space="preserve">This diagram shows the whole system. Federal laws, including the Air Code and the Labour Code, form the framework. Below them, the radiation safety standards set the dose limit, an order of the Ministry of Labour regulates the assessment of working conditions, and an order of the Ministry of Transport limits flight time. Two sets of sanitary rules have been repealed, and a special procedure for calculating each crew member’s dose from actual flights has still not been established. Now Nikita will talk about flight time and the annual dose.</w:t>
            </w:r>
          </w:p>
          <w:p>
            <w:pPr>
              <w:spacing w:after="0" w:before="0" w:line="312"/>
              <w:jc w:val="right"/>
            </w:pPr>
            <w:r>
              <w:rPr>
                <w:rFonts w:ascii="Times New Roman" w:cs="Times New Roman" w:eastAsia="Times New Roman" w:hAnsi="Times New Roman"/>
                <w:b/>
                <w:bCs/>
                <w:i w:val="false"/>
                <w:iCs w:val="false"/>
                <w:color w:val="000000"/>
                <w:sz w:val="22"/>
                <w:szCs w:val="22"/>
              </w:rPr>
              <w:t xml:space="preserve">► NIKITA continues  ·  [Next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10</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0:50</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Flight Time Limits and Annual Dose Estimate</w:t>
            </w:r>
            <w:r>
              <w:rPr>
                <w:rFonts w:ascii="Times New Roman" w:cs="Times New Roman" w:eastAsia="Times New Roman" w:hAnsi="Times New Roman"/>
                <w:i/>
                <w:iCs/>
                <w:color w:val="404040"/>
                <w:sz w:val="20"/>
                <w:szCs w:val="20"/>
              </w:rPr>
              <w:t xml:space="preserve">  (Ограничение налёта и оценка годовой дозы)</w:t>
            </w:r>
          </w:p>
          <w:p>
            <w:pPr>
              <w:spacing w:after="80" w:before="0" w:line="360"/>
            </w:pPr>
            <w:r>
              <w:rPr>
                <w:rFonts w:ascii="Times New Roman" w:cs="Times New Roman" w:eastAsia="Times New Roman" w:hAnsi="Times New Roman"/>
                <w:sz w:val="28"/>
                <w:szCs w:val="28"/>
              </w:rPr>
              <w:t xml:space="preserve">Thank you, Ilya. On 1 March 2026, Order No. 381 of the Ministry of Transport replaced Order No. 139. Flight time must not exceed 800 hours a year, or 900 hours with the employee’s written consent. What dose does this give? Russian researchers calculated that flight crew receive about 362 microsieverts per month with 90 flight hours — about 4 microsieverts per flight hour. So 800 hours give about 3.2 millisieverts, and 900 hours about 3.6 millisieverts a year — more than 70 percent of the limit. On high-latitude routes and during solar flares the dose rate is even higher.</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11</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International Experience</w:t>
            </w:r>
            <w:r>
              <w:rPr>
                <w:rFonts w:ascii="Times New Roman" w:cs="Times New Roman" w:eastAsia="Times New Roman" w:hAnsi="Times New Roman"/>
                <w:i/>
                <w:iCs/>
                <w:color w:val="404040"/>
                <w:sz w:val="20"/>
                <w:szCs w:val="20"/>
              </w:rPr>
              <w:t xml:space="preserve">  (Международный опыт)</w:t>
            </w:r>
          </w:p>
          <w:p>
            <w:pPr>
              <w:spacing w:after="80" w:before="0" w:line="360"/>
            </w:pPr>
            <w:r>
              <w:rPr>
                <w:rFonts w:ascii="Times New Roman" w:cs="Times New Roman" w:eastAsia="Times New Roman" w:hAnsi="Times New Roman"/>
                <w:sz w:val="28"/>
                <w:szCs w:val="28"/>
              </w:rPr>
              <w:t xml:space="preserve">For comparison, the ICRP recommends choosing a reference level for aircrew in the range of 5 to 10 millisieverts per year. In the European Union, Article 35(3) of Council Directive 2013/59/Euratom requires Member States to ensure the following: if crew members are likely to receive more than 1 millisievert a year, the airline must assess their exposure, take it into account when planning work schedules, and inform the workers about their doses. In the Russian acts we examined there is no such special procedure. Ilya will present our conclusions.</w:t>
            </w:r>
          </w:p>
          <w:p>
            <w:pPr>
              <w:spacing w:after="0" w:before="0" w:line="312"/>
              <w:jc w:val="right"/>
            </w:pPr>
            <w:r>
              <w:rPr>
                <w:rFonts w:ascii="Times New Roman" w:cs="Times New Roman" w:eastAsia="Times New Roman" w:hAnsi="Times New Roman"/>
                <w:b/>
                <w:bCs/>
                <w:i w:val="false"/>
                <w:iCs w:val="false"/>
                <w:color w:val="000000"/>
                <w:sz w:val="22"/>
                <w:szCs w:val="22"/>
              </w:rPr>
              <w:t xml:space="preserve">► ILYA continues  ·  [Next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12</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0:50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i/>
                <w:iCs/>
                <w:color w:val="404040"/>
                <w:sz w:val="20"/>
                <w:szCs w:val="20"/>
              </w:rPr>
              <w:t xml:space="preserve">  (Выводы)</w:t>
            </w:r>
          </w:p>
          <w:p>
            <w:pPr>
              <w:spacing w:after="80" w:before="0" w:line="360"/>
            </w:pPr>
            <w:r>
              <w:rPr>
                <w:rFonts w:ascii="Times New Roman" w:cs="Times New Roman" w:eastAsia="Times New Roman" w:hAnsi="Times New Roman"/>
                <w:sz w:val="28"/>
                <w:szCs w:val="28"/>
              </w:rPr>
              <w:t xml:space="preserve">To sum up. First, crew exposure in Russia is regulated: the limit of 5 millisieverts per year under clauses 4.1 and 4.3 of NRB-99/2009 has remained in force after the special sanitary rules were repealed. Second, the special assessment of working conditions and flight time limits do not replace individual dose records: by our estimate, 900 flight hours may give more than 70 percent of the limit. Third, we propose to establish a procedure for calculating individual doses from actual flights, informing employees and taking doses into account when planning schedules, as is already done in EU law.</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13</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0:10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i/>
                <w:iCs/>
                <w:color w:val="404040"/>
                <w:sz w:val="20"/>
                <w:szCs w:val="20"/>
              </w:rPr>
              <w:t xml:space="preserve">  (Список использованных источников)</w:t>
            </w:r>
          </w:p>
          <w:p>
            <w:pPr>
              <w:spacing w:after="80" w:before="0" w:line="360"/>
            </w:pPr>
            <w:r>
              <w:rPr>
                <w:rFonts w:ascii="Times New Roman" w:cs="Times New Roman" w:eastAsia="Times New Roman" w:hAnsi="Times New Roman"/>
                <w:sz w:val="28"/>
                <w:szCs w:val="28"/>
              </w:rPr>
              <w:t xml:space="preserve">The list of sources is shown on this slide.</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14</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0:10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Thank You</w:t>
            </w:r>
            <w:r>
              <w:rPr>
                <w:rFonts w:ascii="Times New Roman" w:cs="Times New Roman" w:eastAsia="Times New Roman" w:hAnsi="Times New Roman"/>
                <w:i/>
                <w:iCs/>
                <w:color w:val="404040"/>
                <w:sz w:val="20"/>
                <w:szCs w:val="20"/>
              </w:rPr>
              <w:t xml:space="preserve">  (Спасибо за внимание!)</w:t>
            </w:r>
          </w:p>
          <w:p>
            <w:pPr>
              <w:spacing w:after="80" w:before="0" w:line="360"/>
            </w:pPr>
            <w:r>
              <w:rPr>
                <w:rFonts w:ascii="Times New Roman" w:cs="Times New Roman" w:eastAsia="Times New Roman" w:hAnsi="Times New Roman"/>
                <w:sz w:val="28"/>
                <w:szCs w:val="28"/>
              </w:rPr>
              <w:t xml:space="preserve">Thank you for your attention! We are ready to answer your questions.</w:t>
            </w:r>
          </w:p>
          <w:p>
            <w:pPr>
              <w:spacing w:after="0" w:before="0" w:line="312"/>
              <w:jc w:val="right"/>
            </w:pPr>
            <w:r>
              <w:rPr>
                <w:rFonts w:ascii="Times New Roman" w:cs="Times New Roman" w:eastAsia="Times New Roman" w:hAnsi="Times New Roman"/>
                <w:i/>
                <w:iCs/>
                <w:color w:val="595959"/>
                <w:sz w:val="22"/>
                <w:szCs w:val="22"/>
              </w:rPr>
              <w:t xml:space="preserve">End of the talk — questions</w:t>
            </w:r>
          </w:p>
        </w:tc>
      </w:tr>
    </w:tbl>
    <w:p>
      <w:pPr>
        <w:spacing w:after="60" w:before="0" w:line="240"/>
      </w:pPr>
      <w:r>
        <w:rPr>
          <w:rFonts w:ascii="Times New Roman" w:cs="Times New Roman" w:eastAsia="Times New Roman" w:hAnsi="Times New Roman"/>
          <w:sz w:val="28"/>
          <w:szCs w:val="28"/>
        </w:rPr>
        <w:t xml:space="preserve"/>
      </w:r>
    </w:p>
    <w:p>
      <w:pPr>
        <w:keepNext/>
        <w:spacing w:after="120" w:before="300" w:line="312"/>
      </w:pPr>
      <w:r>
        <w:rPr>
          <w:rFonts w:ascii="Times New Roman" w:cs="Times New Roman" w:eastAsia="Times New Roman" w:hAnsi="Times New Roman"/>
          <w:b/>
          <w:bCs/>
          <w:sz w:val="30"/>
          <w:szCs w:val="30"/>
        </w:rPr>
        <w:t xml:space="preserve">Terms and how to read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Written</w:t>
            </w:r>
          </w:p>
        </w:tc>
        <w:tc>
          <w:tcPr>
            <w:tcW w:type="dxa" w:w="6638"/>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Read as / meaning</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Geiger counter</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[ˈɡaɪɡə ˈkaʊntə] — “GUY-ger” (not “GAY-ger”)</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mSv</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millisievert [ˈmɪlɪˌsiːvərt]; 5 mSv — “five millisieverts”</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µSv, µSv/h</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microsievert [ˈmaɪkrəʊˌsiːvərt]; “four microsieverts per hour”</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µR/h (мкР/ч)</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microroentgen per hour [ˌmaɪkrəʊˈrʌntɡən]; 13.2 — “thirteen point two”</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ICRP (МКРЗ)</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“I-C-R-P” — International Commission on Radiological Protection</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NRB-99/2009</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“N-R-B ninety-nine, two thousand nine” — Radiation Safety Standards</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SanPiN</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“san-PEEN” — sanitary rules and norms</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No. 3-FZ / No. 52-FZ</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“Federal Law number three F-Z / fifty-two F-Z”</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Order No. 255n</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“Order number two-five-five N” of the Ministry of Labour</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Directive 2013/59/Euratom</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“Directive twenty-thirteen slash fifty-nine Euratom” [ˈjʊərətɒm]</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CARI-7</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“carry seven” — dose calculation program of the US FAA</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RUSCOSMICS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“rus-COZ-mics” — Russian cosmic-ray model (Polar Geophysical Institute)</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FL350</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“flight level three-five-zero” (about 35,000 ft)</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CFP</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computer flight plan</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special assessment of working conditions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СОУТ — специальная оценка условий труда</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Article 35(3)</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“Article thirty-five, paragraph three”</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NILRA</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route waypoint: “NIL-ra”</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Order No. 381</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“Order number three-eight-one” of the Ministry of Transport</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SanPiN codes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on slide 7 just say “the SanPiNs of 2008 and 2010” — no need to read the full numbers</w:t>
            </w:r>
          </w:p>
        </w:tc>
      </w:tr>
    </w:tbl>
    <w:p>
      <w:pPr>
        <w:keepNext/>
        <w:spacing w:after="120" w:before="360" w:line="312"/>
      </w:pPr>
      <w:r>
        <w:rPr>
          <w:rFonts w:ascii="Times New Roman" w:cs="Times New Roman" w:eastAsia="Times New Roman" w:hAnsi="Times New Roman"/>
          <w:b/>
          <w:bCs/>
          <w:sz w:val="30"/>
          <w:szCs w:val="30"/>
        </w:rPr>
        <w:t xml:space="preserve">Possible questions from the jury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Q1</w:t>
            </w:r>
          </w:p>
          <w:p>
            <w:pPr>
              <w:spacing w:after="0" w:before="0" w:line="312"/>
            </w:pPr>
            <w:r>
              <w:rPr>
                <w:rFonts w:ascii="Times New Roman" w:cs="Times New Roman" w:eastAsia="Times New Roman" w:hAnsi="Times New Roman"/>
                <w:b/>
                <w:bCs/>
                <w:sz w:val="26"/>
                <w:szCs w:val="26"/>
              </w:rPr>
              <w:t xml:space="preserve">NIKITA</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A Geiger counter underestimates the dose. Why do you use these measurements at all?</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They come from my previous work and show the main thing clearly: at cruising level the background is about sixteen times higher than near the ground. But a Geiger counter practically does not register neutrons, which create a large part of the dose at altitude. That is why for a legal assessment the annual dose is calculated from real flights — with programs such as CARI-7 or with data from the RUSCOSMICS model.</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Q2</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Why is the limit for aircrew 5 millisieverts and not 20, as for personnel working with radiation sources?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NRB-99/2009 distinguishes between man-made and natural sources. For personnel working with man-made sources (group A), the limit is 20 millisieverts per year on average over any five consecutive years, but not more than 50 in a single year. Cosmic radiation is natural, and clause 4.3 says that it is regulated as natural exposure under occupational conditions under clause 4.1 — that is, 5 millisieverts per year.</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Q3</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Who is responsible for a crew member’s dose today?</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Under Article 214 of the Labour Code, the airline as the employer must ensure safe working conditions, and Article 18 of Federal Law No. 3-FZ provides for monitoring and recording of individual doses in general, through a single state system. But there is no special procedure for calculating each crew member’s dose from all their flights — this is the gap we point out.</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Q4</w:t>
            </w:r>
          </w:p>
          <w:p>
            <w:pPr>
              <w:spacing w:after="0" w:before="0" w:line="312"/>
            </w:pPr>
            <w:r>
              <w:rPr>
                <w:rFonts w:ascii="Times New Roman" w:cs="Times New Roman" w:eastAsia="Times New Roman" w:hAnsi="Times New Roman"/>
                <w:b/>
                <w:bCs/>
                <w:sz w:val="26"/>
                <w:szCs w:val="26"/>
              </w:rPr>
              <w:t xml:space="preserve">NIKITA</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Is 900 flight hours a year dangerous for pilots?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By our estimate it gives about 3.6 millisieverts — below the limit, but more than 70 percent of it. On high-latitude routes and during solar flares the dose rate is higher, so without individual records a crew member could come close to the limit.</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Q5</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What exactly do you propose?</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To establish a uniform procedure: calculate the individual dose of each crew member from actual flights, inform employees about their doses and take the doses into account when drawing up schedules — similar to Article 35, paragraph 3 of Directive 2013/59/Euratom.</w:t>
            </w:r>
          </w:p>
        </w:tc>
      </w:tr>
    </w:tbl>
    <w:p>
      <w:pPr>
        <w:spacing w:after="60" w:before="0" w:line="240"/>
      </w:pPr>
      <w:r>
        <w:rPr>
          <w:rFonts w:ascii="Times New Roman" w:cs="Times New Roman" w:eastAsia="Times New Roman" w:hAnsi="Times New Roman"/>
          <w:sz w:val="28"/>
          <w:szCs w:val="28"/>
        </w:rPr>
        <w:t xml:space="preserv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12"/>
      <w:jc w:val="right"/>
    </w:pPr>
    <w:r>
      <w:rPr>
        <w:rFonts w:ascii="Times New Roman" w:cs="Times New Roman" w:eastAsia="Times New Roman" w:hAnsi="Times New Roman"/>
        <w:color w:val="595959"/>
        <w:sz w:val="18"/>
        <w:szCs w:val="18"/>
      </w:rPr>
      <w:t xml:space="preserve">Presentation script · Shutov N. R., Roldugin I. D. · Ulyanovsk Civil Aviation Institute,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script — Cosmic Radiation Exposure of Aircraft Crew Members</dc:title>
  <dc:creator>Shutov N. R., Roldugin I. D.</dc:creator>
  <cp:lastModifiedBy>Un-named</cp:lastModifiedBy>
  <cp:revision>1</cp:revision>
  <dcterms:created xsi:type="dcterms:W3CDTF">2026-10-10T08:12:49.798Z</dcterms:created>
  <dcterms:modified xsi:type="dcterms:W3CDTF">2026-10-10T08:12:49.799Z</dcterms:modified>
</cp:coreProperties>
</file>

<file path=docProps/custom.xml><?xml version="1.0" encoding="utf-8"?>
<Properties xmlns="http://schemas.openxmlformats.org/officeDocument/2006/custom-properties" xmlns:vt="http://schemas.openxmlformats.org/officeDocument/2006/docPropsVTypes"/>
</file>