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jpeg" ContentType="image/jpeg"/>
  <Override PartName="/word/media/image6.png" ContentType="image/png"/>
  <Override PartName="/word/media/image2.jpeg" ContentType="image/jpeg"/>
  <Override PartName="/word/media/image3.jpeg" ContentType="image/jpeg"/>
  <Override PartName="/word/media/image4.jpeg" ContentType="image/jpeg"/>
  <Override PartName="/word/media/image5.jpeg" ContentType="image/jpeg"/>
  <Override PartName="/word/comments.xml" ContentType="application/vnd.openxmlformats-officedocument.wordprocessingml.comment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ind w:firstLine="709"/>
        <w:jc w:val="left"/>
        <w:rPr>
          <w:rFonts w:ascii="Times New Roman" w:hAnsi="Times New Roman" w:cs="Times New Roman"/>
          <w:sz w:val="28"/>
          <w:szCs w:val="28"/>
        </w:rPr>
      </w:pPr>
      <w:r>
        <w:rPr>
          <w:rFonts w:ascii="Times New Roman" w:hAnsi="Times New Roman"/>
          <w:b w:val="false"/>
          <w:i w:val="false"/>
          <w:sz w:val="28"/>
        </w:rPr>
        <w:t>УДК 347.82:614.876</w:t>
      </w:r>
    </w:p>
    <w:p>
      <w:pPr>
        <w:pStyle w:val="Normal"/>
        <w:spacing w:lineRule="auto" w:line="240" w:before="0" w:after="0"/>
        <w:ind w:firstLine="709"/>
        <w:jc w:val="both"/>
        <w:rPr>
          <w:rFonts w:ascii="Times New Roman" w:hAnsi="Times New Roman" w:cs="Times New Roman"/>
          <w:sz w:val="28"/>
          <w:szCs w:val="28"/>
        </w:rPr>
      </w:pPr>
      <w:r>
        <w:rPr>
          <w:rFonts w:cs="Times New Roman" w:ascii="Times New Roman" w:hAnsi="Times New Roman"/>
          <w:sz w:val="28"/>
          <w:szCs w:val="28"/>
        </w:rPr>
      </w:r>
    </w:p>
    <w:p>
      <w:pPr>
        <w:pStyle w:val="Normal"/>
        <w:spacing w:lineRule="auto" w:line="240" w:before="0" w:after="0"/>
        <w:ind w:hanging="0"/>
        <w:jc w:val="center"/>
        <w:rPr>
          <w:rFonts w:ascii="Times New Roman" w:hAnsi="Times New Roman" w:cs="Times New Roman"/>
          <w:b/>
          <w:bCs/>
          <w:sz w:val="28"/>
          <w:szCs w:val="28"/>
        </w:rPr>
      </w:pPr>
      <w:r>
        <w:rPr>
          <w:rFonts w:ascii="Times New Roman" w:hAnsi="Times New Roman"/>
          <w:b/>
          <w:i w:val="false"/>
          <w:sz w:val="28"/>
        </w:rPr>
        <w:t>КОСМИЧЕСКОЕ ОБЛУЧЕНИЕ ЧЛЕНОВ ЭКИПАЖЕЙ ВОЗДУШНЫХ СУДОВ И ИХ ПРАВОВАЯ ЗАЩИТА В РОССИЙСКОЙ ФЕДЕРАЦИИ</w:t>
      </w:r>
    </w:p>
    <w:p>
      <w:pPr>
        <w:pStyle w:val="Normal"/>
        <w:spacing w:lineRule="auto" w:line="240" w:before="0" w:after="0"/>
        <w:ind w:firstLine="709"/>
        <w:jc w:val="both"/>
        <w:rPr>
          <w:rFonts w:ascii="Times New Roman" w:hAnsi="Times New Roman" w:cs="Times New Roman"/>
          <w:b/>
          <w:bCs/>
          <w:sz w:val="28"/>
          <w:szCs w:val="28"/>
        </w:rPr>
      </w:pPr>
      <w:r>
        <w:rPr>
          <w:rFonts w:cs="Times New Roman" w:ascii="Times New Roman" w:hAnsi="Times New Roman"/>
          <w:b/>
          <w:bCs/>
          <w:sz w:val="28"/>
          <w:szCs w:val="28"/>
        </w:rPr>
      </w:r>
    </w:p>
    <w:p>
      <w:pPr>
        <w:pStyle w:val="Normal"/>
        <w:spacing w:lineRule="auto" w:line="240" w:before="0" w:after="0"/>
        <w:ind w:firstLine="709"/>
        <w:jc w:val="both"/>
        <w:rPr>
          <w:rFonts w:ascii="Times New Roman" w:hAnsi="Times New Roman" w:cs="Times New Roman"/>
          <w:sz w:val="28"/>
          <w:szCs w:val="28"/>
        </w:rPr>
      </w:pPr>
      <w:r>
        <w:rPr>
          <w:rFonts w:ascii="Times New Roman" w:hAnsi="Times New Roman"/>
          <w:b/>
          <w:i w:val="false"/>
          <w:sz w:val="28"/>
        </w:rPr>
        <w:t>Бойко Наталия Семеновна,</w:t>
      </w:r>
      <w:r>
        <w:rPr>
          <w:rFonts w:ascii="Times New Roman" w:hAnsi="Times New Roman"/>
          <w:b w:val="false"/>
          <w:i w:val="false"/>
          <w:sz w:val="28"/>
        </w:rPr>
        <w:t xml:space="preserve"> профессор кафедры ЛЭиБП, кандидат юридических наук, доктор исторических наук, доцент, e-mail: nboyko2005@mail.ru</w:t>
      </w:r>
    </w:p>
    <w:p>
      <w:pPr>
        <w:pStyle w:val="Normal"/>
        <w:spacing w:lineRule="auto" w:line="240" w:before="0" w:after="0"/>
        <w:ind w:firstLine="709"/>
        <w:jc w:val="both"/>
        <w:rPr>
          <w:rFonts w:ascii="Times New Roman" w:hAnsi="Times New Roman" w:cs="Times New Roman"/>
          <w:sz w:val="28"/>
          <w:szCs w:val="28"/>
          <w:lang w:val="en-US"/>
        </w:rPr>
      </w:pPr>
      <w:r>
        <w:rPr>
          <w:rFonts w:ascii="Times New Roman" w:hAnsi="Times New Roman"/>
          <w:b/>
          <w:i w:val="false"/>
          <w:sz w:val="28"/>
        </w:rPr>
        <w:t>Шутов Никита Романович,</w:t>
      </w:r>
      <w:r>
        <w:rPr>
          <w:rFonts w:ascii="Times New Roman" w:hAnsi="Times New Roman"/>
          <w:b w:val="false"/>
          <w:i w:val="false"/>
          <w:sz w:val="28"/>
        </w:rPr>
        <w:t xml:space="preserve"> учебная гр. П-24-4, e-mail: nikita999343@gmail.com</w:t>
      </w:r>
    </w:p>
    <w:p>
      <w:pPr>
        <w:pStyle w:val="Normal"/>
        <w:spacing w:lineRule="auto" w:line="240" w:before="0" w:after="0"/>
        <w:ind w:firstLine="709"/>
        <w:jc w:val="both"/>
        <w:rPr>
          <w:rFonts w:ascii="Times New Roman" w:hAnsi="Times New Roman" w:cs="Times New Roman"/>
          <w:sz w:val="28"/>
          <w:szCs w:val="28"/>
          <w:lang w:val="en-US"/>
        </w:rPr>
      </w:pPr>
      <w:r>
        <w:rPr>
          <w:rFonts w:ascii="Times New Roman" w:hAnsi="Times New Roman"/>
          <w:b/>
          <w:i w:val="false"/>
          <w:sz w:val="28"/>
        </w:rPr>
        <w:t>Ролдугин Илья Дмитриевич,</w:t>
      </w:r>
      <w:r>
        <w:rPr>
          <w:rFonts w:ascii="Times New Roman" w:hAnsi="Times New Roman"/>
          <w:b w:val="false"/>
          <w:i w:val="false"/>
          <w:sz w:val="28"/>
        </w:rPr>
        <w:t xml:space="preserve"> учебная гр. П-24-4, e-mail: roldugin_2002@mail.ru</w:t>
      </w:r>
    </w:p>
    <w:p>
      <w:pPr>
        <w:pStyle w:val="Normal"/>
        <w:spacing w:lineRule="auto" w:line="240" w:before="0" w:after="0"/>
        <w:ind w:hanging="0"/>
        <w:jc w:val="center"/>
        <w:rPr>
          <w:rFonts w:ascii="Times New Roman" w:hAnsi="Times New Roman" w:cs="Times New Roman"/>
          <w:sz w:val="28"/>
          <w:szCs w:val="28"/>
        </w:rPr>
      </w:pPr>
      <w:r>
        <w:rPr>
          <w:rFonts w:ascii="Times New Roman" w:hAnsi="Times New Roman"/>
          <w:b w:val="false"/>
          <w:i w:val="false"/>
          <w:sz w:val="28"/>
        </w:rPr>
        <w:t>Ульяновский институт гражданской авиации имени Главного маршала авиации Б. П. Бугаева, г. Ульяновск, Россия</w:t>
      </w:r>
    </w:p>
    <w:p>
      <w:pPr>
        <w:pStyle w:val="Normal"/>
        <w:spacing w:lineRule="auto" w:line="240" w:before="0" w:after="0"/>
        <w:ind w:firstLine="709"/>
        <w:jc w:val="both"/>
        <w:rPr>
          <w:rFonts w:ascii="Times New Roman" w:hAnsi="Times New Roman" w:cs="Times New Roman"/>
          <w:i/>
          <w:i/>
          <w:iCs/>
          <w:sz w:val="28"/>
          <w:szCs w:val="28"/>
        </w:rPr>
      </w:pPr>
      <w:r>
        <w:rPr>
          <w:rFonts w:ascii="Times New Roman" w:hAnsi="Times New Roman"/>
          <w:b/>
          <w:i w:val="false"/>
          <w:sz w:val="28"/>
        </w:rPr>
        <w:t>Аннотация.</w:t>
      </w:r>
      <w:r>
        <w:rPr>
          <w:rFonts w:ascii="Times New Roman" w:hAnsi="Times New Roman"/>
          <w:b w:val="false"/>
          <w:i w:val="false"/>
          <w:sz w:val="28"/>
        </w:rPr>
        <w:t xml:space="preserve"> В статье рассмотрено правовое регулирование облучения членов экипажей воздушных судов космическим излучением в Российской Федерации. Проанализированы изменения санитарных норм 2021–2025 годов, требования специальной оценки условий труда и ограничения налёта по приказу Минтранса России № 381. Показано, что предел 5 мЗв в год сохраняется, а порядок индивидуального учёта доз экипажей требует конкретизации.</w:t>
      </w:r>
    </w:p>
    <w:p>
      <w:pPr>
        <w:pStyle w:val="Normal"/>
        <w:spacing w:lineRule="auto" w:line="240" w:before="0" w:after="0"/>
        <w:ind w:firstLine="709"/>
        <w:jc w:val="both"/>
        <w:rPr>
          <w:rFonts w:ascii="Times New Roman" w:hAnsi="Times New Roman" w:cs="Times New Roman"/>
          <w:i/>
          <w:i/>
          <w:iCs/>
          <w:sz w:val="28"/>
          <w:szCs w:val="28"/>
        </w:rPr>
      </w:pPr>
      <w:r>
        <w:rPr>
          <w:rFonts w:ascii="Times New Roman" w:hAnsi="Times New Roman"/>
          <w:b/>
          <w:i w:val="false"/>
          <w:sz w:val="28"/>
        </w:rPr>
        <w:t>Ключевые слова:</w:t>
      </w:r>
      <w:r>
        <w:rPr>
          <w:rFonts w:ascii="Times New Roman" w:hAnsi="Times New Roman"/>
          <w:b w:val="false"/>
          <w:i w:val="false"/>
          <w:sz w:val="28"/>
        </w:rPr>
        <w:t xml:space="preserve"> космическое излучение, воздушное право, радиационная безопасность, экипаж воздушного судна, предел дозы, специальная оценка условий труда.</w:t>
      </w:r>
    </w:p>
    <w:p>
      <w:pPr>
        <w:pStyle w:val="Normal"/>
        <w:spacing w:lineRule="auto" w:line="240" w:before="0" w:after="0"/>
        <w:ind w:firstLine="709"/>
        <w:jc w:val="both"/>
        <w:rPr>
          <w:rFonts w:ascii="Times New Roman" w:hAnsi="Times New Roman" w:cs="Times New Roman"/>
          <w:i/>
          <w:i/>
          <w:iCs/>
          <w:sz w:val="28"/>
          <w:szCs w:val="28"/>
        </w:rPr>
      </w:pPr>
      <w:r>
        <w:rPr>
          <w:rFonts w:cs="Times New Roman" w:ascii="Times New Roman" w:hAnsi="Times New Roman"/>
          <w:i/>
          <w:iCs/>
          <w:sz w:val="28"/>
          <w:szCs w:val="28"/>
        </w:rPr>
      </w:r>
    </w:p>
    <w:p>
      <w:pPr>
        <w:pStyle w:val="Normal"/>
        <w:spacing w:lineRule="auto" w:line="240" w:before="0" w:after="0"/>
        <w:ind w:hanging="0"/>
        <w:jc w:val="center"/>
        <w:rPr>
          <w:rFonts w:ascii="Times New Roman" w:hAnsi="Times New Roman" w:cs="Times New Roman"/>
          <w:i/>
          <w:i/>
          <w:iCs/>
          <w:sz w:val="28"/>
          <w:szCs w:val="28"/>
        </w:rPr>
      </w:pPr>
      <w:r>
        <w:rPr>
          <w:rFonts w:ascii="Times New Roman" w:hAnsi="Times New Roman"/>
          <w:b/>
          <w:i w:val="false"/>
          <w:sz w:val="28"/>
        </w:rPr>
        <w:t>Cosmic Radiation Exposure of Aircraft Crew Members and Their Legal Protection in the Russian Federation</w:t>
      </w:r>
    </w:p>
    <w:p>
      <w:pPr>
        <w:pStyle w:val="Normal"/>
        <w:spacing w:lineRule="auto" w:line="240" w:before="0" w:after="0"/>
        <w:ind w:firstLine="709"/>
        <w:jc w:val="both"/>
        <w:rPr>
          <w:rFonts w:ascii="Times New Roman" w:hAnsi="Times New Roman" w:cs="Times New Roman"/>
          <w:i/>
          <w:i/>
          <w:iCs/>
          <w:sz w:val="28"/>
          <w:szCs w:val="28"/>
        </w:rPr>
      </w:pPr>
      <w:r>
        <w:rPr>
          <w:rFonts w:ascii="Times New Roman" w:hAnsi="Times New Roman"/>
          <w:b/>
          <w:i w:val="false"/>
          <w:sz w:val="28"/>
        </w:rPr>
        <w:t>Abstract.</w:t>
      </w:r>
      <w:r>
        <w:rPr>
          <w:rFonts w:ascii="Times New Roman" w:hAnsi="Times New Roman"/>
          <w:b w:val="false"/>
          <w:i w:val="false"/>
          <w:sz w:val="28"/>
        </w:rPr>
        <w:t xml:space="preserve"> The article examines the legal regulation of cosmic radiation exposure of aircraft crew members in the Russian Federation. Changes in sanitary standards in 2021–2025, the requirements of the special assessment of working conditions and the flight time limits under Order No. 381 of the Ministry of Transport are analyzed. It is shown that the dose limit of 5 mSv per year remains in force, while the procedure for individual dose accounting for crew members needs to be specified.</w:t>
      </w:r>
    </w:p>
    <w:p>
      <w:pPr>
        <w:pStyle w:val="Normal"/>
        <w:spacing w:lineRule="auto" w:line="240" w:before="0" w:after="0"/>
        <w:ind w:firstLine="709"/>
        <w:jc w:val="both"/>
        <w:rPr>
          <w:rFonts w:ascii="Times New Roman" w:hAnsi="Times New Roman" w:cs="Times New Roman"/>
          <w:i/>
          <w:i/>
          <w:iCs/>
          <w:sz w:val="28"/>
          <w:szCs w:val="28"/>
        </w:rPr>
      </w:pPr>
      <w:r>
        <w:rPr>
          <w:rFonts w:ascii="Times New Roman" w:hAnsi="Times New Roman"/>
          <w:b/>
          <w:i w:val="false"/>
          <w:sz w:val="28"/>
        </w:rPr>
        <w:t>Keywords:</w:t>
      </w:r>
      <w:r>
        <w:rPr>
          <w:rFonts w:ascii="Times New Roman" w:hAnsi="Times New Roman"/>
          <w:b w:val="false"/>
          <w:i w:val="false"/>
          <w:sz w:val="28"/>
        </w:rPr>
        <w:t xml:space="preserve"> cosmic radiation, air law, radiation safety, aircraft crew, dose limit, special assessment of working conditions.</w:t>
      </w:r>
    </w:p>
    <w:p>
      <w:pPr>
        <w:pStyle w:val="Normal"/>
        <w:spacing w:lineRule="auto" w:line="240" w:before="0" w:after="0"/>
        <w:ind w:firstLine="709"/>
        <w:jc w:val="both"/>
        <w:rPr>
          <w:rFonts w:ascii="Times New Roman" w:hAnsi="Times New Roman" w:cs="Times New Roman"/>
          <w:i/>
          <w:i/>
          <w:iCs/>
          <w:sz w:val="28"/>
          <w:szCs w:val="28"/>
        </w:rPr>
      </w:pPr>
      <w:r>
        <w:rPr>
          <w:rFonts w:cs="Times New Roman" w:ascii="Times New Roman" w:hAnsi="Times New Roman"/>
          <w:i/>
          <w:iCs/>
          <w:sz w:val="28"/>
          <w:szCs w:val="28"/>
        </w:rPr>
      </w:r>
    </w:p>
    <w:p>
      <w:pPr>
        <w:pStyle w:val="Normal"/>
        <w:spacing w:lineRule="auto" w:line="240" w:before="0" w:after="0"/>
        <w:ind w:firstLine="709"/>
        <w:jc w:val="both"/>
        <w:rPr>
          <w:rFonts w:ascii="Times New Roman" w:hAnsi="Times New Roman" w:cs="Times New Roman"/>
          <w:sz w:val="28"/>
          <w:szCs w:val="28"/>
        </w:rPr>
      </w:pPr>
      <w:r>
        <w:rPr>
          <w:rFonts w:cs="Times New Roman" w:ascii="Times New Roman" w:hAnsi="Times New Roman"/>
          <w:sz w:val="28"/>
          <w:szCs w:val="28"/>
        </w:rPr>
        <w:t>Одной из особенностей лётной профессии является облучение экипажа космическим излучением: на эшелоне фон значительно выше, чем у земли. Ещё в 1990 году Международная комиссия по радиологической защите (МКРЗ) признала такое облучение профессиональным [1]. В работе мы измерили радиационный фон на борту самолёта самодельным счётчиком Гейгера, а затем рассмотрели эту тему с правовой стороны: какие нормы ограничивают облучение экипажа в Российской Федерации, кто должен его учитывать и что изменилось в законодательстве за последние годы.</w:t>
      </w:r>
      <w:r>
        <w:rPr>
          <w:rFonts w:cs="Times New Roman" w:ascii="Times New Roman" w:hAnsi="Times New Roman"/>
          <w:sz w:val="28"/>
          <w:szCs w:val="28"/>
        </w:rPr>
      </w:r>
    </w:p>
    <w:p>
      <w:pPr>
        <w:pStyle w:val="Normal"/>
        <w:spacing w:lineRule="auto" w:line="240" w:before="0" w:after="0"/>
        <w:ind w:firstLine="709"/>
        <w:jc w:val="both"/>
        <w:rPr>
          <w:rFonts w:ascii="Times New Roman" w:hAnsi="Times New Roman" w:cs="Times New Roman"/>
          <w:sz w:val="28"/>
          <w:szCs w:val="28"/>
        </w:rPr>
      </w:pPr>
      <w:r>
        <w:rPr>
          <w:rFonts w:cs="Times New Roman" w:ascii="Times New Roman" w:hAnsi="Times New Roman"/>
          <w:sz w:val="28"/>
          <w:szCs w:val="28"/>
        </w:rPr>
        <w:t>Измерения проводились в двух рейсах примерно на одних широтах: Новокузнецк – Иркутск и Екатеринбург – Чита. Счётчик находился в кабине пилотов, показания снимались перед взлётом, на эшелоне и после посадки (Таблица 1).</w:t>
      </w:r>
    </w:p>
    <w:p>
      <w:pPr>
        <w:pStyle w:val="Normal"/>
        <w:spacing w:lineRule="auto" w:line="240" w:before="0" w:after="0"/>
        <w:ind w:hanging="0"/>
        <w:jc w:val="left"/>
        <w:rPr>
          <w:rFonts w:ascii="Times New Roman" w:hAnsi="Times New Roman" w:cs="Times New Roman"/>
          <w:sz w:val="28"/>
          <w:szCs w:val="28"/>
        </w:rPr>
      </w:pPr>
      <w:r>
        <w:rPr>
          <w:rFonts w:ascii="Times New Roman" w:hAnsi="Times New Roman"/>
          <w:b w:val="false"/>
          <w:i w:val="false"/>
          <w:sz w:val="28"/>
        </w:rPr>
        <w:t>Таблица 1 – Показания самодельного дозиметра на различных этапах полёта.</w:t>
      </w:r>
    </w:p>
    <w:tbl>
      <w:tblPr>
        <w:tblW w:w="1009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123"/>
        <w:gridCol w:w="1615"/>
        <w:gridCol w:w="2599"/>
        <w:gridCol w:w="3756"/>
      </w:tblGrid>
      <w:tr>
        <w:trPr>
          <w:trHeight w:val="347" w:hRule="atLeast"/>
        </w:trPr>
        <w:tc>
          <w:tcPr>
            <w:tcW w:w="212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ind w:hanging="0"/>
              <w:jc w:val="center"/>
              <w:rPr>
                <w:rFonts w:ascii="Times New Roman" w:hAnsi="Times New Roman" w:eastAsia="Times New Roman" w:cs="Times New Roman"/>
                <w:color w:val="000000"/>
                <w:kern w:val="0"/>
                <w:sz w:val="28"/>
                <w:szCs w:val="28"/>
                <w:lang w:eastAsia="ru-RU"/>
                <w14:ligatures w14:val="none"/>
              </w:rPr>
            </w:pPr>
            <w:r>
              <w:rPr>
                <w:rFonts w:eastAsia="Times New Roman" w:cs="Times New Roman" w:ascii="Times New Roman" w:hAnsi="Times New Roman"/>
                <w:color w:val="000000"/>
                <w:kern w:val="0"/>
                <w:sz w:val="24"/>
                <w:szCs w:val="28"/>
                <w:lang w:eastAsia="ru-RU"/>
                <w14:ligatures w14:val="none"/>
              </w:rPr>
              <w:t>Место измерения</w:t>
            </w:r>
          </w:p>
        </w:tc>
        <w:tc>
          <w:tcPr>
            <w:tcW w:w="161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ind w:hanging="0"/>
              <w:jc w:val="center"/>
              <w:rPr>
                <w:rFonts w:ascii="Times New Roman" w:hAnsi="Times New Roman" w:eastAsia="Times New Roman" w:cs="Times New Roman"/>
                <w:color w:val="000000"/>
                <w:kern w:val="0"/>
                <w:sz w:val="28"/>
                <w:szCs w:val="28"/>
                <w:lang w:eastAsia="ru-RU"/>
                <w14:ligatures w14:val="none"/>
              </w:rPr>
            </w:pPr>
            <w:r>
              <w:rPr>
                <w:rFonts w:eastAsia="Times New Roman" w:cs="Times New Roman" w:ascii="Times New Roman" w:hAnsi="Times New Roman"/>
                <w:color w:val="000000"/>
                <w:kern w:val="0"/>
                <w:sz w:val="24"/>
                <w:szCs w:val="28"/>
                <w:lang w:eastAsia="ru-RU"/>
                <w14:ligatures w14:val="none"/>
              </w:rPr>
              <w:t>Этап полёта</w:t>
            </w:r>
          </w:p>
        </w:tc>
        <w:tc>
          <w:tcPr>
            <w:tcW w:w="25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ind w:hanging="0"/>
              <w:jc w:val="center"/>
              <w:rPr>
                <w:rFonts w:ascii="Times New Roman" w:hAnsi="Times New Roman" w:eastAsia="Times New Roman" w:cs="Times New Roman"/>
                <w:color w:val="000000"/>
                <w:kern w:val="0"/>
                <w:sz w:val="28"/>
                <w:szCs w:val="28"/>
                <w:lang w:eastAsia="ru-RU"/>
                <w14:ligatures w14:val="none"/>
              </w:rPr>
            </w:pPr>
            <w:commentRangeStart w:id="1"/>
            <w:r>
              <w:rPr>
                <w:rFonts w:eastAsia="Times New Roman" w:cs="Times New Roman" w:ascii="Times New Roman" w:hAnsi="Times New Roman"/>
                <w:color w:val="000000"/>
                <w:kern w:val="0"/>
                <w:sz w:val="24"/>
                <w:szCs w:val="28"/>
                <w:lang w:eastAsia="ru-RU"/>
                <w14:ligatures w14:val="none"/>
              </w:rPr>
              <w:t>Высота (футы)</w:t>
            </w:r>
            <w:commentRangeEnd w:id="1"/>
            <w:r>
              <w:commentReference w:id="1"/>
            </w:r>
            <w:r>
              <w:rPr>
                <w:rFonts w:eastAsia="Times New Roman" w:cs="Times New Roman" w:ascii="Times New Roman" w:hAnsi="Times New Roman"/>
                <w:color w:val="000000"/>
                <w:kern w:val="0"/>
                <w:sz w:val="24"/>
                <w:szCs w:val="28"/>
                <w:lang w:eastAsia="ru-RU"/>
                <w14:ligatures w14:val="none"/>
              </w:rPr>
            </w:r>
          </w:p>
        </w:tc>
        <w:tc>
          <w:tcPr>
            <w:tcW w:w="375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ind w:hanging="0"/>
              <w:jc w:val="center"/>
              <w:rPr>
                <w:rFonts w:ascii="Times New Roman" w:hAnsi="Times New Roman" w:eastAsia="Times New Roman" w:cs="Times New Roman"/>
                <w:color w:val="000000"/>
                <w:kern w:val="0"/>
                <w:sz w:val="28"/>
                <w:szCs w:val="28"/>
                <w:lang w:eastAsia="ru-RU"/>
                <w14:ligatures w14:val="none"/>
              </w:rPr>
            </w:pPr>
            <w:r>
              <w:rPr>
                <w:rFonts w:eastAsia="Times New Roman" w:cs="Times New Roman" w:ascii="Times New Roman" w:hAnsi="Times New Roman"/>
                <w:color w:val="000000"/>
                <w:kern w:val="0"/>
                <w:sz w:val="24"/>
                <w:szCs w:val="28"/>
                <w:lang w:eastAsia="ru-RU"/>
                <w14:ligatures w14:val="none"/>
              </w:rPr>
              <w:t>Средние показания прибора (мкР/ч)</w:t>
            </w:r>
          </w:p>
        </w:tc>
      </w:tr>
      <w:tr>
        <w:trPr>
          <w:trHeight w:val="347" w:hRule="atLeast"/>
        </w:trPr>
        <w:tc>
          <w:tcPr>
            <w:tcW w:w="212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ind w:hanging="0"/>
              <w:jc w:val="center"/>
              <w:rPr>
                <w:rFonts w:ascii="Times New Roman" w:hAnsi="Times New Roman" w:eastAsia="Times New Roman" w:cs="Times New Roman"/>
                <w:color w:val="000000"/>
                <w:kern w:val="0"/>
                <w:sz w:val="28"/>
                <w:szCs w:val="28"/>
                <w:lang w:eastAsia="ru-RU"/>
                <w14:ligatures w14:val="none"/>
              </w:rPr>
            </w:pPr>
            <w:r>
              <w:rPr>
                <w:rFonts w:eastAsia="Times New Roman" w:cs="Times New Roman" w:ascii="Times New Roman" w:hAnsi="Times New Roman"/>
                <w:color w:val="000000"/>
                <w:kern w:val="0"/>
                <w:sz w:val="24"/>
                <w:szCs w:val="28"/>
                <w:lang w:eastAsia="ru-RU"/>
                <w14:ligatures w14:val="none"/>
              </w:rPr>
              <w:t>Новокузнецк</w:t>
            </w:r>
          </w:p>
        </w:tc>
        <w:tc>
          <w:tcPr>
            <w:tcW w:w="161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ind w:hanging="0"/>
              <w:jc w:val="center"/>
              <w:rPr>
                <w:rFonts w:ascii="Times New Roman" w:hAnsi="Times New Roman" w:eastAsia="Times New Roman" w:cs="Times New Roman"/>
                <w:color w:val="000000"/>
                <w:kern w:val="0"/>
                <w:sz w:val="28"/>
                <w:szCs w:val="28"/>
                <w:lang w:eastAsia="ru-RU"/>
                <w14:ligatures w14:val="none"/>
              </w:rPr>
            </w:pPr>
            <w:r>
              <w:rPr>
                <w:rFonts w:eastAsia="Times New Roman" w:cs="Times New Roman" w:ascii="Times New Roman" w:hAnsi="Times New Roman"/>
                <w:color w:val="000000"/>
                <w:kern w:val="0"/>
                <w:sz w:val="24"/>
                <w:szCs w:val="28"/>
                <w:lang w:eastAsia="ru-RU"/>
                <w14:ligatures w14:val="none"/>
              </w:rPr>
              <w:t>Взлёт</w:t>
            </w:r>
          </w:p>
        </w:tc>
        <w:tc>
          <w:tcPr>
            <w:tcW w:w="25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ind w:hanging="0"/>
              <w:jc w:val="center"/>
              <w:rPr>
                <w:rFonts w:ascii="Times New Roman" w:hAnsi="Times New Roman" w:eastAsia="Times New Roman" w:cs="Times New Roman"/>
                <w:color w:val="000000"/>
                <w:kern w:val="0"/>
                <w:sz w:val="28"/>
                <w:szCs w:val="28"/>
                <w:lang w:eastAsia="ru-RU"/>
                <w14:ligatures w14:val="none"/>
              </w:rPr>
            </w:pPr>
            <w:r>
              <w:rPr>
                <w:rFonts w:eastAsia="Times New Roman" w:cs="Times New Roman" w:ascii="Times New Roman" w:hAnsi="Times New Roman"/>
                <w:color w:val="000000"/>
                <w:kern w:val="0"/>
                <w:sz w:val="24"/>
                <w:szCs w:val="28"/>
                <w:lang w:eastAsia="ru-RU"/>
                <w14:ligatures w14:val="none"/>
              </w:rPr>
              <w:t>1023</w:t>
            </w:r>
          </w:p>
        </w:tc>
        <w:tc>
          <w:tcPr>
            <w:tcW w:w="375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ind w:hanging="0"/>
              <w:jc w:val="center"/>
              <w:rPr>
                <w:rFonts w:ascii="Times New Roman" w:hAnsi="Times New Roman" w:eastAsia="Times New Roman" w:cs="Times New Roman"/>
                <w:color w:val="000000"/>
                <w:kern w:val="0"/>
                <w:sz w:val="28"/>
                <w:szCs w:val="28"/>
                <w:lang w:eastAsia="ru-RU"/>
                <w14:ligatures w14:val="none"/>
              </w:rPr>
            </w:pPr>
            <w:r>
              <w:rPr>
                <w:rFonts w:eastAsia="Times New Roman" w:cs="Times New Roman" w:ascii="Times New Roman" w:hAnsi="Times New Roman"/>
                <w:color w:val="000000"/>
                <w:kern w:val="0"/>
                <w:sz w:val="24"/>
                <w:szCs w:val="28"/>
                <w:lang w:eastAsia="ru-RU"/>
                <w14:ligatures w14:val="none"/>
              </w:rPr>
              <w:t>10,8</w:t>
            </w:r>
          </w:p>
        </w:tc>
      </w:tr>
      <w:tr>
        <w:trPr>
          <w:trHeight w:val="698" w:hRule="atLeast"/>
        </w:trPr>
        <w:tc>
          <w:tcPr>
            <w:tcW w:w="212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ind w:hanging="0"/>
              <w:jc w:val="center"/>
              <w:rPr>
                <w:rFonts w:ascii="Times New Roman" w:hAnsi="Times New Roman" w:eastAsia="Times New Roman" w:cs="Times New Roman"/>
                <w:color w:val="000000"/>
                <w:kern w:val="0"/>
                <w:sz w:val="28"/>
                <w:szCs w:val="28"/>
                <w:lang w:eastAsia="ru-RU"/>
                <w14:ligatures w14:val="none"/>
              </w:rPr>
            </w:pPr>
            <w:r>
              <w:rPr>
                <w:rFonts w:eastAsia="Times New Roman" w:cs="Times New Roman" w:ascii="Times New Roman" w:hAnsi="Times New Roman"/>
                <w:color w:val="000000"/>
                <w:kern w:val="0"/>
                <w:sz w:val="24"/>
                <w:szCs w:val="28"/>
                <w:lang w:eastAsia="ru-RU"/>
                <w14:ligatures w14:val="none"/>
              </w:rPr>
              <w:t>т. NILRA</w:t>
              <w:br/>
              <w:t>54,0667</w:t>
              <w:br/>
              <w:t>93,3367</w:t>
            </w:r>
          </w:p>
        </w:tc>
        <w:tc>
          <w:tcPr>
            <w:tcW w:w="161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ind w:hanging="0"/>
              <w:jc w:val="center"/>
              <w:rPr>
                <w:rFonts w:ascii="Times New Roman" w:hAnsi="Times New Roman" w:eastAsia="Times New Roman" w:cs="Times New Roman"/>
                <w:color w:val="000000"/>
                <w:kern w:val="0"/>
                <w:sz w:val="28"/>
                <w:szCs w:val="28"/>
                <w:lang w:eastAsia="ru-RU"/>
                <w14:ligatures w14:val="none"/>
              </w:rPr>
            </w:pPr>
            <w:r>
              <w:rPr>
                <w:rFonts w:eastAsia="Times New Roman" w:cs="Times New Roman" w:ascii="Times New Roman" w:hAnsi="Times New Roman"/>
                <w:color w:val="000000"/>
                <w:kern w:val="0"/>
                <w:sz w:val="24"/>
                <w:szCs w:val="28"/>
                <w:lang w:eastAsia="ru-RU"/>
                <w14:ligatures w14:val="none"/>
              </w:rPr>
              <w:t>Полёт</w:t>
            </w:r>
          </w:p>
        </w:tc>
        <w:tc>
          <w:tcPr>
            <w:tcW w:w="25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ind w:hanging="0"/>
              <w:jc w:val="center"/>
              <w:rPr>
                <w:rFonts w:ascii="Times New Roman" w:hAnsi="Times New Roman" w:eastAsia="Times New Roman" w:cs="Times New Roman"/>
                <w:color w:val="000000"/>
                <w:kern w:val="0"/>
                <w:sz w:val="28"/>
                <w:szCs w:val="28"/>
                <w:lang w:eastAsia="ru-RU"/>
                <w14:ligatures w14:val="none"/>
              </w:rPr>
            </w:pPr>
            <w:r>
              <w:rPr>
                <w:rFonts w:eastAsia="Times New Roman" w:cs="Times New Roman" w:ascii="Times New Roman" w:hAnsi="Times New Roman"/>
                <w:color w:val="000000"/>
                <w:kern w:val="0"/>
                <w:sz w:val="24"/>
                <w:szCs w:val="28"/>
                <w:lang w:eastAsia="ru-RU"/>
                <w14:ligatures w14:val="none"/>
              </w:rPr>
              <w:t>35000</w:t>
            </w:r>
          </w:p>
        </w:tc>
        <w:tc>
          <w:tcPr>
            <w:tcW w:w="375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ind w:hanging="0"/>
              <w:jc w:val="center"/>
              <w:rPr>
                <w:rFonts w:ascii="Times New Roman" w:hAnsi="Times New Roman" w:eastAsia="Times New Roman" w:cs="Times New Roman"/>
                <w:color w:val="000000"/>
                <w:kern w:val="0"/>
                <w:sz w:val="28"/>
                <w:szCs w:val="28"/>
                <w:lang w:eastAsia="ru-RU"/>
                <w14:ligatures w14:val="none"/>
              </w:rPr>
            </w:pPr>
            <w:r>
              <w:rPr>
                <w:rFonts w:eastAsia="Times New Roman" w:cs="Times New Roman" w:ascii="Times New Roman" w:hAnsi="Times New Roman"/>
                <w:color w:val="000000"/>
                <w:kern w:val="0"/>
                <w:sz w:val="24"/>
                <w:szCs w:val="28"/>
                <w:lang w:eastAsia="ru-RU"/>
                <w14:ligatures w14:val="none"/>
              </w:rPr>
              <w:t>184,0</w:t>
            </w:r>
          </w:p>
        </w:tc>
      </w:tr>
      <w:tr>
        <w:trPr>
          <w:trHeight w:val="347" w:hRule="atLeast"/>
        </w:trPr>
        <w:tc>
          <w:tcPr>
            <w:tcW w:w="212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ind w:hanging="0"/>
              <w:jc w:val="center"/>
              <w:rPr>
                <w:rFonts w:ascii="Times New Roman" w:hAnsi="Times New Roman" w:eastAsia="Times New Roman" w:cs="Times New Roman"/>
                <w:color w:val="000000"/>
                <w:kern w:val="0"/>
                <w:sz w:val="28"/>
                <w:szCs w:val="28"/>
                <w:lang w:eastAsia="ru-RU"/>
                <w14:ligatures w14:val="none"/>
              </w:rPr>
            </w:pPr>
            <w:r>
              <w:rPr>
                <w:rFonts w:eastAsia="Times New Roman" w:cs="Times New Roman" w:ascii="Times New Roman" w:hAnsi="Times New Roman"/>
                <w:color w:val="000000"/>
                <w:kern w:val="0"/>
                <w:sz w:val="24"/>
                <w:szCs w:val="28"/>
                <w:lang w:eastAsia="ru-RU"/>
                <w14:ligatures w14:val="none"/>
              </w:rPr>
              <w:t>Иркутск</w:t>
            </w:r>
          </w:p>
        </w:tc>
        <w:tc>
          <w:tcPr>
            <w:tcW w:w="161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ind w:hanging="0"/>
              <w:jc w:val="center"/>
              <w:rPr>
                <w:rFonts w:ascii="Times New Roman" w:hAnsi="Times New Roman" w:eastAsia="Times New Roman" w:cs="Times New Roman"/>
                <w:color w:val="000000"/>
                <w:kern w:val="0"/>
                <w:sz w:val="28"/>
                <w:szCs w:val="28"/>
                <w:lang w:eastAsia="ru-RU"/>
                <w14:ligatures w14:val="none"/>
              </w:rPr>
            </w:pPr>
            <w:r>
              <w:rPr>
                <w:rFonts w:eastAsia="Times New Roman" w:cs="Times New Roman" w:ascii="Times New Roman" w:hAnsi="Times New Roman"/>
                <w:color w:val="000000"/>
                <w:kern w:val="0"/>
                <w:sz w:val="24"/>
                <w:szCs w:val="28"/>
                <w:lang w:eastAsia="ru-RU"/>
                <w14:ligatures w14:val="none"/>
              </w:rPr>
              <w:t>Посадка</w:t>
            </w:r>
          </w:p>
        </w:tc>
        <w:tc>
          <w:tcPr>
            <w:tcW w:w="25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ind w:hanging="0"/>
              <w:jc w:val="center"/>
              <w:rPr>
                <w:rFonts w:ascii="Times New Roman" w:hAnsi="Times New Roman" w:eastAsia="Times New Roman" w:cs="Times New Roman"/>
                <w:color w:val="000000"/>
                <w:kern w:val="0"/>
                <w:sz w:val="28"/>
                <w:szCs w:val="28"/>
                <w:lang w:eastAsia="ru-RU"/>
                <w14:ligatures w14:val="none"/>
              </w:rPr>
            </w:pPr>
            <w:r>
              <w:rPr>
                <w:rFonts w:eastAsia="Times New Roman" w:cs="Times New Roman" w:ascii="Times New Roman" w:hAnsi="Times New Roman"/>
                <w:color w:val="000000"/>
                <w:kern w:val="0"/>
                <w:sz w:val="24"/>
                <w:szCs w:val="28"/>
                <w:lang w:eastAsia="ru-RU"/>
                <w14:ligatures w14:val="none"/>
              </w:rPr>
              <w:t>1575</w:t>
            </w:r>
          </w:p>
        </w:tc>
        <w:tc>
          <w:tcPr>
            <w:tcW w:w="375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ind w:hanging="0"/>
              <w:jc w:val="center"/>
              <w:rPr>
                <w:rFonts w:ascii="Times New Roman" w:hAnsi="Times New Roman" w:eastAsia="Times New Roman" w:cs="Times New Roman"/>
                <w:color w:val="000000"/>
                <w:kern w:val="0"/>
                <w:sz w:val="28"/>
                <w:szCs w:val="28"/>
                <w:lang w:eastAsia="ru-RU"/>
                <w14:ligatures w14:val="none"/>
              </w:rPr>
            </w:pPr>
            <w:r>
              <w:rPr>
                <w:rFonts w:eastAsia="Times New Roman" w:cs="Times New Roman" w:ascii="Times New Roman" w:hAnsi="Times New Roman"/>
                <w:color w:val="000000"/>
                <w:kern w:val="0"/>
                <w:sz w:val="24"/>
                <w:szCs w:val="28"/>
                <w:lang w:eastAsia="ru-RU"/>
                <w14:ligatures w14:val="none"/>
              </w:rPr>
              <w:t>11,0</w:t>
            </w:r>
          </w:p>
        </w:tc>
      </w:tr>
      <w:tr>
        <w:trPr>
          <w:trHeight w:val="347" w:hRule="atLeast"/>
        </w:trPr>
        <w:tc>
          <w:tcPr>
            <w:tcW w:w="212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ind w:hanging="0"/>
              <w:jc w:val="center"/>
              <w:rPr>
                <w:rFonts w:ascii="Times New Roman" w:hAnsi="Times New Roman" w:eastAsia="Times New Roman" w:cs="Times New Roman"/>
                <w:color w:val="000000"/>
                <w:kern w:val="0"/>
                <w:sz w:val="28"/>
                <w:szCs w:val="28"/>
                <w:lang w:eastAsia="ru-RU"/>
                <w14:ligatures w14:val="none"/>
              </w:rPr>
            </w:pPr>
            <w:r>
              <w:rPr>
                <w:rFonts w:eastAsia="Times New Roman" w:cs="Times New Roman" w:ascii="Times New Roman" w:hAnsi="Times New Roman"/>
                <w:color w:val="000000"/>
                <w:kern w:val="0"/>
                <w:sz w:val="24"/>
                <w:szCs w:val="28"/>
                <w:lang w:eastAsia="ru-RU"/>
                <w14:ligatures w14:val="none"/>
              </w:rPr>
              <w:t>Екатеринбург</w:t>
            </w:r>
          </w:p>
        </w:tc>
        <w:tc>
          <w:tcPr>
            <w:tcW w:w="161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ind w:hanging="0"/>
              <w:jc w:val="center"/>
              <w:rPr>
                <w:rFonts w:ascii="Times New Roman" w:hAnsi="Times New Roman" w:eastAsia="Times New Roman" w:cs="Times New Roman"/>
                <w:color w:val="000000"/>
                <w:kern w:val="0"/>
                <w:sz w:val="28"/>
                <w:szCs w:val="28"/>
                <w:lang w:eastAsia="ru-RU"/>
                <w14:ligatures w14:val="none"/>
              </w:rPr>
            </w:pPr>
            <w:r>
              <w:rPr>
                <w:rFonts w:eastAsia="Times New Roman" w:cs="Times New Roman" w:ascii="Times New Roman" w:hAnsi="Times New Roman"/>
                <w:color w:val="000000"/>
                <w:kern w:val="0"/>
                <w:sz w:val="24"/>
                <w:szCs w:val="28"/>
                <w:lang w:eastAsia="ru-RU"/>
                <w14:ligatures w14:val="none"/>
              </w:rPr>
              <w:t>Взлёт</w:t>
            </w:r>
          </w:p>
        </w:tc>
        <w:tc>
          <w:tcPr>
            <w:tcW w:w="25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ind w:hanging="0"/>
              <w:jc w:val="center"/>
              <w:rPr>
                <w:rFonts w:ascii="Times New Roman" w:hAnsi="Times New Roman" w:eastAsia="Times New Roman" w:cs="Times New Roman"/>
                <w:color w:val="000000"/>
                <w:kern w:val="0"/>
                <w:sz w:val="28"/>
                <w:szCs w:val="28"/>
                <w:lang w:eastAsia="ru-RU"/>
                <w14:ligatures w14:val="none"/>
              </w:rPr>
            </w:pPr>
            <w:r>
              <w:rPr>
                <w:rFonts w:eastAsia="Times New Roman" w:cs="Times New Roman" w:ascii="Times New Roman" w:hAnsi="Times New Roman"/>
                <w:color w:val="000000"/>
                <w:kern w:val="0"/>
                <w:sz w:val="24"/>
                <w:szCs w:val="28"/>
                <w:lang w:eastAsia="ru-RU"/>
                <w14:ligatures w14:val="none"/>
              </w:rPr>
              <w:t>740</w:t>
            </w:r>
          </w:p>
        </w:tc>
        <w:tc>
          <w:tcPr>
            <w:tcW w:w="375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ind w:hanging="0"/>
              <w:jc w:val="center"/>
              <w:rPr>
                <w:rFonts w:ascii="Times New Roman" w:hAnsi="Times New Roman" w:eastAsia="Times New Roman" w:cs="Times New Roman"/>
                <w:color w:val="000000"/>
                <w:kern w:val="0"/>
                <w:sz w:val="28"/>
                <w:szCs w:val="28"/>
                <w:lang w:eastAsia="ru-RU"/>
                <w14:ligatures w14:val="none"/>
              </w:rPr>
            </w:pPr>
            <w:r>
              <w:rPr>
                <w:rFonts w:eastAsia="Times New Roman" w:cs="Times New Roman" w:ascii="Times New Roman" w:hAnsi="Times New Roman"/>
                <w:color w:val="000000"/>
                <w:kern w:val="0"/>
                <w:sz w:val="24"/>
                <w:szCs w:val="28"/>
                <w:lang w:eastAsia="ru-RU"/>
                <w14:ligatures w14:val="none"/>
              </w:rPr>
              <w:t>7,8</w:t>
            </w:r>
          </w:p>
        </w:tc>
      </w:tr>
      <w:tr>
        <w:trPr>
          <w:trHeight w:val="698" w:hRule="atLeast"/>
        </w:trPr>
        <w:tc>
          <w:tcPr>
            <w:tcW w:w="212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ind w:hanging="0"/>
              <w:jc w:val="center"/>
              <w:rPr>
                <w:rFonts w:ascii="Times New Roman" w:hAnsi="Times New Roman" w:eastAsia="Times New Roman" w:cs="Times New Roman"/>
                <w:color w:val="000000"/>
                <w:kern w:val="0"/>
                <w:sz w:val="28"/>
                <w:szCs w:val="28"/>
                <w:lang w:eastAsia="ru-RU"/>
                <w14:ligatures w14:val="none"/>
              </w:rPr>
            </w:pPr>
            <w:r>
              <w:rPr>
                <w:rFonts w:eastAsia="Times New Roman" w:cs="Times New Roman" w:ascii="Times New Roman" w:hAnsi="Times New Roman"/>
                <w:color w:val="000000"/>
                <w:kern w:val="0"/>
                <w:sz w:val="24"/>
                <w:szCs w:val="28"/>
                <w:lang w:eastAsia="ru-RU"/>
                <w14:ligatures w14:val="none"/>
              </w:rPr>
              <w:t>т. NAPOR</w:t>
              <w:br/>
            </w:r>
            <w:commentRangeStart w:id="2"/>
            <w:r>
              <w:rPr>
                <w:rFonts w:eastAsia="Times New Roman" w:cs="Times New Roman" w:ascii="Times New Roman" w:hAnsi="Times New Roman"/>
                <w:color w:val="000000"/>
                <w:kern w:val="0"/>
                <w:sz w:val="24"/>
                <w:szCs w:val="28"/>
                <w:lang w:eastAsia="ru-RU"/>
                <w14:ligatures w14:val="none"/>
              </w:rPr>
              <w:t>55,75803</w:t>
              <w:br/>
              <w:t>65,95093</w:t>
            </w:r>
            <w:commentRangeEnd w:id="2"/>
            <w:r>
              <w:commentReference w:id="2"/>
            </w:r>
            <w:r>
              <w:rPr>
                <w:rFonts w:eastAsia="Times New Roman" w:cs="Times New Roman" w:ascii="Times New Roman" w:hAnsi="Times New Roman"/>
                <w:color w:val="000000"/>
                <w:kern w:val="0"/>
                <w:sz w:val="24"/>
                <w:szCs w:val="28"/>
                <w:lang w:eastAsia="ru-RU"/>
                <w14:ligatures w14:val="none"/>
              </w:rPr>
            </w:r>
          </w:p>
        </w:tc>
        <w:tc>
          <w:tcPr>
            <w:tcW w:w="161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ind w:hanging="0"/>
              <w:jc w:val="center"/>
              <w:rPr>
                <w:rFonts w:ascii="Times New Roman" w:hAnsi="Times New Roman" w:eastAsia="Times New Roman" w:cs="Times New Roman"/>
                <w:color w:val="000000"/>
                <w:kern w:val="0"/>
                <w:sz w:val="28"/>
                <w:szCs w:val="28"/>
                <w:lang w:eastAsia="ru-RU"/>
                <w14:ligatures w14:val="none"/>
              </w:rPr>
            </w:pPr>
            <w:r>
              <w:rPr>
                <w:rFonts w:eastAsia="Times New Roman" w:cs="Times New Roman" w:ascii="Times New Roman" w:hAnsi="Times New Roman"/>
                <w:color w:val="000000"/>
                <w:kern w:val="0"/>
                <w:sz w:val="24"/>
                <w:szCs w:val="28"/>
                <w:lang w:eastAsia="ru-RU"/>
                <w14:ligatures w14:val="none"/>
              </w:rPr>
              <w:t>Полёт</w:t>
            </w:r>
          </w:p>
        </w:tc>
        <w:tc>
          <w:tcPr>
            <w:tcW w:w="25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ind w:hanging="0"/>
              <w:jc w:val="center"/>
              <w:rPr>
                <w:rFonts w:ascii="Times New Roman" w:hAnsi="Times New Roman" w:eastAsia="Times New Roman" w:cs="Times New Roman"/>
                <w:color w:val="000000"/>
                <w:kern w:val="0"/>
                <w:sz w:val="28"/>
                <w:szCs w:val="28"/>
                <w:lang w:eastAsia="ru-RU"/>
                <w14:ligatures w14:val="none"/>
              </w:rPr>
            </w:pPr>
            <w:r>
              <w:rPr>
                <w:rFonts w:eastAsia="Times New Roman" w:cs="Times New Roman" w:ascii="Times New Roman" w:hAnsi="Times New Roman"/>
                <w:color w:val="000000"/>
                <w:kern w:val="0"/>
                <w:sz w:val="24"/>
                <w:szCs w:val="28"/>
                <w:lang w:eastAsia="ru-RU"/>
                <w14:ligatures w14:val="none"/>
              </w:rPr>
              <w:t>33055</w:t>
            </w:r>
          </w:p>
        </w:tc>
        <w:tc>
          <w:tcPr>
            <w:tcW w:w="375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ind w:hanging="0"/>
              <w:jc w:val="center"/>
              <w:rPr>
                <w:rFonts w:ascii="Times New Roman" w:hAnsi="Times New Roman" w:eastAsia="Times New Roman" w:cs="Times New Roman"/>
                <w:color w:val="000000"/>
                <w:kern w:val="0"/>
                <w:sz w:val="28"/>
                <w:szCs w:val="28"/>
                <w:lang w:eastAsia="ru-RU"/>
                <w14:ligatures w14:val="none"/>
              </w:rPr>
            </w:pPr>
            <w:r>
              <w:rPr>
                <w:rFonts w:eastAsia="Times New Roman" w:cs="Times New Roman" w:ascii="Times New Roman" w:hAnsi="Times New Roman"/>
                <w:color w:val="000000"/>
                <w:kern w:val="0"/>
                <w:sz w:val="24"/>
                <w:szCs w:val="28"/>
                <w:lang w:eastAsia="ru-RU"/>
                <w14:ligatures w14:val="none"/>
              </w:rPr>
              <w:t>170,0</w:t>
            </w:r>
          </w:p>
        </w:tc>
      </w:tr>
      <w:tr>
        <w:trPr>
          <w:trHeight w:val="347" w:hRule="atLeast"/>
        </w:trPr>
        <w:tc>
          <w:tcPr>
            <w:tcW w:w="212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ind w:hanging="0"/>
              <w:jc w:val="center"/>
              <w:rPr>
                <w:rFonts w:ascii="Times New Roman" w:hAnsi="Times New Roman" w:eastAsia="Times New Roman" w:cs="Times New Roman"/>
                <w:color w:val="000000"/>
                <w:kern w:val="0"/>
                <w:sz w:val="28"/>
                <w:szCs w:val="28"/>
                <w:lang w:eastAsia="ru-RU"/>
                <w14:ligatures w14:val="none"/>
              </w:rPr>
            </w:pPr>
            <w:r>
              <w:rPr>
                <w:rFonts w:eastAsia="Times New Roman" w:cs="Times New Roman" w:ascii="Times New Roman" w:hAnsi="Times New Roman"/>
                <w:color w:val="000000"/>
                <w:kern w:val="0"/>
                <w:sz w:val="24"/>
                <w:szCs w:val="28"/>
                <w:lang w:eastAsia="ru-RU"/>
                <w14:ligatures w14:val="none"/>
              </w:rPr>
              <w:t>Чита</w:t>
            </w:r>
          </w:p>
        </w:tc>
        <w:tc>
          <w:tcPr>
            <w:tcW w:w="161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ind w:hanging="0"/>
              <w:jc w:val="center"/>
              <w:rPr>
                <w:rFonts w:ascii="Times New Roman" w:hAnsi="Times New Roman" w:eastAsia="Times New Roman" w:cs="Times New Roman"/>
                <w:color w:val="000000"/>
                <w:kern w:val="0"/>
                <w:sz w:val="28"/>
                <w:szCs w:val="28"/>
                <w:lang w:eastAsia="ru-RU"/>
                <w14:ligatures w14:val="none"/>
              </w:rPr>
            </w:pPr>
            <w:r>
              <w:rPr>
                <w:rFonts w:eastAsia="Times New Roman" w:cs="Times New Roman" w:ascii="Times New Roman" w:hAnsi="Times New Roman"/>
                <w:color w:val="000000"/>
                <w:kern w:val="0"/>
                <w:sz w:val="24"/>
                <w:szCs w:val="28"/>
                <w:lang w:eastAsia="ru-RU"/>
                <w14:ligatures w14:val="none"/>
              </w:rPr>
              <w:t>Посадка</w:t>
            </w:r>
          </w:p>
        </w:tc>
        <w:tc>
          <w:tcPr>
            <w:tcW w:w="25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ind w:hanging="0"/>
              <w:jc w:val="center"/>
              <w:rPr>
                <w:rFonts w:ascii="Times New Roman" w:hAnsi="Times New Roman" w:eastAsia="Times New Roman" w:cs="Times New Roman"/>
                <w:color w:val="000000"/>
                <w:kern w:val="0"/>
                <w:sz w:val="28"/>
                <w:szCs w:val="28"/>
                <w:lang w:eastAsia="ru-RU"/>
                <w14:ligatures w14:val="none"/>
              </w:rPr>
            </w:pPr>
            <w:r>
              <w:rPr>
                <w:rFonts w:eastAsia="Times New Roman" w:cs="Times New Roman" w:ascii="Times New Roman" w:hAnsi="Times New Roman"/>
                <w:color w:val="000000"/>
                <w:kern w:val="0"/>
                <w:sz w:val="24"/>
                <w:szCs w:val="28"/>
                <w:lang w:eastAsia="ru-RU"/>
                <w14:ligatures w14:val="none"/>
              </w:rPr>
              <w:t>2220</w:t>
            </w:r>
          </w:p>
        </w:tc>
        <w:tc>
          <w:tcPr>
            <w:tcW w:w="375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ind w:hanging="0"/>
              <w:jc w:val="center"/>
              <w:rPr>
                <w:rFonts w:ascii="Times New Roman" w:hAnsi="Times New Roman" w:eastAsia="Times New Roman" w:cs="Times New Roman"/>
                <w:color w:val="000000"/>
                <w:kern w:val="0"/>
                <w:sz w:val="28"/>
                <w:szCs w:val="28"/>
                <w:lang w:eastAsia="ru-RU"/>
                <w14:ligatures w14:val="none"/>
              </w:rPr>
            </w:pPr>
            <w:r>
              <w:rPr>
                <w:rFonts w:eastAsia="Times New Roman" w:cs="Times New Roman" w:ascii="Times New Roman" w:hAnsi="Times New Roman"/>
                <w:color w:val="000000"/>
                <w:kern w:val="0"/>
                <w:sz w:val="24"/>
                <w:szCs w:val="28"/>
                <w:lang w:eastAsia="ru-RU"/>
                <w14:ligatures w14:val="none"/>
              </w:rPr>
              <w:t>15,0</w:t>
            </w:r>
          </w:p>
        </w:tc>
      </w:tr>
    </w:tbl>
    <w:p>
      <w:pPr>
        <w:pStyle w:val="Normal"/>
        <w:spacing w:lineRule="auto" w:line="240" w:before="0" w:after="0"/>
        <w:ind w:firstLine="709"/>
        <w:jc w:val="both"/>
        <w:rPr>
          <w:rFonts w:ascii="Times New Roman" w:hAnsi="Times New Roman" w:cs="Times New Roman"/>
          <w:sz w:val="28"/>
          <w:szCs w:val="28"/>
        </w:rPr>
      </w:pPr>
      <w:r>
        <w:rPr>
          <w:rFonts w:cs="Times New Roman" w:ascii="Times New Roman" w:hAnsi="Times New Roman"/>
          <w:sz w:val="28"/>
          <w:szCs w:val="28"/>
        </w:rPr>
        <w:t>На эшелоне прибор показывал в 11–22 раза (в среднем примерно в 16 раз) больше, чем на земле (рис. 1). Для оценки годовой дозы такие наблюдения дополняют расчётом: счётчик Гейгера рассчитан в основном на гамма- и бета-излучение и практически не регистрирует нейтроны, а на высоте именно они создают значительную часть дозы [1]. Поэтому годовую дозу экипажа рассчитывают по фактическим маршрутам, высотам и датам полётов с помощью специальных программ, например CARI-7, или по данным отечественной модели RUSCOSMICS Полярного геофизического института [2]. Отсюда и возник вопрос нашей работы: кто в России обязан учитывать эту дозу и какими нормами это закреплено.</w:t>
      </w:r>
    </w:p>
    <w:p>
      <w:pPr>
        <w:pStyle w:val="Normal"/>
        <w:spacing w:lineRule="auto" w:line="240" w:before="0" w:after="0"/>
        <w:ind w:firstLine="709"/>
        <w:jc w:val="both"/>
        <w:rPr>
          <w:rFonts w:ascii="Times New Roman" w:hAnsi="Times New Roman" w:cs="Times New Roman"/>
          <w:sz w:val="28"/>
          <w:szCs w:val="28"/>
        </w:rPr>
      </w:pPr>
      <w:r>
        <w:rPr>
          <w:rFonts w:cs="Times New Roman" w:ascii="Times New Roman" w:hAnsi="Times New Roman"/>
          <w:sz w:val="28"/>
          <w:szCs w:val="28"/>
        </w:rPr>
        <mc:AlternateContent>
          <mc:Choice Requires="wpg">
            <w:drawing>
              <wp:anchor behindDoc="0" distT="0" distB="0" distL="114300" distR="114300" simplePos="0" locked="0" layoutInCell="0" allowOverlap="1" relativeHeight="3" wp14:anchorId="47FA8B29">
                <wp:simplePos x="0" y="0"/>
                <wp:positionH relativeFrom="margin">
                  <wp:align>center</wp:align>
                </wp:positionH>
                <wp:positionV relativeFrom="paragraph">
                  <wp:posOffset>635</wp:posOffset>
                </wp:positionV>
                <wp:extent cx="4878705" cy="5676900"/>
                <wp:effectExtent l="0" t="0" r="0" b="0"/>
                <wp:wrapTopAndBottom/>
                <wp:docPr id="1" name="Группа 1"/>
                <a:graphic xmlns:a="http://schemas.openxmlformats.org/drawingml/2006/main">
                  <a:graphicData uri="http://schemas.microsoft.com/office/word/2010/wordprocessingGroup">
                    <wpg:wgp>
                      <wpg:cNvGrpSpPr/>
                      <wpg:grpSpPr>
                        <a:xfrm>
                          <a:off x="0" y="0"/>
                          <a:ext cx="4878720" cy="5676840"/>
                          <a:chOff x="0" y="0"/>
                          <a:chExt cx="4878720" cy="5676840"/>
                        </a:xfrm>
                      </wpg:grpSpPr>
                      <pic:pic xmlns:pic="http://schemas.openxmlformats.org/drawingml/2006/picture">
                        <pic:nvPicPr>
                          <pic:cNvPr id="2" name="Рисунок 1" descr="Изображение выглядит как электроника, текст, Навигационные приборы, человек&#10;&#10;Содержимое, созданное искусственным интеллектом, может быть неверным."/>
                          <pic:cNvPicPr/>
                        </pic:nvPicPr>
                        <pic:blipFill>
                          <a:blip r:embed="rId2"/>
                          <a:stretch/>
                        </pic:blipFill>
                        <pic:spPr>
                          <a:xfrm>
                            <a:off x="0" y="0"/>
                            <a:ext cx="2241720" cy="2612520"/>
                          </a:xfrm>
                          <a:prstGeom prst="rect">
                            <a:avLst/>
                          </a:prstGeom>
                          <a:ln w="0">
                            <a:noFill/>
                          </a:ln>
                        </pic:spPr>
                      </pic:pic>
                      <pic:pic xmlns:pic="http://schemas.openxmlformats.org/drawingml/2006/picture">
                        <pic:nvPicPr>
                          <pic:cNvPr id="3" name="Рисунок 1" descr="Изображение выглядит как текст, электроника, снимок экрана, компьютер&#10;&#10;Содержимое, созданное искусственным интеллектом, может быть неверным."/>
                          <pic:cNvPicPr/>
                        </pic:nvPicPr>
                        <pic:blipFill>
                          <a:blip r:embed="rId3"/>
                          <a:srcRect l="0" t="0" r="10039" b="0"/>
                          <a:stretch/>
                        </pic:blipFill>
                        <pic:spPr>
                          <a:xfrm>
                            <a:off x="2235240" y="0"/>
                            <a:ext cx="2635920" cy="1920240"/>
                          </a:xfrm>
                          <a:prstGeom prst="rect">
                            <a:avLst/>
                          </a:prstGeom>
                          <a:ln w="0">
                            <a:noFill/>
                          </a:ln>
                        </pic:spPr>
                      </pic:pic>
                      <pic:pic xmlns:pic="http://schemas.openxmlformats.org/drawingml/2006/picture">
                        <pic:nvPicPr>
                          <pic:cNvPr id="4" name="Рисунок 1" descr="Изображение выглядит как текст, электроника, Электронная техника, схема&#10;&#10;Содержимое, созданное искусственным интеллектом, может быть неверным."/>
                          <pic:cNvPicPr/>
                        </pic:nvPicPr>
                        <pic:blipFill>
                          <a:blip r:embed="rId4"/>
                          <a:stretch/>
                        </pic:blipFill>
                        <pic:spPr>
                          <a:xfrm>
                            <a:off x="14760" y="2604600"/>
                            <a:ext cx="2635920" cy="3072240"/>
                          </a:xfrm>
                          <a:prstGeom prst="rect">
                            <a:avLst/>
                          </a:prstGeom>
                          <a:ln w="0">
                            <a:noFill/>
                          </a:ln>
                        </pic:spPr>
                      </pic:pic>
                      <pic:pic xmlns:pic="http://schemas.openxmlformats.org/drawingml/2006/picture">
                        <pic:nvPicPr>
                          <pic:cNvPr id="5" name="Рисунок 1" descr=""/>
                          <pic:cNvPicPr/>
                        </pic:nvPicPr>
                        <pic:blipFill>
                          <a:blip r:embed="rId5"/>
                          <a:stretch/>
                        </pic:blipFill>
                        <pic:spPr>
                          <a:xfrm>
                            <a:off x="2205360" y="1920960"/>
                            <a:ext cx="2666880" cy="1748880"/>
                          </a:xfrm>
                          <a:prstGeom prst="rect">
                            <a:avLst/>
                          </a:prstGeom>
                          <a:ln w="0">
                            <a:noFill/>
                          </a:ln>
                        </pic:spPr>
                      </pic:pic>
                      <pic:pic xmlns:pic="http://schemas.openxmlformats.org/drawingml/2006/picture">
                        <pic:nvPicPr>
                          <pic:cNvPr id="6" name="Рисунок 1" descr="Изображение выглядит как текст, книга, снимок экрана, Параллельный&#10;&#10;Содержимое, созданное искусственным интеллектом, может быть неверным."/>
                          <pic:cNvPicPr/>
                        </pic:nvPicPr>
                        <pic:blipFill>
                          <a:blip r:embed="rId6"/>
                          <a:srcRect l="0" t="3082" r="0" b="0"/>
                          <a:stretch/>
                        </pic:blipFill>
                        <pic:spPr>
                          <a:xfrm rot="16200000">
                            <a:off x="2395080" y="3188160"/>
                            <a:ext cx="2004120" cy="2962800"/>
                          </a:xfrm>
                          <a:prstGeom prst="rect">
                            <a:avLst/>
                          </a:prstGeom>
                          <a:ln w="0">
                            <a:noFill/>
                          </a:ln>
                        </pic:spPr>
                      </pic:pic>
                    </wpg:wgp>
                  </a:graphicData>
                </a:graphic>
              </wp:anchor>
            </w:drawing>
          </mc:Choice>
          <mc:Fallback>
            <w:pict>
              <v:group id="shape_0" alt="Группа 1" style="position:absolute;margin-left:55.95pt;margin-top:0pt;width:383.65pt;height:484.3pt" coordorigin="1119,0" coordsize="7673,968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Рисунок 1" stroked="f" o:allowincell="f" style="position:absolute;left:1119;top:0;width:3529;height:4113;mso-wrap-style:none;v-text-anchor:middle;mso-position-horizontal:center;mso-position-horizontal-relative:margin" type="_x0000_t75">
                  <v:imagedata r:id="rId7" o:detectmouseclick="t"/>
                  <v:stroke color="#3465a4" joinstyle="round" endcap="flat"/>
                  <w10:wrap type="topAndBottom"/>
                </v:shape>
                <v:shape id="shape_0" ID="Рисунок 1" stroked="f" o:allowincell="f" style="position:absolute;left:4639;top:0;width:4150;height:3023;mso-wrap-style:none;v-text-anchor:middle;mso-position-horizontal:center;mso-position-horizontal-relative:margin" type="_x0000_t75">
                  <v:imagedata r:id="rId8" o:detectmouseclick="t"/>
                  <v:stroke color="#3465a4" joinstyle="round" endcap="flat"/>
                  <w10:wrap type="topAndBottom"/>
                </v:shape>
                <v:shape id="shape_0" ID="Рисунок 1" stroked="f" o:allowincell="f" style="position:absolute;left:1142;top:4102;width:4150;height:4837;mso-wrap-style:none;v-text-anchor:middle;mso-position-horizontal:center;mso-position-horizontal-relative:margin" type="_x0000_t75">
                  <v:imagedata r:id="rId9" o:detectmouseclick="t"/>
                  <v:stroke color="#3465a4" joinstyle="round" endcap="flat"/>
                  <w10:wrap type="topAndBottom"/>
                </v:shape>
                <v:shape id="shape_0" ID="Рисунок 1" stroked="f" o:allowincell="f" style="position:absolute;left:4592;top:3025;width:4199;height:2753;mso-wrap-style:none;v-text-anchor:middle;mso-position-horizontal:center;mso-position-horizontal-relative:margin" type="_x0000_t75">
                  <v:imagedata r:id="rId10" o:detectmouseclick="t"/>
                  <v:stroke color="#3465a4" joinstyle="round" endcap="flat"/>
                  <w10:wrap type="topAndBottom"/>
                </v:shape>
                <v:shape id="shape_0" ID="Рисунок 1" stroked="f" o:allowincell="f" style="position:absolute;left:4891;top:5022;width:3155;height:4665;mso-wrap-style:none;v-text-anchor:middle;rotation:270;mso-position-horizontal:center;mso-position-horizontal-relative:margin" type="_x0000_t75">
                  <v:imagedata r:id="rId11" o:detectmouseclick="t"/>
                  <v:stroke color="#3465a4" joinstyle="round" endcap="flat"/>
                  <w10:wrap type="topAndBottom"/>
                </v:shape>
              </v:group>
            </w:pict>
          </mc:Fallback>
        </mc:AlternateContent>
      </w:r>
    </w:p>
    <w:p>
      <w:pPr>
        <w:pStyle w:val="Normal"/>
        <w:spacing w:lineRule="auto" w:line="240" w:before="0" w:after="0"/>
        <w:ind w:hanging="0"/>
        <w:jc w:val="center"/>
        <w:rPr>
          <w:rFonts w:ascii="Times New Roman" w:hAnsi="Times New Roman" w:cs="Times New Roman"/>
          <w:sz w:val="28"/>
          <w:szCs w:val="28"/>
        </w:rPr>
      </w:pPr>
      <w:r>
        <w:rPr>
          <w:rFonts w:cs="Times New Roman" w:ascii="Times New Roman" w:hAnsi="Times New Roman"/>
          <w:sz w:val="28"/>
          <w:szCs w:val="28"/>
        </w:rPr>
        <w:t>Рис. 1. Регистрация показаний дозиметра перед взлётом в аэропорту Новокузнецк, на эшелоне, после посадки в аэропорту Иркутск; т. NILRA на дисплеях ND и PFD; отрывок из компьютерного плана полёта (CFP) данного рейса.</w:t>
      </w:r>
    </w:p>
    <w:p>
      <w:pPr>
        <w:pStyle w:val="Normal"/>
        <w:spacing w:lineRule="auto" w:line="240" w:before="0" w:after="0"/>
        <w:ind w:firstLine="709"/>
        <w:jc w:val="both"/>
        <w:rPr>
          <w:rFonts w:ascii="Times New Roman" w:hAnsi="Times New Roman" w:cs="Times New Roman"/>
          <w:sz w:val="28"/>
          <w:szCs w:val="28"/>
        </w:rPr>
      </w:pPr>
      <w:r>
        <w:rPr>
          <w:rFonts w:cs="Times New Roman" w:ascii="Times New Roman" w:hAnsi="Times New Roman"/>
          <w:sz w:val="28"/>
          <w:szCs w:val="28"/>
        </w:rPr>
        <w:t>Основу регулирования составляют федеральные законы № 3-ФЗ и № 52-ФЗ [3, 4], а сам предел установлен НРБ-99/2009: по п. 4.1 эффективная доза облучения работника природными источниками в производственных условиях не должна превышать 5 мЗв в год, а п. 4.3 прямо распространяет это правило на экипажи самолётов [5]. Поскольку по ст. 56 Воздушного кодекса РФ экипаж состоит из лётного и кабинного экипажа [6], норма касается и пилотов, и бортпроводников.</w:t>
      </w:r>
    </w:p>
    <w:p>
      <w:pPr>
        <w:pStyle w:val="Normal"/>
        <w:spacing w:lineRule="auto" w:line="240" w:before="0" w:after="0"/>
        <w:ind w:firstLine="709"/>
        <w:jc w:val="both"/>
        <w:rPr>
          <w:rFonts w:ascii="Times New Roman" w:hAnsi="Times New Roman" w:cs="Times New Roman"/>
          <w:sz w:val="28"/>
          <w:szCs w:val="28"/>
        </w:rPr>
      </w:pPr>
      <w:r>
        <w:rPr>
          <w:rFonts w:cs="Times New Roman" w:ascii="Times New Roman" w:hAnsi="Times New Roman"/>
          <w:sz w:val="28"/>
          <w:szCs w:val="28"/>
        </w:rPr>
        <w:t>Ранее облучение экипажей специально регулировали СанПиН 2.5.1.2423-08 и СанПиН 2.6.1.2800-10. Оба документа утратили силу: первый – с 1 января 2021 года [7], второй – с 1 сентября 2025 года, когда вступил в силу СанПиН 2.6.4115-25 [8]. Однако предел 5 мЗв в год по-прежнему установлен НРБ-99/2009, а контроль и учёт индивидуальных доз облучения предусмотрен ст. 18 закона № 3-ФЗ – в рамках единой государственной системы контроля и учёта индивидуальных доз облучения (ЕСКИД) [3].</w:t>
      </w:r>
    </w:p>
    <w:p>
      <w:pPr>
        <w:pStyle w:val="Normal"/>
        <w:spacing w:lineRule="auto" w:line="240" w:before="0" w:after="0"/>
        <w:ind w:firstLine="709"/>
        <w:jc w:val="both"/>
        <w:rPr>
          <w:rFonts w:ascii="Times New Roman" w:hAnsi="Times New Roman" w:cs="Times New Roman"/>
          <w:sz w:val="28"/>
          <w:szCs w:val="28"/>
        </w:rPr>
      </w:pPr>
      <w:r>
        <w:rPr>
          <w:rFonts w:cs="Times New Roman" w:ascii="Times New Roman" w:hAnsi="Times New Roman"/>
          <w:sz w:val="28"/>
          <w:szCs w:val="28"/>
        </w:rPr>
        <w:t>Обязанность обеспечить безопасные условия труда лежит на авиакомпании как работодателе (ст. 214 ТК РФ) [9]. С 1 марта 2025 года действуют особенности специальной оценки условий труда лётных и кабинных экипажей (приказ Минтруда России № 255н), по которым вредные факторы по общему правилу измеряются в ходе контрольного полёта [10]. Но такая оценка характеризует рабочее место, а не дозу, которую конкретный человек набрал за год на разных маршрутах. Общая схема регулирования показана на рис. 2.</w:t>
      </w:r>
    </w:p>
    <w:p>
      <w:pPr>
        <w:pStyle w:val="Normal"/>
        <w:spacing w:lineRule="auto" w:line="240" w:before="0" w:after="0"/>
        <w:ind w:hanging="0"/>
        <w:jc w:val="center"/>
        <w:rPr>
          <w:rFonts w:ascii="Times New Roman" w:hAnsi="Times New Roman" w:cs="Times New Roman"/>
          <w:sz w:val="28"/>
          <w:szCs w:val="28"/>
        </w:rPr>
      </w:pPr>
      <w:r>
        <w:rPr/>
        <w:drawing>
          <wp:inline distT="0" distB="0" distL="0" distR="0">
            <wp:extent cx="5760000" cy="2320879"/>
            <wp:effectExtent l="0" t="0" r="0" b="0"/>
            <wp:docPr id="7" name="Picture 20535742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053574243" descr=""/>
                    <pic:cNvPicPr>
                      <a:picLocks noChangeAspect="1" noChangeArrowheads="1"/>
                    </pic:cNvPicPr>
                  </pic:nvPicPr>
                  <pic:blipFill>
                    <a:blip r:embed="rId12"/>
                    <a:stretch>
                      <a:fillRect/>
                    </a:stretch>
                  </pic:blipFill>
                  <pic:spPr bwMode="auto">
                    <a:xfrm>
                      <a:off x="0" y="0"/>
                      <a:ext cx="5760000" cy="2320879"/>
                    </a:xfrm>
                    <a:prstGeom prst="rect">
                      <a:avLst/>
                    </a:prstGeom>
                  </pic:spPr>
                </pic:pic>
              </a:graphicData>
            </a:graphic>
          </wp:inline>
        </w:drawing>
      </w:r>
    </w:p>
    <w:p>
      <w:pPr>
        <w:pStyle w:val="Normal"/>
        <w:spacing w:lineRule="auto" w:line="240" w:before="0" w:after="0"/>
        <w:ind w:hanging="0"/>
        <w:jc w:val="center"/>
        <w:rPr>
          <w:rFonts w:ascii="Times New Roman" w:hAnsi="Times New Roman" w:cs="Times New Roman"/>
          <w:sz w:val="28"/>
          <w:szCs w:val="28"/>
        </w:rPr>
      </w:pPr>
      <w:r>
        <w:rPr>
          <w:rFonts w:cs="Times New Roman" w:ascii="Times New Roman" w:hAnsi="Times New Roman"/>
          <w:sz w:val="28"/>
          <w:szCs w:val="28"/>
        </w:rPr>
        <w:t>Рис. 2. Система правового регулирования радиационной безопасности членов экипажей воздушных судов в Российской Федерации (составлено нами).</w:t>
      </w:r>
      <w:r>
        <w:rPr>
          <w:rFonts w:cs="Times New Roman" w:ascii="Times New Roman" w:hAnsi="Times New Roman"/>
          <w:sz w:val="28"/>
          <w:szCs w:val="28"/>
        </w:rPr>
      </w:r>
    </w:p>
    <w:p>
      <w:pPr>
        <w:pStyle w:val="Normal"/>
        <w:spacing w:lineRule="auto" w:line="240" w:before="0" w:after="0"/>
        <w:ind w:firstLine="709"/>
        <w:jc w:val="both"/>
        <w:rPr>
          <w:rFonts w:ascii="Times New Roman" w:hAnsi="Times New Roman" w:cs="Times New Roman"/>
          <w:sz w:val="28"/>
          <w:szCs w:val="28"/>
        </w:rPr>
      </w:pPr>
      <w:commentRangeStart w:id="4"/>
      <w:r>
        <w:rPr>
          <w:rFonts w:cs="Times New Roman" w:ascii="Times New Roman" w:hAnsi="Times New Roman"/>
          <w:sz w:val="28"/>
          <w:szCs w:val="28"/>
        </w:rPr>
        <w:t xml:space="preserve">С 1 марта 2026 года вместо приказа Минтранса № 139 действует приказ № 381 [11]: полётное время не может превышать 800 часов в год, а с письменного согласия работника – 900 часов. Оценим дозу при таком налёте. По модельным расчётам отечественных исследователей, за месяц с налётом 90 часов лётный состав получает около 362 мкЗв [2], то есть в среднем около 4 мкЗв за час полёта. Тогда при 900 часах годовая доза составит </w:t>
      </w:r>
      <w:commentRangeEnd w:id="4"/>
      <w:r>
        <w:commentReference w:id="4"/>
      </w:r>
      <w:r>
        <w:rPr>
          <w:rFonts w:cs="Times New Roman" w:ascii="Times New Roman" w:hAnsi="Times New Roman"/>
          <w:sz w:val="28"/>
          <w:szCs w:val="28"/>
        </w:rPr>
        <w:t>900 ч × 0,004 мЗв/ч ≈ 3,6 мЗв (в работе [2] – 3,62 мЗв за 10 месяцев), то есть более 70 % предела. На высокоширотных маршрутах и при солнечных вспышках мощность дозы выше.</w:t>
      </w:r>
    </w:p>
    <w:p>
      <w:pPr>
        <w:pStyle w:val="Normal"/>
        <w:spacing w:lineRule="auto" w:line="240" w:before="0" w:after="0"/>
        <w:ind w:firstLine="709"/>
        <w:jc w:val="both"/>
        <w:rPr>
          <w:rFonts w:ascii="Times New Roman" w:hAnsi="Times New Roman" w:cs="Times New Roman"/>
          <w:sz w:val="28"/>
          <w:szCs w:val="28"/>
        </w:rPr>
      </w:pPr>
      <w:commentRangeStart w:id="5"/>
      <w:r>
        <w:rPr>
          <w:rFonts w:cs="Times New Roman" w:ascii="Times New Roman" w:hAnsi="Times New Roman"/>
          <w:sz w:val="28"/>
          <w:szCs w:val="28"/>
        </w:rPr>
        <w:t xml:space="preserve">Для сравнения, МКРЗ рекомендует для экипажей референтный уровень 5–10 мЗв в год [1], а Директива 2013/59/Евратом при вероятной дозе более 1 мЗв в год </w:t>
      </w:r>
      <w:commentRangeEnd w:id="5"/>
      <w:r>
        <w:commentReference w:id="5"/>
      </w:r>
      <w:r>
        <w:rPr>
          <w:rFonts w:cs="Times New Roman" w:ascii="Times New Roman" w:hAnsi="Times New Roman"/>
          <w:sz w:val="28"/>
          <w:szCs w:val="28"/>
        </w:rPr>
        <w:t>обязывает государства – члены ЕС обеспечить, чтобы авиакомпании оценивали облучение экипажа, учитывали его при составлении графиков и информировали работников о дозах [12, ст. 35, п. 3].</w:t>
      </w:r>
    </w:p>
    <w:p>
      <w:pPr>
        <w:pStyle w:val="Normal"/>
        <w:spacing w:lineRule="auto" w:line="240" w:before="0" w:after="0"/>
        <w:ind w:firstLine="709"/>
        <w:jc w:val="both"/>
        <w:rPr>
          <w:rFonts w:ascii="Times New Roman" w:hAnsi="Times New Roman" w:cs="Times New Roman"/>
          <w:sz w:val="28"/>
          <w:szCs w:val="28"/>
        </w:rPr>
      </w:pPr>
      <w:r>
        <w:rPr>
          <w:rFonts w:cs="Times New Roman" w:ascii="Times New Roman" w:hAnsi="Times New Roman"/>
          <w:sz w:val="28"/>
          <w:szCs w:val="28"/>
        </w:rPr>
        <w:t>Таким образом, правовая основа защиты экипажей сформирована: предел установлен и действует. Следующим шагом её развития мы видим закрепление единого порядка расчёта индивидуальной дозы каждого члена экипажа по всем рейсам – такого специального порядка в рассмотренных нами актах нет, тогда как в праве Европейского союза он уже действует [12]. Для этого, на наш взгляд, необходимо: закрепить в санитарных правилах обязанность эксплуатанта при вероятной дозе более 1 мЗв в год рассчитывать и учитывать индивидуальную дозу члена экипажа и установить контрольный уровень ниже предела 5 мЗв; утвердить методические указания по расчёту дозы по фактическим маршрутам, эшелонам и времени полёта; дополнить формы ЕСКИД дозами членов экипажей и ежегодно сообщать работнику его дозу; учитывать дозу при составлении графиков, а согласие на налёт до 900 ч получать только после сообщения работнику его дозы (приказ Минтранса № 381, ст. 329 ТК РФ); после уведомления о беременности предлагать перевод на наземную работу или на рейсы, где доза плоду не превысит 1 мЗв.</w:t>
      </w:r>
    </w:p>
    <w:p>
      <w:pPr>
        <w:pStyle w:val="Normal"/>
        <w:spacing w:lineRule="auto" w:line="240" w:before="0" w:after="0"/>
        <w:ind w:firstLine="709"/>
        <w:jc w:val="both"/>
        <w:rPr>
          <w:rFonts w:ascii="Times New Roman" w:hAnsi="Times New Roman" w:cs="Times New Roman"/>
          <w:sz w:val="28"/>
          <w:szCs w:val="28"/>
        </w:rPr>
      </w:pPr>
      <w:r>
        <w:rPr>
          <w:rFonts w:cs="Times New Roman" w:ascii="Times New Roman" w:hAnsi="Times New Roman"/>
          <w:sz w:val="28"/>
          <w:szCs w:val="28"/>
        </w:rPr>
        <w:t>В заключение сформулируем обобщающие выводы:</w:t>
      </w:r>
    </w:p>
    <w:p>
      <w:pPr>
        <w:pStyle w:val="Normal"/>
        <w:spacing w:lineRule="auto" w:line="240" w:before="0" w:after="0"/>
        <w:ind w:firstLine="709"/>
        <w:jc w:val="both"/>
        <w:rPr>
          <w:rFonts w:ascii="Times New Roman" w:hAnsi="Times New Roman" w:cs="Times New Roman"/>
          <w:sz w:val="28"/>
          <w:szCs w:val="28"/>
        </w:rPr>
      </w:pPr>
      <w:r>
        <w:rPr>
          <w:rFonts w:ascii="Times New Roman" w:hAnsi="Times New Roman"/>
          <w:b w:val="false"/>
          <w:i w:val="false"/>
          <w:sz w:val="28"/>
        </w:rPr>
        <w:t>1) Облучение экипажей в Российской Федерации нормируется: предел 5 мЗв в год по пп. 4.1 и 4.3 НРБ-99/2009 сохранился после отмены специальных санитарных правил.</w:t>
      </w:r>
    </w:p>
    <w:p>
      <w:pPr>
        <w:pStyle w:val="Normal"/>
        <w:spacing w:lineRule="auto" w:line="240" w:before="0" w:after="0"/>
        <w:ind w:firstLine="709"/>
        <w:jc w:val="both"/>
        <w:rPr>
          <w:rFonts w:ascii="Times New Roman" w:hAnsi="Times New Roman" w:cs="Times New Roman"/>
          <w:sz w:val="28"/>
          <w:szCs w:val="28"/>
        </w:rPr>
      </w:pPr>
      <w:r>
        <w:rPr>
          <w:rFonts w:ascii="Times New Roman" w:hAnsi="Times New Roman"/>
          <w:b w:val="false"/>
          <w:i w:val="false"/>
          <w:sz w:val="28"/>
        </w:rPr>
        <w:t>2) Специальная оценка условий труда и ограничение налёта не заменяют индивидуального учёта дозы: по нашей оценке, при налёте 900 часов доза может превышать 70 % предела.</w:t>
      </w:r>
    </w:p>
    <w:p>
      <w:pPr>
        <w:pStyle w:val="Normal"/>
        <w:spacing w:lineRule="auto" w:line="240" w:before="0" w:after="0"/>
        <w:ind w:firstLine="709"/>
        <w:jc w:val="both"/>
        <w:rPr>
          <w:rFonts w:ascii="Times New Roman" w:hAnsi="Times New Roman" w:cs="Times New Roman"/>
          <w:sz w:val="28"/>
          <w:szCs w:val="28"/>
        </w:rPr>
      </w:pPr>
      <w:r>
        <w:rPr>
          <w:rFonts w:ascii="Times New Roman" w:hAnsi="Times New Roman"/>
          <w:b w:val="false"/>
          <w:i w:val="false"/>
          <w:sz w:val="28"/>
        </w:rPr>
        <w:t>3) Наиболее целесообразным мы считаем закрепление порядка расчёта индивидуальных доз по фактическим рейсам, информирования работников и учёта доз при составлении графиков, как это сделано в праве Европейского союза.</w:t>
      </w:r>
    </w:p>
    <w:p>
      <w:pPr>
        <w:pStyle w:val="Normal"/>
        <w:spacing w:lineRule="auto" w:line="240" w:before="0" w:after="0"/>
        <w:ind w:firstLine="709"/>
        <w:jc w:val="both"/>
        <w:rPr/>
      </w:pPr>
      <w:r>
        <w:rPr/>
      </w:r>
    </w:p>
    <w:p>
      <w:pPr>
        <w:pStyle w:val="Normal"/>
        <w:spacing w:lineRule="auto" w:line="240" w:before="0" w:after="0"/>
        <w:ind w:hanging="0"/>
        <w:jc w:val="center"/>
        <w:rPr>
          <w:rFonts w:ascii="Times New Roman" w:hAnsi="Times New Roman" w:cs="Times New Roman"/>
          <w:b/>
          <w:bCs/>
          <w:sz w:val="28"/>
          <w:szCs w:val="28"/>
        </w:rPr>
      </w:pPr>
      <w:r>
        <w:rPr>
          <w:rFonts w:ascii="Times New Roman" w:hAnsi="Times New Roman"/>
          <w:b/>
          <w:i w:val="false"/>
          <w:sz w:val="28"/>
        </w:rPr>
        <w:t>Библиографический список</w:t>
      </w:r>
    </w:p>
    <w:p>
      <w:pPr>
        <w:pStyle w:val="Normal"/>
        <w:spacing w:lineRule="auto" w:line="240" w:before="0" w:after="0"/>
        <w:ind w:hanging="0"/>
        <w:jc w:val="center"/>
        <w:rPr>
          <w:rFonts w:ascii="Times New Roman" w:hAnsi="Times New Roman" w:cs="Times New Roman"/>
          <w:b/>
          <w:bCs/>
          <w:sz w:val="28"/>
          <w:szCs w:val="28"/>
        </w:rPr>
      </w:pPr>
      <w:r>
        <w:rPr>
          <w:rFonts w:cs="Times New Roman" w:ascii="Times New Roman" w:hAnsi="Times New Roman"/>
          <w:b/>
          <w:bCs/>
          <w:sz w:val="28"/>
          <w:szCs w:val="28"/>
        </w:rPr>
      </w:r>
    </w:p>
    <w:p>
      <w:pPr>
        <w:pStyle w:val="Normal"/>
        <w:tabs>
          <w:tab w:val="clear" w:pos="708"/>
          <w:tab w:val="left" w:pos="1417" w:leader="none"/>
        </w:tabs>
        <w:spacing w:lineRule="auto" w:line="240" w:before="0" w:after="0"/>
        <w:ind w:firstLine="709"/>
        <w:jc w:val="both"/>
        <w:rPr>
          <w:rFonts w:ascii="Times New Roman" w:hAnsi="Times New Roman" w:cs="Times New Roman"/>
          <w:sz w:val="28"/>
          <w:szCs w:val="28"/>
        </w:rPr>
      </w:pPr>
      <w:r>
        <w:rPr>
          <w:rFonts w:ascii="Times New Roman" w:hAnsi="Times New Roman"/>
          <w:b w:val="false"/>
          <w:i w:val="false"/>
          <w:sz w:val="28"/>
        </w:rPr>
        <w:t>1.</w:t>
        <w:tab/>
        <w:t>ICRP Publication 132. Radiological Protection from Cosmic Radiation in Aviation // Annals of the ICRP. – 2016. – Vol. 45, № 1.</w:t>
      </w:r>
    </w:p>
    <w:p>
      <w:pPr>
        <w:pStyle w:val="Normal"/>
        <w:tabs>
          <w:tab w:val="clear" w:pos="708"/>
          <w:tab w:val="left" w:pos="1417" w:leader="none"/>
        </w:tabs>
        <w:spacing w:lineRule="auto" w:line="240" w:before="0" w:after="0"/>
        <w:ind w:firstLine="709"/>
        <w:jc w:val="both"/>
        <w:rPr>
          <w:rFonts w:ascii="Times New Roman" w:hAnsi="Times New Roman" w:cs="Times New Roman"/>
          <w:sz w:val="28"/>
          <w:szCs w:val="28"/>
        </w:rPr>
      </w:pPr>
      <w:r>
        <w:rPr>
          <w:rFonts w:ascii="Times New Roman" w:hAnsi="Times New Roman"/>
          <w:b w:val="false"/>
          <w:i w:val="false"/>
          <w:sz w:val="28"/>
        </w:rPr>
        <w:t>2.</w:t>
        <w:tab/>
        <w:t>Маткевич Е. И., Бурмистров В. И., Иванов И. В. Оценка доз облучения летного состава воздушных судов и обоснование мероприятий по их снижению // Медицинская радиология и радиационная безопасность. – 2025. – Т. 70, № 6. – С. 28–39.</w:t>
      </w:r>
    </w:p>
    <w:p>
      <w:pPr>
        <w:pStyle w:val="Normal"/>
        <w:tabs>
          <w:tab w:val="clear" w:pos="708"/>
          <w:tab w:val="left" w:pos="1417" w:leader="none"/>
        </w:tabs>
        <w:spacing w:lineRule="auto" w:line="240" w:before="0" w:after="0"/>
        <w:ind w:firstLine="709"/>
        <w:jc w:val="both"/>
        <w:rPr>
          <w:rFonts w:ascii="Times New Roman" w:hAnsi="Times New Roman" w:cs="Times New Roman"/>
          <w:sz w:val="28"/>
          <w:szCs w:val="28"/>
        </w:rPr>
      </w:pPr>
      <w:r>
        <w:rPr>
          <w:rFonts w:ascii="Times New Roman" w:hAnsi="Times New Roman"/>
          <w:b w:val="false"/>
          <w:i w:val="false"/>
          <w:sz w:val="28"/>
        </w:rPr>
        <w:t>3.</w:t>
        <w:tab/>
        <w:t>О радиационной безопасности населения : Федеральный закон от 09.01.1996 № 3-ФЗ.</w:t>
      </w:r>
    </w:p>
    <w:p>
      <w:pPr>
        <w:pStyle w:val="Normal"/>
        <w:tabs>
          <w:tab w:val="clear" w:pos="708"/>
          <w:tab w:val="left" w:pos="1417" w:leader="none"/>
        </w:tabs>
        <w:spacing w:lineRule="auto" w:line="240" w:before="0" w:after="0"/>
        <w:ind w:firstLine="709"/>
        <w:jc w:val="both"/>
        <w:rPr>
          <w:rFonts w:ascii="Times New Roman" w:hAnsi="Times New Roman" w:cs="Times New Roman"/>
          <w:sz w:val="28"/>
          <w:szCs w:val="28"/>
        </w:rPr>
      </w:pPr>
      <w:r>
        <w:rPr>
          <w:rFonts w:ascii="Times New Roman" w:hAnsi="Times New Roman"/>
          <w:b w:val="false"/>
          <w:i w:val="false"/>
          <w:sz w:val="28"/>
        </w:rPr>
        <w:t>4.</w:t>
        <w:tab/>
        <w:t>О санитарно-эпидемиологическом благополучии населения : Федеральный закон от 30.03.1999 № 52-ФЗ.</w:t>
      </w:r>
    </w:p>
    <w:p>
      <w:pPr>
        <w:pStyle w:val="Normal"/>
        <w:tabs>
          <w:tab w:val="clear" w:pos="708"/>
          <w:tab w:val="left" w:pos="1417" w:leader="none"/>
        </w:tabs>
        <w:spacing w:lineRule="auto" w:line="240" w:before="0" w:after="0"/>
        <w:ind w:firstLine="709"/>
        <w:jc w:val="both"/>
        <w:rPr>
          <w:rFonts w:ascii="Times New Roman" w:hAnsi="Times New Roman" w:cs="Times New Roman"/>
          <w:sz w:val="28"/>
          <w:szCs w:val="28"/>
        </w:rPr>
      </w:pPr>
      <w:r>
        <w:rPr>
          <w:rFonts w:ascii="Times New Roman" w:hAnsi="Times New Roman"/>
          <w:b w:val="false"/>
          <w:i w:val="false"/>
          <w:sz w:val="28"/>
        </w:rPr>
        <w:t>5.</w:t>
        <w:tab/>
        <w:t>СанПиН 2.6.1.2523-09. Нормы радиационной безопасности (НРБ-99/2009) : утв. постановлением Главного государственного санитарного врача РФ от 07.07.2009 № 47.</w:t>
      </w:r>
    </w:p>
    <w:p>
      <w:pPr>
        <w:pStyle w:val="Normal"/>
        <w:tabs>
          <w:tab w:val="clear" w:pos="708"/>
          <w:tab w:val="left" w:pos="1417" w:leader="none"/>
        </w:tabs>
        <w:spacing w:lineRule="auto" w:line="240" w:before="0" w:after="0"/>
        <w:ind w:firstLine="709"/>
        <w:jc w:val="both"/>
        <w:rPr>
          <w:rFonts w:ascii="Times New Roman" w:hAnsi="Times New Roman" w:cs="Times New Roman"/>
          <w:sz w:val="28"/>
          <w:szCs w:val="28"/>
        </w:rPr>
      </w:pPr>
      <w:r>
        <w:rPr>
          <w:rFonts w:ascii="Times New Roman" w:hAnsi="Times New Roman"/>
          <w:b w:val="false"/>
          <w:i w:val="false"/>
          <w:sz w:val="28"/>
        </w:rPr>
        <w:t>6.</w:t>
        <w:tab/>
        <w:t>Воздушный кодекс Российской Федерации от 19.03.1997 № 60-ФЗ.</w:t>
      </w:r>
    </w:p>
    <w:p>
      <w:pPr>
        <w:pStyle w:val="Normal"/>
        <w:tabs>
          <w:tab w:val="clear" w:pos="708"/>
          <w:tab w:val="left" w:pos="1417" w:leader="none"/>
        </w:tabs>
        <w:spacing w:lineRule="auto" w:line="240" w:before="0" w:after="0"/>
        <w:ind w:firstLine="709"/>
        <w:jc w:val="both"/>
        <w:rPr>
          <w:rFonts w:ascii="Times New Roman" w:hAnsi="Times New Roman" w:cs="Times New Roman"/>
          <w:sz w:val="28"/>
          <w:szCs w:val="28"/>
        </w:rPr>
      </w:pPr>
      <w:r>
        <w:rPr>
          <w:rFonts w:ascii="Times New Roman" w:hAnsi="Times New Roman"/>
          <w:b w:val="false"/>
          <w:i w:val="false"/>
          <w:sz w:val="28"/>
        </w:rPr>
        <w:t>7.</w:t>
        <w:tab/>
        <w:t>Постановление Правительства РФ от 08.10.2020 № 1631 (об утрате силы СанПиН 2.5.1.2423-08 с 01.01.2021).</w:t>
      </w:r>
    </w:p>
    <w:p>
      <w:pPr>
        <w:pStyle w:val="Normal"/>
        <w:tabs>
          <w:tab w:val="clear" w:pos="708"/>
          <w:tab w:val="left" w:pos="1417" w:leader="none"/>
        </w:tabs>
        <w:spacing w:lineRule="auto" w:line="240" w:before="0" w:after="0"/>
        <w:ind w:firstLine="709"/>
        <w:jc w:val="both"/>
        <w:rPr>
          <w:rFonts w:ascii="Times New Roman" w:hAnsi="Times New Roman" w:cs="Times New Roman"/>
          <w:sz w:val="28"/>
          <w:szCs w:val="28"/>
        </w:rPr>
      </w:pPr>
      <w:r>
        <w:rPr>
          <w:rFonts w:ascii="Times New Roman" w:hAnsi="Times New Roman"/>
          <w:b w:val="false"/>
          <w:i w:val="false"/>
          <w:sz w:val="28"/>
        </w:rPr>
        <w:t>8.</w:t>
        <w:tab/>
        <w:t>СанПиН 2.6.4115-25 : утв. постановлением Главного государственного санитарного врача РФ от 27.03.2025 № 6 (об утрате силы СанПиН 2.6.1.2800-10 с 01.09.2025).</w:t>
      </w:r>
    </w:p>
    <w:p>
      <w:pPr>
        <w:pStyle w:val="Normal"/>
        <w:tabs>
          <w:tab w:val="clear" w:pos="708"/>
          <w:tab w:val="left" w:pos="1417" w:leader="none"/>
        </w:tabs>
        <w:spacing w:lineRule="auto" w:line="240" w:before="0" w:after="0"/>
        <w:ind w:firstLine="709"/>
        <w:jc w:val="both"/>
        <w:rPr>
          <w:rFonts w:ascii="Times New Roman" w:hAnsi="Times New Roman" w:cs="Times New Roman"/>
          <w:sz w:val="28"/>
          <w:szCs w:val="28"/>
        </w:rPr>
      </w:pPr>
      <w:r>
        <w:rPr>
          <w:rFonts w:ascii="Times New Roman" w:hAnsi="Times New Roman"/>
          <w:b w:val="false"/>
          <w:i w:val="false"/>
          <w:sz w:val="28"/>
        </w:rPr>
        <w:t>9.</w:t>
        <w:tab/>
        <w:t>Трудовой кодекс Российской Федерации от 30.12.2001 № 197-ФЗ.</w:t>
      </w:r>
    </w:p>
    <w:p>
      <w:pPr>
        <w:pStyle w:val="Normal"/>
        <w:tabs>
          <w:tab w:val="clear" w:pos="708"/>
          <w:tab w:val="left" w:pos="1417" w:leader="none"/>
        </w:tabs>
        <w:spacing w:lineRule="auto" w:line="240" w:before="0" w:after="0"/>
        <w:ind w:firstLine="709"/>
        <w:jc w:val="both"/>
        <w:rPr>
          <w:rFonts w:ascii="Times New Roman" w:hAnsi="Times New Roman" w:cs="Times New Roman"/>
          <w:sz w:val="28"/>
          <w:szCs w:val="28"/>
        </w:rPr>
      </w:pPr>
      <w:r>
        <w:rPr>
          <w:rFonts w:ascii="Times New Roman" w:hAnsi="Times New Roman"/>
          <w:b w:val="false"/>
          <w:i w:val="false"/>
          <w:sz w:val="28"/>
        </w:rPr>
        <w:t>10.</w:t>
        <w:tab/>
        <w:t>Об утверждении особенностей проведения специальной оценки условий труда на рабочих местах членов летных и кабинных экипажей воздушных судов гражданской авиации : приказ Минтруда России от 06.05.2024 № 255н.</w:t>
      </w:r>
    </w:p>
    <w:p>
      <w:pPr>
        <w:pStyle w:val="Normal"/>
        <w:tabs>
          <w:tab w:val="clear" w:pos="708"/>
          <w:tab w:val="left" w:pos="1417" w:leader="none"/>
        </w:tabs>
        <w:spacing w:lineRule="auto" w:line="240" w:before="0" w:after="0"/>
        <w:ind w:firstLine="709"/>
        <w:jc w:val="both"/>
        <w:rPr>
          <w:rFonts w:ascii="Times New Roman" w:hAnsi="Times New Roman" w:cs="Times New Roman"/>
          <w:sz w:val="28"/>
          <w:szCs w:val="28"/>
        </w:rPr>
      </w:pPr>
      <w:r>
        <w:rPr>
          <w:rFonts w:ascii="Times New Roman" w:hAnsi="Times New Roman"/>
          <w:b w:val="false"/>
          <w:i w:val="false"/>
          <w:sz w:val="28"/>
        </w:rPr>
        <w:t>11.</w:t>
        <w:tab/>
        <w:t>Приказ Минтранса России от 10.11.2025 № 381 «Об установлении Особенностей режима рабочего времени и времени отдыха специалистов авиационного персонала гражданской авиации...». – Введ. 01.03.2026.</w:t>
      </w:r>
    </w:p>
    <w:p>
      <w:pPr>
        <w:pStyle w:val="Normal"/>
        <w:tabs>
          <w:tab w:val="clear" w:pos="708"/>
          <w:tab w:val="left" w:pos="1417" w:leader="none"/>
        </w:tabs>
        <w:spacing w:lineRule="auto" w:line="240" w:before="0" w:after="0"/>
        <w:ind w:firstLine="709"/>
        <w:jc w:val="both"/>
        <w:rPr>
          <w:rFonts w:ascii="Times New Roman" w:hAnsi="Times New Roman" w:cs="Times New Roman"/>
          <w:sz w:val="28"/>
          <w:szCs w:val="28"/>
        </w:rPr>
      </w:pPr>
      <w:r>
        <w:rPr>
          <w:rFonts w:ascii="Times New Roman" w:hAnsi="Times New Roman"/>
          <w:b w:val="false"/>
          <w:i w:val="false"/>
          <w:sz w:val="28"/>
        </w:rPr>
        <w:t>12.</w:t>
        <w:tab/>
        <w:t>Council Directive 2013/59/Euratom of 5 December 2013 laying down basic safety standards for protection against the dangers arising from exposure to ionising radiation. – Ст. 35.</w:t>
      </w:r>
    </w:p>
    <w:sectPr>
      <w:type w:val="nextPage"/>
      <w:pgSz w:w="11906" w:h="16838"/>
      <w:pgMar w:left="1417" w:right="567" w:gutter="0" w:header="0" w:top="1134" w:footer="0" w:bottom="1134"/>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1" w:author="Claude" w:date="2026-10-10T09:07:01Z" w:initials="AI">
    <w:p>
      <w:pPr>
        <w:overflowPunct w:val="false"/>
        <w:spacing w:before="0" w:after="0" w:lineRule="auto" w:line="240"/>
        <w:rPr/>
      </w:pPr>
      <w:r>
        <w:rPr>
          <w:rFonts w:ascii="Liberation Serif" w:hAnsi="Liberation Serif" w:eastAsia="DejaVu Sans" w:cs="DejaVu Sans"/>
          <w:color w:val="000000"/>
          <w:kern w:val="0"/>
          <w:sz w:val="20"/>
          <w:szCs w:val="20"/>
          <w:lang w:val="en-US" w:eastAsia="en-US" w:bidi="en-US"/>
        </w:rPr>
        <w:t>Можно заменить на «Высота, фут» и добавить примечание к таблице: у земли высота по QNH, на эшелоне – эшелон полёта (по стандартному давлению).</w:t>
      </w:r>
    </w:p>
  </w:comment>
  <w:comment w:id="2" w:author="Claude" w:date="2026-10-10T09:07:01Z" w:initials="AI">
    <w:p>
      <w:pPr>
        <w:overflowPunct w:val="false"/>
        <w:spacing w:before="0" w:after="0" w:lineRule="auto" w:line="240"/>
        <w:rPr/>
      </w:pPr>
      <w:r>
        <w:rPr>
          <w:rFonts w:ascii="Liberation Serif" w:hAnsi="Liberation Serif" w:eastAsia="DejaVu Sans" w:cs="DejaVu Sans"/>
          <w:color w:val="000000"/>
          <w:kern w:val="0"/>
          <w:sz w:val="20"/>
          <w:szCs w:val="20"/>
          <w:lang w:val="en-US" w:eastAsia="en-US" w:bidi="en-US"/>
        </w:rPr>
        <w:t>Координаты т. NAPOR не совпадают с планом полёта (CFP): там NAPOR – N57°06,9′ E066°08,2′ (57,115; 66,137). Если здесь указано место самолёта в момент замера, лучше написать «район т. NAPOR»; если это опечатка – исправить.</w:t>
      </w:r>
    </w:p>
  </w:comment>
  <w:comment w:id="4" w:author="Claude" w:date="2026-10-10T09:07:01Z" w:initials="AI">
    <w:p>
      <w:pPr>
        <w:overflowPunct w:val="false"/>
        <w:spacing w:before="0" w:after="0" w:lineRule="auto" w:line="240"/>
        <w:rPr/>
      </w:pPr>
      <w:r>
        <w:rPr>
          <w:rFonts w:ascii="Liberation Serif" w:hAnsi="Liberation Serif" w:eastAsia="DejaVu Sans" w:cs="DejaVu Sans"/>
          <w:color w:val="000000"/>
          <w:kern w:val="0"/>
          <w:sz w:val="20"/>
          <w:szCs w:val="20"/>
          <w:lang w:val="en-US" w:eastAsia="en-US" w:bidi="en-US"/>
        </w:rPr>
        <w:t>Сверьте формулировку с текстом приказа № 381 (КонсультантПлюс/Гарант): возможно, «с письменного согласия члена экипажа». Важно: возможность увеличить налёт до 900 ч с согласия существует ещё с 2010 г. (приказ Минтранса № 201 к приказу № 139); приказ № 381 её сохранил, поэтому не пишите, что он «увеличил» налёт. Есть также месячные (80/90 ч) и квартальные (240/270 ч) ограничения.</w:t>
      </w:r>
    </w:p>
  </w:comment>
  <w:comment w:id="5" w:author="Claude" w:date="2026-10-10T09:07:02Z" w:initials="AI">
    <w:p>
      <w:pPr>
        <w:overflowPunct w:val="false"/>
        <w:spacing w:before="0" w:after="0" w:lineRule="auto" w:line="240"/>
        <w:rPr/>
      </w:pPr>
      <w:r>
        <w:rPr>
          <w:rFonts w:ascii="Liberation Serif" w:hAnsi="Liberation Serif" w:eastAsia="DejaVu Sans" w:cs="DejaVu Sans"/>
          <w:color w:val="000000"/>
          <w:kern w:val="0"/>
          <w:sz w:val="20"/>
          <w:szCs w:val="20"/>
          <w:lang w:val="en-US" w:eastAsia="en-US" w:bidi="en-US"/>
        </w:rPr>
        <w:t>По ICRP Publication 132 референтный уровень для экипажей выбирают, как правило, в диапазоне 5–10 мЗв/год – это ориентир для оптимизации, а не предел дозы. В Директиве (ст. 35, п. 3) при дозе свыше 6 мЗв/год на экипаж распространяется весь режим профессионального облучения (гл. VI).</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swiss"/>
    <w:pitch w:val="variable"/>
  </w:font>
  <w:font w:name="Times New Roman">
    <w:charset w:val="01"/>
    <w:family w:val="roman"/>
    <w:pitch w:val="variable"/>
  </w:font>
</w:fonts>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ru-RU"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9a227c"/>
    <w:pPr>
      <w:widowControl/>
      <w:bidi w:val="0"/>
      <w:spacing w:lineRule="auto" w:line="276" w:before="0" w:after="160"/>
      <w:jc w:val="left"/>
    </w:pPr>
    <w:rPr>
      <w:rFonts w:ascii="Aptos" w:hAnsi="Aptos" w:eastAsia="Aptos" w:cs="" w:asciiTheme="minorHAnsi" w:cstheme="minorBidi" w:eastAsiaTheme="minorHAnsi" w:hAnsiTheme="minorHAnsi"/>
      <w:color w:val="auto"/>
      <w:kern w:val="2"/>
      <w:sz w:val="24"/>
      <w:szCs w:val="24"/>
      <w:lang w:val="ru-RU" w:eastAsia="en-US" w:bidi="ar-SA"/>
      <w14:ligatures w14:val="standardContextual"/>
    </w:rPr>
  </w:style>
  <w:style w:type="paragraph" w:styleId="Heading1">
    <w:name w:val="Heading 1"/>
    <w:basedOn w:val="Normal"/>
    <w:next w:val="Normal"/>
    <w:link w:val="1"/>
    <w:uiPriority w:val="9"/>
    <w:qFormat/>
    <w:rsid w:val="00836857"/>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2"/>
    <w:uiPriority w:val="9"/>
    <w:semiHidden/>
    <w:unhideWhenUsed/>
    <w:qFormat/>
    <w:rsid w:val="00836857"/>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3"/>
    <w:uiPriority w:val="9"/>
    <w:semiHidden/>
    <w:unhideWhenUsed/>
    <w:qFormat/>
    <w:rsid w:val="00836857"/>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4"/>
    <w:uiPriority w:val="9"/>
    <w:semiHidden/>
    <w:unhideWhenUsed/>
    <w:qFormat/>
    <w:rsid w:val="00836857"/>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5"/>
    <w:uiPriority w:val="9"/>
    <w:semiHidden/>
    <w:unhideWhenUsed/>
    <w:qFormat/>
    <w:rsid w:val="00836857"/>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6"/>
    <w:uiPriority w:val="9"/>
    <w:semiHidden/>
    <w:unhideWhenUsed/>
    <w:qFormat/>
    <w:rsid w:val="00836857"/>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7"/>
    <w:uiPriority w:val="9"/>
    <w:semiHidden/>
    <w:unhideWhenUsed/>
    <w:qFormat/>
    <w:rsid w:val="00836857"/>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8"/>
    <w:uiPriority w:val="9"/>
    <w:semiHidden/>
    <w:unhideWhenUsed/>
    <w:qFormat/>
    <w:rsid w:val="00836857"/>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9"/>
    <w:uiPriority w:val="9"/>
    <w:semiHidden/>
    <w:unhideWhenUsed/>
    <w:qFormat/>
    <w:rsid w:val="00836857"/>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1" w:customStyle="1">
    <w:name w:val="Заголовок 1 Знак"/>
    <w:basedOn w:val="DefaultParagraphFont"/>
    <w:link w:val="Heading1"/>
    <w:uiPriority w:val="9"/>
    <w:qFormat/>
    <w:rsid w:val="00836857"/>
    <w:rPr>
      <w:rFonts w:ascii="Aptos Display" w:hAnsi="Aptos Display" w:eastAsia="" w:cs="" w:asciiTheme="majorHAnsi" w:cstheme="majorBidi" w:eastAsiaTheme="majorEastAsia" w:hAnsiTheme="majorHAnsi"/>
      <w:color w:themeColor="accent1" w:themeShade="bf" w:val="0F4761"/>
      <w:sz w:val="40"/>
      <w:szCs w:val="40"/>
    </w:rPr>
  </w:style>
  <w:style w:type="character" w:styleId="2" w:customStyle="1">
    <w:name w:val="Заголовок 2 Знак"/>
    <w:basedOn w:val="DefaultParagraphFont"/>
    <w:link w:val="Heading2"/>
    <w:uiPriority w:val="9"/>
    <w:semiHidden/>
    <w:qFormat/>
    <w:rsid w:val="00836857"/>
    <w:rPr>
      <w:rFonts w:ascii="Aptos Display" w:hAnsi="Aptos Display" w:eastAsia="" w:cs="" w:asciiTheme="majorHAnsi" w:cstheme="majorBidi" w:eastAsiaTheme="majorEastAsia" w:hAnsiTheme="majorHAnsi"/>
      <w:color w:themeColor="accent1" w:themeShade="bf" w:val="0F4761"/>
      <w:sz w:val="32"/>
      <w:szCs w:val="32"/>
    </w:rPr>
  </w:style>
  <w:style w:type="character" w:styleId="3" w:customStyle="1">
    <w:name w:val="Заголовок 3 Знак"/>
    <w:basedOn w:val="DefaultParagraphFont"/>
    <w:link w:val="Heading3"/>
    <w:uiPriority w:val="9"/>
    <w:semiHidden/>
    <w:qFormat/>
    <w:rsid w:val="00836857"/>
    <w:rPr>
      <w:rFonts w:eastAsia="" w:cs="" w:cstheme="majorBidi" w:eastAsiaTheme="majorEastAsia"/>
      <w:color w:themeColor="accent1" w:themeShade="bf" w:val="0F4761"/>
      <w:sz w:val="28"/>
      <w:szCs w:val="28"/>
    </w:rPr>
  </w:style>
  <w:style w:type="character" w:styleId="4" w:customStyle="1">
    <w:name w:val="Заголовок 4 Знак"/>
    <w:basedOn w:val="DefaultParagraphFont"/>
    <w:link w:val="Heading4"/>
    <w:uiPriority w:val="9"/>
    <w:semiHidden/>
    <w:qFormat/>
    <w:rsid w:val="00836857"/>
    <w:rPr>
      <w:rFonts w:eastAsia="" w:cs="" w:cstheme="majorBidi" w:eastAsiaTheme="majorEastAsia"/>
      <w:i/>
      <w:iCs/>
      <w:color w:themeColor="accent1" w:themeShade="bf" w:val="0F4761"/>
    </w:rPr>
  </w:style>
  <w:style w:type="character" w:styleId="5" w:customStyle="1">
    <w:name w:val="Заголовок 5 Знак"/>
    <w:basedOn w:val="DefaultParagraphFont"/>
    <w:link w:val="Heading5"/>
    <w:uiPriority w:val="9"/>
    <w:semiHidden/>
    <w:qFormat/>
    <w:rsid w:val="00836857"/>
    <w:rPr>
      <w:rFonts w:eastAsia="" w:cs="" w:cstheme="majorBidi" w:eastAsiaTheme="majorEastAsia"/>
      <w:color w:themeColor="accent1" w:themeShade="bf" w:val="0F4761"/>
    </w:rPr>
  </w:style>
  <w:style w:type="character" w:styleId="6" w:customStyle="1">
    <w:name w:val="Заголовок 6 Знак"/>
    <w:basedOn w:val="DefaultParagraphFont"/>
    <w:link w:val="Heading6"/>
    <w:uiPriority w:val="9"/>
    <w:semiHidden/>
    <w:qFormat/>
    <w:rsid w:val="00836857"/>
    <w:rPr>
      <w:rFonts w:eastAsia="" w:cs="" w:cstheme="majorBidi" w:eastAsiaTheme="majorEastAsia"/>
      <w:i/>
      <w:iCs/>
      <w:color w:themeColor="text1" w:themeTint="a6" w:val="595959"/>
    </w:rPr>
  </w:style>
  <w:style w:type="character" w:styleId="7" w:customStyle="1">
    <w:name w:val="Заголовок 7 Знак"/>
    <w:basedOn w:val="DefaultParagraphFont"/>
    <w:link w:val="Heading7"/>
    <w:uiPriority w:val="9"/>
    <w:semiHidden/>
    <w:qFormat/>
    <w:rsid w:val="00836857"/>
    <w:rPr>
      <w:rFonts w:eastAsia="" w:cs="" w:cstheme="majorBidi" w:eastAsiaTheme="majorEastAsia"/>
      <w:color w:themeColor="text1" w:themeTint="a6" w:val="595959"/>
    </w:rPr>
  </w:style>
  <w:style w:type="character" w:styleId="8" w:customStyle="1">
    <w:name w:val="Заголовок 8 Знак"/>
    <w:basedOn w:val="DefaultParagraphFont"/>
    <w:link w:val="Heading8"/>
    <w:uiPriority w:val="9"/>
    <w:semiHidden/>
    <w:qFormat/>
    <w:rsid w:val="00836857"/>
    <w:rPr>
      <w:rFonts w:eastAsia="" w:cs="" w:cstheme="majorBidi" w:eastAsiaTheme="majorEastAsia"/>
      <w:i/>
      <w:iCs/>
      <w:color w:themeColor="text1" w:themeTint="d8" w:val="272727"/>
    </w:rPr>
  </w:style>
  <w:style w:type="character" w:styleId="9" w:customStyle="1">
    <w:name w:val="Заголовок 9 Знак"/>
    <w:basedOn w:val="DefaultParagraphFont"/>
    <w:link w:val="Heading9"/>
    <w:uiPriority w:val="9"/>
    <w:semiHidden/>
    <w:qFormat/>
    <w:rsid w:val="00836857"/>
    <w:rPr>
      <w:rFonts w:eastAsia="" w:cs="" w:cstheme="majorBidi" w:eastAsiaTheme="majorEastAsia"/>
      <w:color w:themeColor="text1" w:themeTint="d8" w:val="272727"/>
    </w:rPr>
  </w:style>
  <w:style w:type="character" w:styleId="Style5" w:customStyle="1">
    <w:name w:val="Заголовок Знак"/>
    <w:basedOn w:val="DefaultParagraphFont"/>
    <w:link w:val="Title"/>
    <w:uiPriority w:val="10"/>
    <w:qFormat/>
    <w:rsid w:val="00836857"/>
    <w:rPr>
      <w:rFonts w:ascii="Aptos Display" w:hAnsi="Aptos Display" w:eastAsia="" w:cs="" w:asciiTheme="majorHAnsi" w:cstheme="majorBidi" w:eastAsiaTheme="majorEastAsia" w:hAnsiTheme="majorHAnsi"/>
      <w:spacing w:val="-10"/>
      <w:kern w:val="2"/>
      <w:sz w:val="56"/>
      <w:szCs w:val="56"/>
    </w:rPr>
  </w:style>
  <w:style w:type="character" w:styleId="Style6" w:customStyle="1">
    <w:name w:val="Подзаголовок Знак"/>
    <w:basedOn w:val="DefaultParagraphFont"/>
    <w:link w:val="Subtitle"/>
    <w:uiPriority w:val="11"/>
    <w:qFormat/>
    <w:rsid w:val="00836857"/>
    <w:rPr>
      <w:rFonts w:eastAsia="" w:cs="" w:cstheme="majorBidi" w:eastAsiaTheme="majorEastAsia"/>
      <w:color w:themeColor="text1" w:themeTint="a6" w:val="595959"/>
      <w:spacing w:val="15"/>
      <w:sz w:val="28"/>
      <w:szCs w:val="28"/>
    </w:rPr>
  </w:style>
  <w:style w:type="character" w:styleId="21" w:customStyle="1">
    <w:name w:val="Цитата 2 Знак"/>
    <w:basedOn w:val="DefaultParagraphFont"/>
    <w:link w:val="Quote"/>
    <w:uiPriority w:val="29"/>
    <w:qFormat/>
    <w:rsid w:val="00836857"/>
    <w:rPr>
      <w:i/>
      <w:iCs/>
      <w:color w:themeColor="text1" w:themeTint="bf" w:val="404040"/>
    </w:rPr>
  </w:style>
  <w:style w:type="character" w:styleId="IntenseEmphasis">
    <w:name w:val="Intense Emphasis"/>
    <w:basedOn w:val="DefaultParagraphFont"/>
    <w:uiPriority w:val="21"/>
    <w:qFormat/>
    <w:rsid w:val="00836857"/>
    <w:rPr>
      <w:i/>
      <w:iCs/>
      <w:color w:themeColor="accent1" w:themeShade="bf" w:val="0F4761"/>
    </w:rPr>
  </w:style>
  <w:style w:type="character" w:styleId="Style7" w:customStyle="1">
    <w:name w:val="Выделенная цитата Знак"/>
    <w:basedOn w:val="DefaultParagraphFont"/>
    <w:link w:val="IntenseQuote"/>
    <w:uiPriority w:val="30"/>
    <w:qFormat/>
    <w:rsid w:val="00836857"/>
    <w:rPr>
      <w:i/>
      <w:iCs/>
      <w:color w:themeColor="accent1" w:themeShade="bf" w:val="0F4761"/>
    </w:rPr>
  </w:style>
  <w:style w:type="character" w:styleId="IntenseReference">
    <w:name w:val="Intense Reference"/>
    <w:basedOn w:val="DefaultParagraphFont"/>
    <w:uiPriority w:val="32"/>
    <w:qFormat/>
    <w:rsid w:val="00836857"/>
    <w:rPr>
      <w:b/>
      <w:bCs/>
      <w:smallCaps/>
      <w:color w:themeColor="accent1" w:themeShade="bf" w:val="0F4761"/>
      <w:spacing w:val="5"/>
    </w:rPr>
  </w:style>
  <w:style w:type="character" w:styleId="Hyperlink">
    <w:name w:val="Hyperlink"/>
    <w:basedOn w:val="DefaultParagraphFont"/>
    <w:uiPriority w:val="99"/>
    <w:unhideWhenUsed/>
    <w:rsid w:val="00ff734e"/>
    <w:rPr>
      <w:color w:themeColor="hyperlink" w:val="467886"/>
      <w:u w:val="single"/>
    </w:rPr>
  </w:style>
  <w:style w:type="character" w:styleId="UnresolvedMention">
    <w:name w:val="Unresolved Mention"/>
    <w:basedOn w:val="DefaultParagraphFont"/>
    <w:uiPriority w:val="99"/>
    <w:semiHidden/>
    <w:unhideWhenUsed/>
    <w:qFormat/>
    <w:rsid w:val="00ff734e"/>
    <w:rPr>
      <w:color w:val="605E5C"/>
      <w:shd w:fill="E1DFDD" w:val="clear"/>
    </w:rPr>
  </w:style>
  <w:style w:type="character" w:styleId="Style8" w:customStyle="1">
    <w:name w:val="Верхний колонтитул Знак"/>
    <w:basedOn w:val="DefaultParagraphFont"/>
    <w:link w:val="Header"/>
    <w:uiPriority w:val="99"/>
    <w:qFormat/>
    <w:rsid w:val="00106b97"/>
    <w:rPr/>
  </w:style>
  <w:style w:type="character" w:styleId="Style9" w:customStyle="1">
    <w:name w:val="Нижний колонтитул Знак"/>
    <w:basedOn w:val="DefaultParagraphFont"/>
    <w:link w:val="Footer"/>
    <w:uiPriority w:val="99"/>
    <w:qFormat/>
    <w:rsid w:val="00106b97"/>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link w:val="Style5"/>
    <w:uiPriority w:val="10"/>
    <w:qFormat/>
    <w:rsid w:val="00836857"/>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tyle6"/>
    <w:uiPriority w:val="11"/>
    <w:qFormat/>
    <w:rsid w:val="00836857"/>
    <w:pPr/>
    <w:rPr>
      <w:rFonts w:eastAsia="" w:cs="" w:cstheme="majorBidi" w:eastAsiaTheme="majorEastAsia"/>
      <w:color w:themeColor="text1" w:themeTint="a6" w:val="595959"/>
      <w:spacing w:val="15"/>
      <w:sz w:val="28"/>
      <w:szCs w:val="28"/>
    </w:rPr>
  </w:style>
  <w:style w:type="paragraph" w:styleId="Quote">
    <w:name w:val="Quote"/>
    <w:basedOn w:val="Normal"/>
    <w:next w:val="Normal"/>
    <w:link w:val="21"/>
    <w:uiPriority w:val="29"/>
    <w:qFormat/>
    <w:rsid w:val="00836857"/>
    <w:pPr>
      <w:spacing w:before="160" w:after="160"/>
      <w:jc w:val="center"/>
    </w:pPr>
    <w:rPr>
      <w:i/>
      <w:iCs/>
      <w:color w:themeColor="text1" w:themeTint="bf" w:val="404040"/>
    </w:rPr>
  </w:style>
  <w:style w:type="paragraph" w:styleId="ListParagraph">
    <w:name w:val="List Paragraph"/>
    <w:basedOn w:val="Normal"/>
    <w:uiPriority w:val="34"/>
    <w:qFormat/>
    <w:rsid w:val="00836857"/>
    <w:pPr>
      <w:spacing w:before="0" w:after="160"/>
      <w:ind w:left="720"/>
      <w:contextualSpacing/>
    </w:pPr>
    <w:rPr/>
  </w:style>
  <w:style w:type="paragraph" w:styleId="IntenseQuote">
    <w:name w:val="Intense Quote"/>
    <w:basedOn w:val="Normal"/>
    <w:next w:val="Normal"/>
    <w:link w:val="Style7"/>
    <w:uiPriority w:val="30"/>
    <w:qFormat/>
    <w:rsid w:val="00836857"/>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HeaderandFooter">
    <w:name w:val="Header and Footer"/>
    <w:basedOn w:val="Normal"/>
    <w:qFormat/>
    <w:pPr/>
    <w:rPr/>
  </w:style>
  <w:style w:type="paragraph" w:styleId="Header">
    <w:name w:val="Header"/>
    <w:basedOn w:val="Normal"/>
    <w:link w:val="Style8"/>
    <w:uiPriority w:val="99"/>
    <w:unhideWhenUsed/>
    <w:rsid w:val="00106b97"/>
    <w:pPr>
      <w:tabs>
        <w:tab w:val="clear" w:pos="708"/>
        <w:tab w:val="center" w:pos="4677" w:leader="none"/>
        <w:tab w:val="right" w:pos="9355" w:leader="none"/>
      </w:tabs>
      <w:spacing w:lineRule="auto" w:line="240" w:before="0" w:after="0"/>
    </w:pPr>
    <w:rPr/>
  </w:style>
  <w:style w:type="paragraph" w:styleId="Footer">
    <w:name w:val="Footer"/>
    <w:basedOn w:val="Normal"/>
    <w:link w:val="Style9"/>
    <w:uiPriority w:val="99"/>
    <w:unhideWhenUsed/>
    <w:rsid w:val="00106b97"/>
    <w:pPr>
      <w:tabs>
        <w:tab w:val="clear" w:pos="708"/>
        <w:tab w:val="center" w:pos="4677" w:leader="none"/>
        <w:tab w:val="right" w:pos="9355" w:leader="none"/>
      </w:tabs>
      <w:spacing w:lineRule="auto" w:line="240" w:before="0" w:after="0"/>
    </w:pPr>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image" Target="media/image1.jpe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4.jpeg"/><Relationship Id="rId11" Type="http://schemas.openxmlformats.org/officeDocument/2006/relationships/image" Target="media/image5.jpeg"/><Relationship Id="rId12" Type="http://schemas.openxmlformats.org/officeDocument/2006/relationships/image" Target="media/image6.png"/><Relationship Id="rId13" Type="http://schemas.openxmlformats.org/officeDocument/2006/relationships/comments" Target="comments.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919</TotalTime>
  <Application>LibreOffice/24.2.7.2$Linux_X86_64 LibreOffice_project/420$Build-2</Application>
  <AppVersion>15.0000</AppVersion>
  <Pages>3</Pages>
  <Words>745</Words>
  <Characters>4382</Characters>
  <CharactersWithSpaces>5114</CharactersWithSpaces>
  <Paragraphs>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2025-12-04T13:47:00Z</dcterms:created>
  <dc:creator>UserX .</dc:creator>
  <dc:description/>
  <dc:language>en-US</dc:language>
  <cp:lastModifiedBy/>
  <dcterms:modified xsi:type="dcterms:W3CDTF">2026-10-10T09:20:15Z</dcterms:modified>
  <cp:revision>45</cp:revision>
  <dc:subject/>
  <dc:title/>
</cp:coreProperties>
</file>

<file path=docProps/custom.xml><?xml version="1.0" encoding="utf-8"?>
<Properties xmlns="http://schemas.openxmlformats.org/officeDocument/2006/custom-properties" xmlns:vt="http://schemas.openxmlformats.org/officeDocument/2006/docPropsVTypes"/>
</file>