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2.jpeg" ContentType="image/jpeg"/>
  <Override PartName="/word/media/image3.jpeg" ContentType="image/jpeg"/>
  <Override PartName="/word/media/image4.jpeg" ContentType="image/jpeg"/>
  <Override PartName="/word/media/image5.jpeg" ContentType="image/jpeg"/>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firstLine="709"/>
        <w:jc w:val="left"/>
        <w:rPr>
          <w:rFonts w:ascii="Times New Roman" w:hAnsi="Times New Roman" w:cs="Times New Roman"/>
          <w:sz w:val="28"/>
          <w:szCs w:val="28"/>
        </w:rPr>
      </w:pPr>
      <w:r>
        <w:rPr>
          <w:rFonts w:ascii="Times New Roman" w:hAnsi="Times New Roman"/>
          <w:b w:val="false"/>
          <w:i w:val="false"/>
          <w:sz w:val="28"/>
        </w:rPr>
        <w:t>УДК 347.82:614.876</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hanging="0"/>
        <w:jc w:val="center"/>
        <w:rPr>
          <w:rFonts w:ascii="Times New Roman" w:hAnsi="Times New Roman" w:cs="Times New Roman"/>
          <w:b/>
          <w:bCs/>
          <w:sz w:val="28"/>
          <w:szCs w:val="28"/>
        </w:rPr>
      </w:pPr>
      <w:r>
        <w:rPr>
          <w:rFonts w:ascii="Times New Roman" w:hAnsi="Times New Roman"/>
          <w:b/>
          <w:i w:val="false"/>
          <w:sz w:val="28"/>
        </w:rPr>
        <w:t>КОСМИЧЕСКОЕ ОБЛУЧЕНИЕ ЧЛЕНОВ ЭКИПАЖЕЙ ВОЗДУШНЫХ СУДОВ И ИХ ПРАВОВАЯ ЗАЩИТА В РОССИЙСКОЙ ФЕДЕРАЦИИ</w:t>
      </w:r>
    </w:p>
    <w:p>
      <w:pPr>
        <w:pStyle w:val="Normal"/>
        <w:spacing w:lineRule="auto" w:line="240" w:before="0" w:after="0"/>
        <w:ind w:firstLine="709"/>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40" w:before="0" w:after="0"/>
        <w:ind w:firstLine="709"/>
        <w:jc w:val="both"/>
        <w:rPr>
          <w:rFonts w:ascii="Times New Roman" w:hAnsi="Times New Roman" w:cs="Times New Roman"/>
          <w:sz w:val="28"/>
          <w:szCs w:val="28"/>
        </w:rPr>
      </w:pPr>
      <w:r>
        <w:rPr>
          <w:rFonts w:ascii="Times New Roman" w:hAnsi="Times New Roman"/>
          <w:b/>
          <w:i w:val="false"/>
          <w:sz w:val="28"/>
        </w:rPr>
        <w:t>Бойко Наталия Семеновна,</w:t>
      </w:r>
      <w:r>
        <w:rPr>
          <w:rFonts w:ascii="Times New Roman" w:hAnsi="Times New Roman"/>
          <w:b w:val="false"/>
          <w:i w:val="false"/>
          <w:sz w:val="28"/>
        </w:rPr>
        <w:t xml:space="preserve"> профессор кафедры ЛЭиБП, кандидат юридических наук, доктор исторических наук, доцент, e-mail: nboyko2005@mail.ru</w:t>
      </w:r>
    </w:p>
    <w:p>
      <w:pPr>
        <w:pStyle w:val="Normal"/>
        <w:spacing w:lineRule="auto" w:line="240" w:before="0" w:after="0"/>
        <w:ind w:firstLine="709"/>
        <w:jc w:val="both"/>
        <w:rPr>
          <w:rFonts w:ascii="Times New Roman" w:hAnsi="Times New Roman" w:cs="Times New Roman"/>
          <w:sz w:val="28"/>
          <w:szCs w:val="28"/>
          <w:lang w:val="en-US"/>
        </w:rPr>
      </w:pPr>
      <w:r>
        <w:rPr>
          <w:rFonts w:ascii="Times New Roman" w:hAnsi="Times New Roman"/>
          <w:b/>
          <w:i w:val="false"/>
          <w:sz w:val="28"/>
        </w:rPr>
        <w:t>Шутов Никита Романович,</w:t>
      </w:r>
      <w:r>
        <w:rPr>
          <w:rFonts w:ascii="Times New Roman" w:hAnsi="Times New Roman"/>
          <w:b w:val="false"/>
          <w:i w:val="false"/>
          <w:sz w:val="28"/>
        </w:rPr>
        <w:t xml:space="preserve"> учебная гр. П-24-4, e-mail: nikita999343@gmail.com</w:t>
      </w:r>
    </w:p>
    <w:p>
      <w:pPr>
        <w:pStyle w:val="Normal"/>
        <w:spacing w:lineRule="auto" w:line="240" w:before="0" w:after="0"/>
        <w:ind w:firstLine="709"/>
        <w:jc w:val="both"/>
        <w:rPr>
          <w:rFonts w:ascii="Times New Roman" w:hAnsi="Times New Roman" w:cs="Times New Roman"/>
          <w:sz w:val="28"/>
          <w:szCs w:val="28"/>
          <w:lang w:val="en-US"/>
        </w:rPr>
      </w:pPr>
      <w:r>
        <w:rPr>
          <w:rFonts w:ascii="Times New Roman" w:hAnsi="Times New Roman"/>
          <w:b/>
          <w:i w:val="false"/>
          <w:sz w:val="28"/>
        </w:rPr>
        <w:t>Ролдугин Илья Дмитриевич,</w:t>
      </w:r>
      <w:r>
        <w:rPr>
          <w:rFonts w:ascii="Times New Roman" w:hAnsi="Times New Roman"/>
          <w:b w:val="false"/>
          <w:i w:val="false"/>
          <w:sz w:val="28"/>
        </w:rPr>
        <w:t xml:space="preserve"> учебная гр. П-24-4, e-mail: roldugin_2002@mail.ru</w:t>
      </w:r>
    </w:p>
    <w:p>
      <w:pPr>
        <w:pStyle w:val="Normal"/>
        <w:spacing w:lineRule="auto" w:line="240" w:before="0" w:after="0"/>
        <w:ind w:hanging="0"/>
        <w:jc w:val="center"/>
        <w:rPr>
          <w:rFonts w:ascii="Times New Roman" w:hAnsi="Times New Roman" w:cs="Times New Roman"/>
          <w:sz w:val="28"/>
          <w:szCs w:val="28"/>
        </w:rPr>
      </w:pPr>
      <w:r>
        <w:rPr>
          <w:rFonts w:ascii="Times New Roman" w:hAnsi="Times New Roman"/>
          <w:b w:val="false"/>
          <w:i w:val="false"/>
          <w:sz w:val="28"/>
        </w:rPr>
        <w:t>Ульяновский институт гражданской авиации имени Главного маршала авиации Б. П. Бугаева, г. Ульяновск, Россия</w:t>
      </w:r>
    </w:p>
    <w:p>
      <w:pPr>
        <w:pStyle w:val="Normal"/>
        <w:spacing w:lineRule="auto" w:line="240" w:before="0" w:after="0"/>
        <w:ind w:firstLine="709"/>
        <w:jc w:val="both"/>
        <w:rPr>
          <w:rFonts w:ascii="Times New Roman" w:hAnsi="Times New Roman" w:cs="Times New Roman"/>
          <w:i/>
          <w:i/>
          <w:iCs/>
          <w:sz w:val="28"/>
          <w:szCs w:val="28"/>
        </w:rPr>
      </w:pPr>
      <w:r>
        <w:rPr>
          <w:rFonts w:ascii="Times New Roman" w:hAnsi="Times New Roman"/>
          <w:b/>
          <w:i w:val="false"/>
          <w:sz w:val="28"/>
        </w:rPr>
        <w:t>Аннотация.</w:t>
      </w:r>
      <w:r>
        <w:rPr>
          <w:rFonts w:ascii="Times New Roman" w:hAnsi="Times New Roman"/>
          <w:b w:val="false"/>
          <w:i w:val="false"/>
          <w:sz w:val="28"/>
        </w:rPr>
        <w:t xml:space="preserve"> В статье рассмотрено правовое регулирование облучения членов экипажей воздушных судов космическим излучением в Российской Федерации. Проанализированы изменения санитарных норм 2021–2025 годов, требования специальной оценки условий труда и новые ограничения налёта. Показано, что предел 5 мЗв в год сохраняется, а порядок индивидуального учёта доз экипажей требует конкретизации.</w:t>
      </w:r>
    </w:p>
    <w:p>
      <w:pPr>
        <w:pStyle w:val="Normal"/>
        <w:spacing w:lineRule="auto" w:line="240" w:before="0" w:after="0"/>
        <w:ind w:firstLine="709"/>
        <w:jc w:val="both"/>
        <w:rPr>
          <w:rFonts w:ascii="Times New Roman" w:hAnsi="Times New Roman" w:cs="Times New Roman"/>
          <w:i/>
          <w:i/>
          <w:iCs/>
          <w:sz w:val="28"/>
          <w:szCs w:val="28"/>
        </w:rPr>
      </w:pPr>
      <w:r>
        <w:rPr>
          <w:rFonts w:ascii="Times New Roman" w:hAnsi="Times New Roman"/>
          <w:b/>
          <w:i w:val="false"/>
          <w:sz w:val="28"/>
        </w:rPr>
        <w:t>Ключевые слова:</w:t>
      </w:r>
      <w:r>
        <w:rPr>
          <w:rFonts w:ascii="Times New Roman" w:hAnsi="Times New Roman"/>
          <w:b w:val="false"/>
          <w:i w:val="false"/>
          <w:sz w:val="28"/>
        </w:rPr>
        <w:t xml:space="preserve"> космическое излучение, воздушное право, радиационная безопасность, экипаж воздушного судна, предел дозы, специальная оценка условий труда.</w:t>
      </w:r>
    </w:p>
    <w:p>
      <w:pPr>
        <w:pStyle w:val="Normal"/>
        <w:spacing w:lineRule="auto" w:line="240" w:before="0" w:after="0"/>
        <w:ind w:firstLine="709"/>
        <w:jc w:val="both"/>
        <w:rPr>
          <w:rFonts w:ascii="Times New Roman" w:hAnsi="Times New Roman" w:cs="Times New Roman"/>
          <w:i/>
          <w:i/>
          <w:iCs/>
          <w:sz w:val="28"/>
          <w:szCs w:val="28"/>
        </w:rPr>
      </w:pPr>
      <w:r>
        <w:rPr>
          <w:rFonts w:cs="Times New Roman" w:ascii="Times New Roman" w:hAnsi="Times New Roman"/>
          <w:i/>
          <w:iCs/>
          <w:sz w:val="28"/>
          <w:szCs w:val="28"/>
        </w:rPr>
      </w:r>
    </w:p>
    <w:p>
      <w:pPr>
        <w:pStyle w:val="Normal"/>
        <w:spacing w:lineRule="auto" w:line="240" w:before="0" w:after="0"/>
        <w:ind w:hanging="0"/>
        <w:jc w:val="center"/>
        <w:rPr>
          <w:rFonts w:ascii="Times New Roman" w:hAnsi="Times New Roman" w:cs="Times New Roman"/>
          <w:i/>
          <w:i/>
          <w:iCs/>
          <w:sz w:val="28"/>
          <w:szCs w:val="28"/>
        </w:rPr>
      </w:pPr>
      <w:r>
        <w:rPr>
          <w:rFonts w:ascii="Times New Roman" w:hAnsi="Times New Roman"/>
          <w:b/>
          <w:i w:val="false"/>
          <w:sz w:val="28"/>
        </w:rPr>
        <w:t>Cosmic Radiation Exposure of Aircraft Crew Members and Their Legal Protection in the Russian Federation</w:t>
      </w:r>
    </w:p>
    <w:p>
      <w:pPr>
        <w:pStyle w:val="Normal"/>
        <w:spacing w:lineRule="auto" w:line="240" w:before="0" w:after="0"/>
        <w:ind w:firstLine="709"/>
        <w:jc w:val="both"/>
        <w:rPr>
          <w:rFonts w:ascii="Times New Roman" w:hAnsi="Times New Roman" w:cs="Times New Roman"/>
          <w:i/>
          <w:i/>
          <w:iCs/>
          <w:sz w:val="28"/>
          <w:szCs w:val="28"/>
        </w:rPr>
      </w:pPr>
      <w:r>
        <w:rPr>
          <w:rFonts w:ascii="Times New Roman" w:hAnsi="Times New Roman"/>
          <w:b/>
          <w:i w:val="false"/>
          <w:sz w:val="28"/>
        </w:rPr>
        <w:t>Abstract.</w:t>
      </w:r>
      <w:r>
        <w:rPr>
          <w:rFonts w:ascii="Times New Roman" w:hAnsi="Times New Roman"/>
          <w:b w:val="false"/>
          <w:i w:val="false"/>
          <w:sz w:val="28"/>
        </w:rPr>
        <w:t xml:space="preserve"> The article examines the legal regulation of cosmic radiation exposure of aircraft crew members in the Russian Federation. Changes in sanitary standards in 2021–2025, the requirements of the special assessment of working conditions and the new flight time limits are analyzed. It is shown that the dose limit of 5 mSv per year remains in force, while the procedure for individual dose accounting for crew members needs to be specified.</w:t>
      </w:r>
    </w:p>
    <w:p>
      <w:pPr>
        <w:pStyle w:val="Normal"/>
        <w:spacing w:lineRule="auto" w:line="240" w:before="0" w:after="0"/>
        <w:ind w:firstLine="709"/>
        <w:jc w:val="both"/>
        <w:rPr>
          <w:rFonts w:ascii="Times New Roman" w:hAnsi="Times New Roman" w:cs="Times New Roman"/>
          <w:i/>
          <w:i/>
          <w:iCs/>
          <w:sz w:val="28"/>
          <w:szCs w:val="28"/>
        </w:rPr>
      </w:pPr>
      <w:r>
        <w:rPr>
          <w:rFonts w:ascii="Times New Roman" w:hAnsi="Times New Roman"/>
          <w:b/>
          <w:i w:val="false"/>
          <w:sz w:val="28"/>
        </w:rPr>
        <w:t>Keywords:</w:t>
      </w:r>
      <w:r>
        <w:rPr>
          <w:rFonts w:ascii="Times New Roman" w:hAnsi="Times New Roman"/>
          <w:b w:val="false"/>
          <w:i w:val="false"/>
          <w:sz w:val="28"/>
        </w:rPr>
        <w:t xml:space="preserve"> cosmic radiation, air law, radiation safety, aircraft crew, dose limit, special assessment of working conditions.</w:t>
      </w:r>
    </w:p>
    <w:p>
      <w:pPr>
        <w:pStyle w:val="Normal"/>
        <w:spacing w:lineRule="auto" w:line="240" w:before="0" w:after="0"/>
        <w:ind w:firstLine="709"/>
        <w:jc w:val="both"/>
        <w:rPr>
          <w:rFonts w:ascii="Times New Roman" w:hAnsi="Times New Roman" w:cs="Times New Roman"/>
          <w:i/>
          <w:i/>
          <w:iCs/>
          <w:sz w:val="28"/>
          <w:szCs w:val="28"/>
        </w:rPr>
      </w:pPr>
      <w:r>
        <w:rPr>
          <w:rFonts w:cs="Times New Roman" w:ascii="Times New Roman" w:hAnsi="Times New Roman"/>
          <w:i/>
          <w:iCs/>
          <w:sz w:val="28"/>
          <w:szCs w:val="28"/>
        </w:rPr>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Одной из особенностей лётной профессии является облучение экипажа космическим излучением: на эшелоне фон значительно выше, чем у земли. Ещё в 1990 году Международная комиссия по радиологической защите (МКРЗ) признала такое облучение профессиональным [1]. В работе мы измерили радиационный фон на борту самолёта самодельным счётчиком Гейгера, а затем рассмотрели эту тему с правовой стороны: какие нормы ограничивают облучение экипажа в Российской Федерации, кто должен его учитывать и что изменилось в законодательстве за последние годы.</w:t>
      </w:r>
      <w:r>
        <w:rPr>
          <w:rFonts w:cs="Times New Roman" w:ascii="Times New Roman" w:hAnsi="Times New Roman"/>
          <w:sz w:val="28"/>
          <w:szCs w:val="28"/>
        </w:rPr>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Измерения проводились в двух рейсах примерно на одних широтах: Новокузнецк – Иркутск и Екатеринбург – Чита. Счётчик находился в кабине пилотов, показания снимались перед взлётом, на эшелоне и после посадки (Таблица 1).</w:t>
      </w:r>
    </w:p>
    <w:p>
      <w:pPr>
        <w:pStyle w:val="Normal"/>
        <w:spacing w:lineRule="auto" w:line="240" w:before="0" w:after="0"/>
        <w:ind w:hanging="0"/>
        <w:jc w:val="left"/>
        <w:rPr>
          <w:rFonts w:ascii="Times New Roman" w:hAnsi="Times New Roman" w:cs="Times New Roman"/>
          <w:sz w:val="28"/>
          <w:szCs w:val="28"/>
        </w:rPr>
      </w:pPr>
      <w:r>
        <w:rPr>
          <w:rFonts w:ascii="Times New Roman" w:hAnsi="Times New Roman"/>
          <w:b w:val="false"/>
          <w:i w:val="false"/>
          <w:sz w:val="28"/>
        </w:rPr>
        <w:t>Таблица 1 – Показания самодельного дозиметра на различных этапах полёта.</w:t>
      </w:r>
    </w:p>
    <w:tbl>
      <w:tblPr>
        <w:tblW w:w="100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23"/>
        <w:gridCol w:w="1615"/>
        <w:gridCol w:w="2599"/>
        <w:gridCol w:w="3756"/>
      </w:tblGrid>
      <w:tr>
        <w:trPr>
          <w:trHeight w:val="347" w:hRule="atLeast"/>
        </w:trPr>
        <w:tc>
          <w:tcPr>
            <w:tcW w:w="2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Место измерения</w:t>
            </w:r>
          </w:p>
        </w:tc>
        <w:tc>
          <w:tcPr>
            <w:tcW w:w="16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Этап полёта</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commentRangeStart w:id="1"/>
            <w:r>
              <w:rPr>
                <w:rFonts w:eastAsia="Times New Roman" w:cs="Times New Roman" w:ascii="Times New Roman" w:hAnsi="Times New Roman"/>
                <w:color w:val="000000"/>
                <w:kern w:val="0"/>
                <w:sz w:val="24"/>
                <w:szCs w:val="28"/>
                <w:lang w:eastAsia="ru-RU"/>
                <w14:ligatures w14:val="none"/>
              </w:rPr>
              <w:t>Высота (футы)</w:t>
            </w:r>
            <w:commentRangeEnd w:id="1"/>
            <w:r>
              <w:commentReference w:id="1"/>
            </w:r>
            <w:r>
              <w:rPr>
                <w:rFonts w:eastAsia="Times New Roman" w:cs="Times New Roman" w:ascii="Times New Roman" w:hAnsi="Times New Roman"/>
                <w:color w:val="000000"/>
                <w:kern w:val="0"/>
                <w:sz w:val="24"/>
                <w:szCs w:val="28"/>
                <w:lang w:eastAsia="ru-RU"/>
                <w14:ligatures w14:val="none"/>
              </w:rPr>
            </w:r>
          </w:p>
        </w:tc>
        <w:tc>
          <w:tcPr>
            <w:tcW w:w="37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Средние показания прибора (мкР/ч)</w:t>
            </w:r>
          </w:p>
        </w:tc>
      </w:tr>
      <w:tr>
        <w:trPr>
          <w:trHeight w:val="347" w:hRule="atLeast"/>
        </w:trPr>
        <w:tc>
          <w:tcPr>
            <w:tcW w:w="2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Новокузнецк</w:t>
            </w:r>
          </w:p>
        </w:tc>
        <w:tc>
          <w:tcPr>
            <w:tcW w:w="16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Взлёт</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1023</w:t>
            </w:r>
          </w:p>
        </w:tc>
        <w:tc>
          <w:tcPr>
            <w:tcW w:w="37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10,8</w:t>
            </w:r>
          </w:p>
        </w:tc>
      </w:tr>
      <w:tr>
        <w:trPr>
          <w:trHeight w:val="698" w:hRule="atLeast"/>
        </w:trPr>
        <w:tc>
          <w:tcPr>
            <w:tcW w:w="2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т. NILRA</w:t>
              <w:br/>
              <w:t>54,0667</w:t>
              <w:br/>
              <w:t>93,3367</w:t>
            </w:r>
          </w:p>
        </w:tc>
        <w:tc>
          <w:tcPr>
            <w:tcW w:w="16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Полёт</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35000</w:t>
            </w:r>
          </w:p>
        </w:tc>
        <w:tc>
          <w:tcPr>
            <w:tcW w:w="37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184,0</w:t>
            </w:r>
          </w:p>
        </w:tc>
      </w:tr>
      <w:tr>
        <w:trPr>
          <w:trHeight w:val="347" w:hRule="atLeast"/>
        </w:trPr>
        <w:tc>
          <w:tcPr>
            <w:tcW w:w="2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Иркутск</w:t>
            </w:r>
          </w:p>
        </w:tc>
        <w:tc>
          <w:tcPr>
            <w:tcW w:w="16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Посадка</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1575</w:t>
            </w:r>
          </w:p>
        </w:tc>
        <w:tc>
          <w:tcPr>
            <w:tcW w:w="37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11,0</w:t>
            </w:r>
          </w:p>
        </w:tc>
      </w:tr>
      <w:tr>
        <w:trPr>
          <w:trHeight w:val="347" w:hRule="atLeast"/>
        </w:trPr>
        <w:tc>
          <w:tcPr>
            <w:tcW w:w="2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Екатеринбург</w:t>
            </w:r>
          </w:p>
        </w:tc>
        <w:tc>
          <w:tcPr>
            <w:tcW w:w="16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Взлёт</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740</w:t>
            </w:r>
          </w:p>
        </w:tc>
        <w:tc>
          <w:tcPr>
            <w:tcW w:w="37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7,8</w:t>
            </w:r>
          </w:p>
        </w:tc>
      </w:tr>
      <w:tr>
        <w:trPr>
          <w:trHeight w:val="698" w:hRule="atLeast"/>
        </w:trPr>
        <w:tc>
          <w:tcPr>
            <w:tcW w:w="2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т. NAPOR</w:t>
              <w:br/>
            </w:r>
            <w:commentRangeStart w:id="2"/>
            <w:r>
              <w:rPr>
                <w:rFonts w:eastAsia="Times New Roman" w:cs="Times New Roman" w:ascii="Times New Roman" w:hAnsi="Times New Roman"/>
                <w:color w:val="000000"/>
                <w:kern w:val="0"/>
                <w:sz w:val="24"/>
                <w:szCs w:val="28"/>
                <w:lang w:eastAsia="ru-RU"/>
                <w14:ligatures w14:val="none"/>
              </w:rPr>
              <w:t>55,75803</w:t>
              <w:br/>
              <w:t>65,95093</w:t>
            </w:r>
            <w:commentRangeEnd w:id="2"/>
            <w:r>
              <w:commentReference w:id="2"/>
            </w:r>
            <w:r>
              <w:rPr>
                <w:rFonts w:eastAsia="Times New Roman" w:cs="Times New Roman" w:ascii="Times New Roman" w:hAnsi="Times New Roman"/>
                <w:color w:val="000000"/>
                <w:kern w:val="0"/>
                <w:sz w:val="24"/>
                <w:szCs w:val="28"/>
                <w:lang w:eastAsia="ru-RU"/>
                <w14:ligatures w14:val="none"/>
              </w:rPr>
            </w:r>
          </w:p>
        </w:tc>
        <w:tc>
          <w:tcPr>
            <w:tcW w:w="16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Полёт</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33055</w:t>
            </w:r>
          </w:p>
        </w:tc>
        <w:tc>
          <w:tcPr>
            <w:tcW w:w="37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170,0</w:t>
            </w:r>
          </w:p>
        </w:tc>
      </w:tr>
      <w:tr>
        <w:trPr>
          <w:trHeight w:val="347" w:hRule="atLeast"/>
        </w:trPr>
        <w:tc>
          <w:tcPr>
            <w:tcW w:w="2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Чита</w:t>
            </w:r>
          </w:p>
        </w:tc>
        <w:tc>
          <w:tcPr>
            <w:tcW w:w="16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Посадка</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2220</w:t>
            </w:r>
          </w:p>
        </w:tc>
        <w:tc>
          <w:tcPr>
            <w:tcW w:w="37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center"/>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4"/>
                <w:szCs w:val="28"/>
                <w:lang w:eastAsia="ru-RU"/>
                <w14:ligatures w14:val="none"/>
              </w:rPr>
              <w:t>15,0</w:t>
            </w:r>
          </w:p>
        </w:tc>
      </w:tr>
    </w:tbl>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На эшелоне прибор показывал в 11–22 раза (в среднем примерно в 16 раз) больше, чем на земле (рис. 1). Для оценки годовой дозы такие наблюдения дополняют расчётом: счётчик Гейгера рассчитан в основном на гамма- и бета-излучение и практически не регистрирует нейтроны, а на высоте именно они создают значительную часть дозы [1]. Поэтому годовую дозу экипажа рассчитывают по фактическим маршрутам, высотам и датам полётов с помощью специальных программ, например CARI-7, или по данным отечественной модели RUSCOSMICS Полярного геофизического института [2]. Отсюда и возник вопрос нашей работы: кто в России обязан учитывать эту дозу и какими нормами это закреплено.</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mc:AlternateContent>
          <mc:Choice Requires="wpg">
            <w:drawing>
              <wp:anchor behindDoc="0" distT="0" distB="0" distL="114300" distR="114300" simplePos="0" locked="0" layoutInCell="0" allowOverlap="1" relativeHeight="3" wp14:anchorId="47FA8B29">
                <wp:simplePos x="0" y="0"/>
                <wp:positionH relativeFrom="margin">
                  <wp:align>center</wp:align>
                </wp:positionH>
                <wp:positionV relativeFrom="paragraph">
                  <wp:posOffset>635</wp:posOffset>
                </wp:positionV>
                <wp:extent cx="4878705" cy="5676900"/>
                <wp:effectExtent l="0" t="0" r="0" b="0"/>
                <wp:wrapTopAndBottom/>
                <wp:docPr id="1" name="Группа 1"/>
                <a:graphic xmlns:a="http://schemas.openxmlformats.org/drawingml/2006/main">
                  <a:graphicData uri="http://schemas.microsoft.com/office/word/2010/wordprocessingGroup">
                    <wpg:wgp>
                      <wpg:cNvGrpSpPr/>
                      <wpg:grpSpPr>
                        <a:xfrm>
                          <a:off x="0" y="0"/>
                          <a:ext cx="4878720" cy="5676840"/>
                          <a:chOff x="0" y="0"/>
                          <a:chExt cx="4878720" cy="5676840"/>
                        </a:xfrm>
                      </wpg:grpSpPr>
                      <pic:pic xmlns:pic="http://schemas.openxmlformats.org/drawingml/2006/picture">
                        <pic:nvPicPr>
                          <pic:cNvPr id="2" name="Рисунок 1" descr="Изображение выглядит как электроника, текст, Навигационные приборы, человек&#10;&#10;Содержимое, созданное искусственным интеллектом, может быть неверным."/>
                          <pic:cNvPicPr/>
                        </pic:nvPicPr>
                        <pic:blipFill>
                          <a:blip r:embed="rId2"/>
                          <a:stretch/>
                        </pic:blipFill>
                        <pic:spPr>
                          <a:xfrm>
                            <a:off x="0" y="0"/>
                            <a:ext cx="2241720" cy="2612520"/>
                          </a:xfrm>
                          <a:prstGeom prst="rect">
                            <a:avLst/>
                          </a:prstGeom>
                          <a:ln w="0">
                            <a:noFill/>
                          </a:ln>
                        </pic:spPr>
                      </pic:pic>
                      <pic:pic xmlns:pic="http://schemas.openxmlformats.org/drawingml/2006/picture">
                        <pic:nvPicPr>
                          <pic:cNvPr id="3" name="Рисунок 1" descr="Изображение выглядит как текст, электроника, снимок экрана, компьютер&#10;&#10;Содержимое, созданное искусственным интеллектом, может быть неверным."/>
                          <pic:cNvPicPr/>
                        </pic:nvPicPr>
                        <pic:blipFill>
                          <a:blip r:embed="rId3"/>
                          <a:srcRect l="0" t="0" r="10039" b="0"/>
                          <a:stretch/>
                        </pic:blipFill>
                        <pic:spPr>
                          <a:xfrm>
                            <a:off x="2235240" y="0"/>
                            <a:ext cx="2635920" cy="1920240"/>
                          </a:xfrm>
                          <a:prstGeom prst="rect">
                            <a:avLst/>
                          </a:prstGeom>
                          <a:ln w="0">
                            <a:noFill/>
                          </a:ln>
                        </pic:spPr>
                      </pic:pic>
                      <pic:pic xmlns:pic="http://schemas.openxmlformats.org/drawingml/2006/picture">
                        <pic:nvPicPr>
                          <pic:cNvPr id="4" name="Рисунок 1" descr="Изображение выглядит как текст, электроника, Электронная техника, схема&#10;&#10;Содержимое, созданное искусственным интеллектом, может быть неверным."/>
                          <pic:cNvPicPr/>
                        </pic:nvPicPr>
                        <pic:blipFill>
                          <a:blip r:embed="rId4"/>
                          <a:stretch/>
                        </pic:blipFill>
                        <pic:spPr>
                          <a:xfrm>
                            <a:off x="14760" y="2604600"/>
                            <a:ext cx="2635920" cy="3072240"/>
                          </a:xfrm>
                          <a:prstGeom prst="rect">
                            <a:avLst/>
                          </a:prstGeom>
                          <a:ln w="0">
                            <a:noFill/>
                          </a:ln>
                        </pic:spPr>
                      </pic:pic>
                      <pic:pic xmlns:pic="http://schemas.openxmlformats.org/drawingml/2006/picture">
                        <pic:nvPicPr>
                          <pic:cNvPr id="5" name="Рисунок 1" descr=""/>
                          <pic:cNvPicPr/>
                        </pic:nvPicPr>
                        <pic:blipFill>
                          <a:blip r:embed="rId5"/>
                          <a:stretch/>
                        </pic:blipFill>
                        <pic:spPr>
                          <a:xfrm>
                            <a:off x="2205360" y="1920960"/>
                            <a:ext cx="2666880" cy="1748880"/>
                          </a:xfrm>
                          <a:prstGeom prst="rect">
                            <a:avLst/>
                          </a:prstGeom>
                          <a:ln w="0">
                            <a:noFill/>
                          </a:ln>
                        </pic:spPr>
                      </pic:pic>
                      <pic:pic xmlns:pic="http://schemas.openxmlformats.org/drawingml/2006/picture">
                        <pic:nvPicPr>
                          <pic:cNvPr id="6" name="Рисунок 1" descr="Изображение выглядит как текст, книга, снимок экрана, Параллельный&#10;&#10;Содержимое, созданное искусственным интеллектом, может быть неверным."/>
                          <pic:cNvPicPr/>
                        </pic:nvPicPr>
                        <pic:blipFill>
                          <a:blip r:embed="rId6"/>
                          <a:srcRect l="0" t="3082" r="0" b="0"/>
                          <a:stretch/>
                        </pic:blipFill>
                        <pic:spPr>
                          <a:xfrm rot="16200000">
                            <a:off x="2395080" y="3188160"/>
                            <a:ext cx="2004120" cy="2962800"/>
                          </a:xfrm>
                          <a:prstGeom prst="rect">
                            <a:avLst/>
                          </a:prstGeom>
                          <a:ln w="0">
                            <a:noFill/>
                          </a:ln>
                        </pic:spPr>
                      </pic:pic>
                    </wpg:wgp>
                  </a:graphicData>
                </a:graphic>
              </wp:anchor>
            </w:drawing>
          </mc:Choice>
          <mc:Fallback>
            <w:pict>
              <v:group id="shape_0" alt="Группа 1" style="position:absolute;margin-left:55.95pt;margin-top:0pt;width:383.65pt;height:484.3pt" coordorigin="1119,0" coordsize="7673,96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Рисунок 1" stroked="f" o:allowincell="f" style="position:absolute;left:1119;top:0;width:3529;height:4113;mso-wrap-style:none;v-text-anchor:middle;mso-position-horizontal:center;mso-position-horizontal-relative:margin" type="_x0000_t75">
                  <v:imagedata r:id="rId7" o:detectmouseclick="t"/>
                  <v:stroke color="#3465a4" joinstyle="round" endcap="flat"/>
                  <w10:wrap type="topAndBottom"/>
                </v:shape>
                <v:shape id="shape_0" ID="Рисунок 1" stroked="f" o:allowincell="f" style="position:absolute;left:4639;top:0;width:4150;height:3023;mso-wrap-style:none;v-text-anchor:middle;mso-position-horizontal:center;mso-position-horizontal-relative:margin" type="_x0000_t75">
                  <v:imagedata r:id="rId8" o:detectmouseclick="t"/>
                  <v:stroke color="#3465a4" joinstyle="round" endcap="flat"/>
                  <w10:wrap type="topAndBottom"/>
                </v:shape>
                <v:shape id="shape_0" ID="Рисунок 1" stroked="f" o:allowincell="f" style="position:absolute;left:1142;top:4102;width:4150;height:4837;mso-wrap-style:none;v-text-anchor:middle;mso-position-horizontal:center;mso-position-horizontal-relative:margin" type="_x0000_t75">
                  <v:imagedata r:id="rId9" o:detectmouseclick="t"/>
                  <v:stroke color="#3465a4" joinstyle="round" endcap="flat"/>
                  <w10:wrap type="topAndBottom"/>
                </v:shape>
                <v:shape id="shape_0" ID="Рисунок 1" stroked="f" o:allowincell="f" style="position:absolute;left:4592;top:3025;width:4199;height:2753;mso-wrap-style:none;v-text-anchor:middle;mso-position-horizontal:center;mso-position-horizontal-relative:margin" type="_x0000_t75">
                  <v:imagedata r:id="rId10" o:detectmouseclick="t"/>
                  <v:stroke color="#3465a4" joinstyle="round" endcap="flat"/>
                  <w10:wrap type="topAndBottom"/>
                </v:shape>
                <v:shape id="shape_0" ID="Рисунок 1" stroked="f" o:allowincell="f" style="position:absolute;left:4891;top:5022;width:3155;height:4665;mso-wrap-style:none;v-text-anchor:middle;rotation:270;mso-position-horizontal:center;mso-position-horizontal-relative:margin" type="_x0000_t75">
                  <v:imagedata r:id="rId11" o:detectmouseclick="t"/>
                  <v:stroke color="#3465a4" joinstyle="round" endcap="flat"/>
                  <w10:wrap type="topAndBottom"/>
                </v:shape>
              </v:group>
            </w:pict>
          </mc:Fallback>
        </mc:AlternateContent>
      </w:r>
    </w:p>
    <w:p>
      <w:pPr>
        <w:pStyle w:val="Normal"/>
        <w:spacing w:lineRule="auto" w:line="240" w:before="0" w:after="0"/>
        <w:ind w:hanging="0"/>
        <w:jc w:val="center"/>
        <w:rPr>
          <w:rFonts w:ascii="Times New Roman" w:hAnsi="Times New Roman" w:cs="Times New Roman"/>
          <w:sz w:val="28"/>
          <w:szCs w:val="28"/>
        </w:rPr>
      </w:pPr>
      <w:r>
        <w:rPr>
          <w:rFonts w:cs="Times New Roman" w:ascii="Times New Roman" w:hAnsi="Times New Roman"/>
          <w:sz w:val="28"/>
          <w:szCs w:val="28"/>
        </w:rPr>
        <w:t>Рис. 1. Регистрация показаний дозиметра перед взлётом в аэропорту Новокузнецк, на эшелоне, после посадки в аэропорту Иркутск; т. NILRA на дисплеях ND и PFD; отрывок из компьютерного плана полёта (CFP) данного рейса.</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Основу регулирования составляют федеральные законы № 3-ФЗ и № 52-ФЗ [3, 4], а сам предел установлен НРБ-99/2009: по п. 4.1 эффективная доза облучения работника природными источниками в производственных условиях не должна превышать 5 мЗв в год, а п. 4.3 прямо распространяет это правило на экипажи самолётов [5]. Поскольку по ст. 56 Воздушного кодекса РФ экипаж состоит из лётного и кабинного экипажа [6], норма касается и пилотов, и бортпроводников.</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Ранее облучение экипажей специально регулировали СанПиН 2.5.1.2423-08 и СанПиН 2.6.1.2800-10. Оба документа утратили силу: первый – с 1 января 2021 года [7], второй – с 1 сентября 2025 года, когда вступил в силу СанПиН 2.6.4115-25 [8]. Однако предел 5 мЗв в год по-прежнему установлен НРБ-99/2009, а контроль и учёт индивидуальных доз облучения предусмотрен ст. 18 закона № 3-ФЗ – в рамках единой государственной системы контроля и учёта индивидуальных доз облучения (ЕСКИД) [3].</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Обязанность обеспечить безопасные условия труда лежит на авиакомпании как работодателе (ст. 214 ТК РФ) [9]. С 1 марта 2025 года действуют особенности специальной оценки условий труда лётных и кабинных экипажей (приказ Минтруда России № 255н), по которым вредные факторы по общему правилу измеряются в ходе контрольного полёта [10]. Но такая оценка характеризует рабочее место, а не дозу, которую конкретный человек набрал за год на разных маршрутах. Общая схема регулирования показана на рис. 2.</w:t>
      </w:r>
    </w:p>
    <w:p>
      <w:pPr>
        <w:pStyle w:val="Normal"/>
        <w:spacing w:lineRule="auto" w:line="240" w:before="0" w:after="0"/>
        <w:ind w:hanging="0"/>
        <w:jc w:val="center"/>
        <w:rPr>
          <w:rFonts w:ascii="Times New Roman" w:hAnsi="Times New Roman" w:cs="Times New Roman"/>
          <w:sz w:val="28"/>
          <w:szCs w:val="28"/>
        </w:rPr>
      </w:pPr>
      <w:r>
        <w:rPr/>
        <w:drawing>
          <wp:inline distT="0" distB="0" distL="0" distR="0">
            <wp:extent cx="4319905" cy="2678430"/>
            <wp:effectExtent l="0" t="0" r="0" b="0"/>
            <wp:docPr id="7" name="Picture 20535742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53574243" descr=""/>
                    <pic:cNvPicPr>
                      <a:picLocks noChangeAspect="1" noChangeArrowheads="1"/>
                    </pic:cNvPicPr>
                  </pic:nvPicPr>
                  <pic:blipFill>
                    <a:blip r:embed="rId12"/>
                    <a:stretch>
                      <a:fillRect/>
                    </a:stretch>
                  </pic:blipFill>
                  <pic:spPr bwMode="auto">
                    <a:xfrm>
                      <a:off x="0" y="0"/>
                      <a:ext cx="4319905" cy="2678430"/>
                    </a:xfrm>
                    <a:prstGeom prst="rect">
                      <a:avLst/>
                    </a:prstGeom>
                  </pic:spPr>
                </pic:pic>
              </a:graphicData>
            </a:graphic>
          </wp:inline>
        </w:drawing>
      </w:r>
    </w:p>
    <w:p>
      <w:pPr>
        <w:pStyle w:val="Normal"/>
        <w:spacing w:lineRule="auto" w:line="240" w:before="0" w:after="0"/>
        <w:ind w:hanging="0"/>
        <w:jc w:val="center"/>
        <w:rPr>
          <w:rFonts w:ascii="Times New Roman" w:hAnsi="Times New Roman" w:cs="Times New Roman"/>
          <w:sz w:val="28"/>
          <w:szCs w:val="28"/>
        </w:rPr>
      </w:pPr>
      <w:commentRangeStart w:id="3"/>
      <w:r>
        <w:rPr>
          <w:rFonts w:cs="Times New Roman" w:ascii="Times New Roman" w:hAnsi="Times New Roman"/>
          <w:sz w:val="28"/>
          <w:szCs w:val="28"/>
        </w:rPr>
        <w:t>Рис. 2. Система правового регулирования радиационной безопасности членов экипажей воздушных судов в Российской Федерации (составлено нами).</w:t>
      </w:r>
      <w:commentRangeEnd w:id="3"/>
      <w:r>
        <w:commentReference w:id="3"/>
      </w:r>
      <w:r>
        <w:rPr>
          <w:rFonts w:cs="Times New Roman" w:ascii="Times New Roman" w:hAnsi="Times New Roman"/>
          <w:sz w:val="28"/>
          <w:szCs w:val="28"/>
        </w:rPr>
      </w:r>
    </w:p>
    <w:p>
      <w:pPr>
        <w:pStyle w:val="Normal"/>
        <w:spacing w:lineRule="auto" w:line="240" w:before="0" w:after="0"/>
        <w:ind w:firstLine="709"/>
        <w:jc w:val="both"/>
        <w:rPr>
          <w:rFonts w:ascii="Times New Roman" w:hAnsi="Times New Roman" w:cs="Times New Roman"/>
          <w:sz w:val="28"/>
          <w:szCs w:val="28"/>
        </w:rPr>
      </w:pPr>
      <w:commentRangeStart w:id="4"/>
      <w:r>
        <w:rPr>
          <w:rFonts w:cs="Times New Roman" w:ascii="Times New Roman" w:hAnsi="Times New Roman"/>
          <w:sz w:val="28"/>
          <w:szCs w:val="28"/>
        </w:rPr>
        <w:t xml:space="preserve">С 1 марта 2026 года вместо приказа Минтранса № 139 действует приказ № 381 [11]: полётное время не может превышать 800 часов в год, а с письменного согласия работника – 900 часов. Оценим дозу при таком налёте. По модельным расчётам отечественных исследователей, за месяц с налётом 90 часов лётный состав получает около 362 мкЗв [2], то есть в среднем около 4 мкЗв за час полёта. Тогда при 900 часах годовая доза составит </w:t>
      </w:r>
      <w:commentRangeEnd w:id="4"/>
      <w:r>
        <w:commentReference w:id="4"/>
      </w:r>
      <w:r>
        <w:rPr>
          <w:rFonts w:cs="Times New Roman" w:ascii="Times New Roman" w:hAnsi="Times New Roman"/>
          <w:sz w:val="28"/>
          <w:szCs w:val="28"/>
        </w:rPr>
        <w:t>900 ч × 0,004 мЗв/ч ≈ 3,6 мЗв (в работе [2] – 3,62 мЗв за 10 месяцев), то есть более 70 % предела. На высокоширотных маршрутах и при солнечных вспышках мощность дозы выше.</w:t>
      </w:r>
    </w:p>
    <w:p>
      <w:pPr>
        <w:pStyle w:val="Normal"/>
        <w:spacing w:lineRule="auto" w:line="240" w:before="0" w:after="0"/>
        <w:ind w:firstLine="709"/>
        <w:jc w:val="both"/>
        <w:rPr>
          <w:rFonts w:ascii="Times New Roman" w:hAnsi="Times New Roman" w:cs="Times New Roman"/>
          <w:sz w:val="28"/>
          <w:szCs w:val="28"/>
        </w:rPr>
      </w:pPr>
      <w:commentRangeStart w:id="5"/>
      <w:r>
        <w:rPr>
          <w:rFonts w:cs="Times New Roman" w:ascii="Times New Roman" w:hAnsi="Times New Roman"/>
          <w:sz w:val="28"/>
          <w:szCs w:val="28"/>
        </w:rPr>
        <w:t xml:space="preserve">Для сравнения, МКРЗ рекомендует для экипажей референтный уровень 5–10 мЗв в год [1], а Директива 2013/59/Евратом при вероятной дозе более 1 мЗв в год </w:t>
      </w:r>
      <w:commentRangeEnd w:id="5"/>
      <w:r>
        <w:commentReference w:id="5"/>
      </w:r>
      <w:r>
        <w:rPr>
          <w:rFonts w:cs="Times New Roman" w:ascii="Times New Roman" w:hAnsi="Times New Roman"/>
          <w:sz w:val="28"/>
          <w:szCs w:val="28"/>
        </w:rPr>
        <w:t>обязывает государства – члены ЕС обеспечить, чтобы авиакомпании оценивали облучение экипажа, учитывали его при составлении графиков и информировали работников о дозах [12, ст. 35, п. 3].</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Таким образом, правовая основа защиты экипажей сформирована: предел установлен и действует. Следующим шагом её развития мы видим закрепление единого порядка расчёта индивидуальной дозы каждого члена экипажа по всем рейсам – такого специального порядка в рассмотренных нами актах нет, тогда как в праве Европейского союза он уже действует [12]. Для этого, на наш взгляд, необходимо: закрепить в санитарных правилах обязанность эксплуатанта при вероятной дозе более 1 мЗв в год рассчитывать и учитывать индивидуальную дозу члена экипажа и установить контрольный уровень ниже предела 5 мЗв; утвердить методические указания по расчёту дозы по фактическим маршрутам, эшелонам и времени полёта; дополнить формы ЕСКИД дозами членов экипажей и ежегодно сообщать работнику его дозу; учитывать дозу при составлении графиков, а согласие на налёт до 900 ч получать только после сообщения работнику его дозы (приказ Минтранса № 381, ст. 329 ТК РФ); после уведомления о беременности предлагать перевод на наземную работу или на рейсы, где доза плоду не превысит 1 мЗв.</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В заключение сформулируем обобщающие выводы:</w:t>
      </w:r>
    </w:p>
    <w:p>
      <w:pPr>
        <w:pStyle w:val="Normal"/>
        <w:spacing w:lineRule="auto" w:line="240" w:before="0" w:after="0"/>
        <w:ind w:firstLine="709"/>
        <w:jc w:val="both"/>
        <w:rPr>
          <w:rFonts w:ascii="Times New Roman" w:hAnsi="Times New Roman" w:cs="Times New Roman"/>
          <w:sz w:val="28"/>
          <w:szCs w:val="28"/>
        </w:rPr>
      </w:pPr>
      <w:r>
        <w:rPr>
          <w:rFonts w:ascii="Times New Roman" w:hAnsi="Times New Roman"/>
          <w:b w:val="false"/>
          <w:i w:val="false"/>
          <w:sz w:val="28"/>
        </w:rPr>
        <w:t>1) Облучение экипажей в Российской Федерации нормируется: предел 5 мЗв в год по пп. 4.1 и 4.3 НРБ-99/2009 сохранился после отмены специальных санитарных правил.</w:t>
      </w:r>
    </w:p>
    <w:p>
      <w:pPr>
        <w:pStyle w:val="Normal"/>
        <w:spacing w:lineRule="auto" w:line="240" w:before="0" w:after="0"/>
        <w:ind w:firstLine="709"/>
        <w:jc w:val="both"/>
        <w:rPr>
          <w:rFonts w:ascii="Times New Roman" w:hAnsi="Times New Roman" w:cs="Times New Roman"/>
          <w:sz w:val="28"/>
          <w:szCs w:val="28"/>
        </w:rPr>
      </w:pPr>
      <w:r>
        <w:rPr>
          <w:rFonts w:ascii="Times New Roman" w:hAnsi="Times New Roman"/>
          <w:b w:val="false"/>
          <w:i w:val="false"/>
          <w:sz w:val="28"/>
        </w:rPr>
        <w:t>2) Специальная оценка условий труда и ограничение налёта не заменяют индивидуального учёта дозы: по нашей оценке, при налёте 900 часов доза может превышать 70 % предела.</w:t>
      </w:r>
    </w:p>
    <w:p>
      <w:pPr>
        <w:pStyle w:val="Normal"/>
        <w:spacing w:lineRule="auto" w:line="240" w:before="0" w:after="0"/>
        <w:ind w:firstLine="709"/>
        <w:jc w:val="both"/>
        <w:rPr>
          <w:rFonts w:ascii="Times New Roman" w:hAnsi="Times New Roman" w:cs="Times New Roman"/>
          <w:sz w:val="28"/>
          <w:szCs w:val="28"/>
        </w:rPr>
      </w:pPr>
      <w:r>
        <w:rPr>
          <w:rFonts w:ascii="Times New Roman" w:hAnsi="Times New Roman"/>
          <w:b w:val="false"/>
          <w:i w:val="false"/>
          <w:sz w:val="28"/>
        </w:rPr>
        <w:t>3) Наиболее целесообразным мы считаем закрепление порядка расчёта индивидуальных доз по фактическим рейсам, информирования работников и учёта доз при составлении графиков, как это сделано в праве Европейского союза.</w:t>
      </w:r>
    </w:p>
    <w:p>
      <w:pPr>
        <w:pStyle w:val="Normal"/>
        <w:spacing w:lineRule="auto" w:line="240" w:before="0" w:after="0"/>
        <w:ind w:firstLine="709"/>
        <w:jc w:val="both"/>
        <w:rPr/>
      </w:pPr>
      <w:r>
        <w:rPr/>
      </w:r>
    </w:p>
    <w:p>
      <w:pPr>
        <w:pStyle w:val="Normal"/>
        <w:spacing w:lineRule="auto" w:line="240" w:before="0" w:after="0"/>
        <w:ind w:hanging="0"/>
        <w:jc w:val="center"/>
        <w:rPr>
          <w:rFonts w:ascii="Times New Roman" w:hAnsi="Times New Roman" w:cs="Times New Roman"/>
          <w:b/>
          <w:bCs/>
          <w:sz w:val="28"/>
          <w:szCs w:val="28"/>
        </w:rPr>
      </w:pPr>
      <w:r>
        <w:rPr>
          <w:rFonts w:ascii="Times New Roman" w:hAnsi="Times New Roman"/>
          <w:b/>
          <w:i w:val="false"/>
          <w:sz w:val="28"/>
        </w:rPr>
        <w:t>Библиографический список</w:t>
      </w:r>
    </w:p>
    <w:p>
      <w:pPr>
        <w:pStyle w:val="Normal"/>
        <w:spacing w:lineRule="auto" w:line="240" w:before="0" w:after="0"/>
        <w:ind w:hanging="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tabs>
          <w:tab w:val="clear" w:pos="708"/>
          <w:tab w:val="left" w:pos="1417" w:leader="none"/>
        </w:tabs>
        <w:spacing w:lineRule="auto" w:line="240" w:before="0" w:after="0"/>
        <w:ind w:firstLine="709"/>
        <w:jc w:val="both"/>
        <w:rPr>
          <w:rFonts w:ascii="Times New Roman" w:hAnsi="Times New Roman" w:cs="Times New Roman"/>
          <w:sz w:val="28"/>
          <w:szCs w:val="28"/>
        </w:rPr>
      </w:pPr>
      <w:r>
        <w:rPr>
          <w:rFonts w:ascii="Times New Roman" w:hAnsi="Times New Roman"/>
          <w:b w:val="false"/>
          <w:i w:val="false"/>
          <w:sz w:val="28"/>
        </w:rPr>
        <w:t>1.</w:t>
        <w:tab/>
        <w:t>ICRP Publication 132. Radiological Protection from Cosmic Radiation in Aviation // Annals of the ICRP. – 2016. – Vol. 45, № 1.</w:t>
      </w:r>
    </w:p>
    <w:p>
      <w:pPr>
        <w:pStyle w:val="Normal"/>
        <w:tabs>
          <w:tab w:val="clear" w:pos="708"/>
          <w:tab w:val="left" w:pos="1417" w:leader="none"/>
        </w:tabs>
        <w:spacing w:lineRule="auto" w:line="240" w:before="0" w:after="0"/>
        <w:ind w:firstLine="709"/>
        <w:jc w:val="both"/>
        <w:rPr>
          <w:rFonts w:ascii="Times New Roman" w:hAnsi="Times New Roman" w:cs="Times New Roman"/>
          <w:sz w:val="28"/>
          <w:szCs w:val="28"/>
        </w:rPr>
      </w:pPr>
      <w:r>
        <w:rPr>
          <w:rFonts w:ascii="Times New Roman" w:hAnsi="Times New Roman"/>
          <w:b w:val="false"/>
          <w:i w:val="false"/>
          <w:sz w:val="28"/>
        </w:rPr>
        <w:t>2.</w:t>
        <w:tab/>
        <w:t>Маткевич Е. И., Бурмистров В. И., Иванов И. В. Оценка доз облучения летного состава воздушных судов и обоснование мероприятий по их снижению // Медицинская радиология и радиационная безопасность. – 2025. – Т. 70, № 6. – С. 28–39.</w:t>
      </w:r>
    </w:p>
    <w:p>
      <w:pPr>
        <w:pStyle w:val="Normal"/>
        <w:tabs>
          <w:tab w:val="clear" w:pos="708"/>
          <w:tab w:val="left" w:pos="1417" w:leader="none"/>
        </w:tabs>
        <w:spacing w:lineRule="auto" w:line="240" w:before="0" w:after="0"/>
        <w:ind w:firstLine="709"/>
        <w:jc w:val="both"/>
        <w:rPr>
          <w:rFonts w:ascii="Times New Roman" w:hAnsi="Times New Roman" w:cs="Times New Roman"/>
          <w:sz w:val="28"/>
          <w:szCs w:val="28"/>
        </w:rPr>
      </w:pPr>
      <w:r>
        <w:rPr>
          <w:rFonts w:ascii="Times New Roman" w:hAnsi="Times New Roman"/>
          <w:b w:val="false"/>
          <w:i w:val="false"/>
          <w:sz w:val="28"/>
        </w:rPr>
        <w:t>3.</w:t>
        <w:tab/>
        <w:t>О радиационной безопасности населения : Федеральный закон от 09.01.1996 № 3-ФЗ.</w:t>
      </w:r>
    </w:p>
    <w:p>
      <w:pPr>
        <w:pStyle w:val="Normal"/>
        <w:tabs>
          <w:tab w:val="clear" w:pos="708"/>
          <w:tab w:val="left" w:pos="1417" w:leader="none"/>
        </w:tabs>
        <w:spacing w:lineRule="auto" w:line="240" w:before="0" w:after="0"/>
        <w:ind w:firstLine="709"/>
        <w:jc w:val="both"/>
        <w:rPr>
          <w:rFonts w:ascii="Times New Roman" w:hAnsi="Times New Roman" w:cs="Times New Roman"/>
          <w:sz w:val="28"/>
          <w:szCs w:val="28"/>
        </w:rPr>
      </w:pPr>
      <w:r>
        <w:rPr>
          <w:rFonts w:ascii="Times New Roman" w:hAnsi="Times New Roman"/>
          <w:b w:val="false"/>
          <w:i w:val="false"/>
          <w:sz w:val="28"/>
        </w:rPr>
        <w:t>4.</w:t>
        <w:tab/>
        <w:t>О санитарно-эпидемиологическом благополучии населения : Федеральный закон от 30.03.1999 № 52-ФЗ.</w:t>
      </w:r>
    </w:p>
    <w:p>
      <w:pPr>
        <w:pStyle w:val="Normal"/>
        <w:tabs>
          <w:tab w:val="clear" w:pos="708"/>
          <w:tab w:val="left" w:pos="1417" w:leader="none"/>
        </w:tabs>
        <w:spacing w:lineRule="auto" w:line="240" w:before="0" w:after="0"/>
        <w:ind w:firstLine="709"/>
        <w:jc w:val="both"/>
        <w:rPr>
          <w:rFonts w:ascii="Times New Roman" w:hAnsi="Times New Roman" w:cs="Times New Roman"/>
          <w:sz w:val="28"/>
          <w:szCs w:val="28"/>
        </w:rPr>
      </w:pPr>
      <w:r>
        <w:rPr>
          <w:rFonts w:ascii="Times New Roman" w:hAnsi="Times New Roman"/>
          <w:b w:val="false"/>
          <w:i w:val="false"/>
          <w:sz w:val="28"/>
        </w:rPr>
        <w:t>5.</w:t>
        <w:tab/>
        <w:t>СанПиН 2.6.1.2523-09. Нормы радиационной безопасности (НРБ-99/2009) : утв. постановлением Главного государственного санитарного врача РФ от 07.07.2009 № 47.</w:t>
      </w:r>
    </w:p>
    <w:p>
      <w:pPr>
        <w:pStyle w:val="Normal"/>
        <w:tabs>
          <w:tab w:val="clear" w:pos="708"/>
          <w:tab w:val="left" w:pos="1417" w:leader="none"/>
        </w:tabs>
        <w:spacing w:lineRule="auto" w:line="240" w:before="0" w:after="0"/>
        <w:ind w:firstLine="709"/>
        <w:jc w:val="both"/>
        <w:rPr>
          <w:rFonts w:ascii="Times New Roman" w:hAnsi="Times New Roman" w:cs="Times New Roman"/>
          <w:sz w:val="28"/>
          <w:szCs w:val="28"/>
        </w:rPr>
      </w:pPr>
      <w:r>
        <w:rPr>
          <w:rFonts w:ascii="Times New Roman" w:hAnsi="Times New Roman"/>
          <w:b w:val="false"/>
          <w:i w:val="false"/>
          <w:sz w:val="28"/>
        </w:rPr>
        <w:t>6.</w:t>
        <w:tab/>
        <w:t>Воздушный кодекс Российской Федерации от 19.03.1997 № 60-ФЗ.</w:t>
      </w:r>
    </w:p>
    <w:p>
      <w:pPr>
        <w:pStyle w:val="Normal"/>
        <w:tabs>
          <w:tab w:val="clear" w:pos="708"/>
          <w:tab w:val="left" w:pos="1417" w:leader="none"/>
        </w:tabs>
        <w:spacing w:lineRule="auto" w:line="240" w:before="0" w:after="0"/>
        <w:ind w:firstLine="709"/>
        <w:jc w:val="both"/>
        <w:rPr>
          <w:rFonts w:ascii="Times New Roman" w:hAnsi="Times New Roman" w:cs="Times New Roman"/>
          <w:sz w:val="28"/>
          <w:szCs w:val="28"/>
        </w:rPr>
      </w:pPr>
      <w:r>
        <w:rPr>
          <w:rFonts w:ascii="Times New Roman" w:hAnsi="Times New Roman"/>
          <w:b w:val="false"/>
          <w:i w:val="false"/>
          <w:sz w:val="28"/>
        </w:rPr>
        <w:t>7.</w:t>
        <w:tab/>
        <w:t>Постановление Правительства РФ от 08.10.2020 № 1631 (об утрате силы СанПиН 2.5.1.2423-08 с 01.01.2021).</w:t>
      </w:r>
    </w:p>
    <w:p>
      <w:pPr>
        <w:pStyle w:val="Normal"/>
        <w:tabs>
          <w:tab w:val="clear" w:pos="708"/>
          <w:tab w:val="left" w:pos="1417" w:leader="none"/>
        </w:tabs>
        <w:spacing w:lineRule="auto" w:line="240" w:before="0" w:after="0"/>
        <w:ind w:firstLine="709"/>
        <w:jc w:val="both"/>
        <w:rPr>
          <w:rFonts w:ascii="Times New Roman" w:hAnsi="Times New Roman" w:cs="Times New Roman"/>
          <w:sz w:val="28"/>
          <w:szCs w:val="28"/>
        </w:rPr>
      </w:pPr>
      <w:r>
        <w:rPr>
          <w:rFonts w:ascii="Times New Roman" w:hAnsi="Times New Roman"/>
          <w:b w:val="false"/>
          <w:i w:val="false"/>
          <w:sz w:val="28"/>
        </w:rPr>
        <w:t>8.</w:t>
        <w:tab/>
        <w:t>СанПиН 2.6.4115-25 : утв. постановлением Главного государственного санитарного врача РФ от 27.03.2025 № 6 (об утрате силы СанПиН 2.6.1.2800-10 с 01.09.2025).</w:t>
      </w:r>
    </w:p>
    <w:p>
      <w:pPr>
        <w:pStyle w:val="Normal"/>
        <w:tabs>
          <w:tab w:val="clear" w:pos="708"/>
          <w:tab w:val="left" w:pos="1417" w:leader="none"/>
        </w:tabs>
        <w:spacing w:lineRule="auto" w:line="240" w:before="0" w:after="0"/>
        <w:ind w:firstLine="709"/>
        <w:jc w:val="both"/>
        <w:rPr>
          <w:rFonts w:ascii="Times New Roman" w:hAnsi="Times New Roman" w:cs="Times New Roman"/>
          <w:sz w:val="28"/>
          <w:szCs w:val="28"/>
        </w:rPr>
      </w:pPr>
      <w:r>
        <w:rPr>
          <w:rFonts w:ascii="Times New Roman" w:hAnsi="Times New Roman"/>
          <w:b w:val="false"/>
          <w:i w:val="false"/>
          <w:sz w:val="28"/>
        </w:rPr>
        <w:t>9.</w:t>
        <w:tab/>
        <w:t>Трудовой кодекс Российской Федерации от 30.12.2001 № 197-ФЗ.</w:t>
      </w:r>
    </w:p>
    <w:p>
      <w:pPr>
        <w:pStyle w:val="Normal"/>
        <w:tabs>
          <w:tab w:val="clear" w:pos="708"/>
          <w:tab w:val="left" w:pos="1417" w:leader="none"/>
        </w:tabs>
        <w:spacing w:lineRule="auto" w:line="240" w:before="0" w:after="0"/>
        <w:ind w:firstLine="709"/>
        <w:jc w:val="both"/>
        <w:rPr>
          <w:rFonts w:ascii="Times New Roman" w:hAnsi="Times New Roman" w:cs="Times New Roman"/>
          <w:sz w:val="28"/>
          <w:szCs w:val="28"/>
        </w:rPr>
      </w:pPr>
      <w:r>
        <w:rPr>
          <w:rFonts w:ascii="Times New Roman" w:hAnsi="Times New Roman"/>
          <w:b w:val="false"/>
          <w:i w:val="false"/>
          <w:sz w:val="28"/>
        </w:rPr>
        <w:t>10.</w:t>
        <w:tab/>
        <w:t>Об утверждении особенностей проведения специальной оценки условий труда на рабочих местах членов летных и кабинных экипажей воздушных судов гражданской авиации : приказ Минтруда России от 06.05.2024 № 255н.</w:t>
      </w:r>
    </w:p>
    <w:p>
      <w:pPr>
        <w:pStyle w:val="Normal"/>
        <w:tabs>
          <w:tab w:val="clear" w:pos="708"/>
          <w:tab w:val="left" w:pos="1417" w:leader="none"/>
        </w:tabs>
        <w:spacing w:lineRule="auto" w:line="240" w:before="0" w:after="0"/>
        <w:ind w:firstLine="709"/>
        <w:jc w:val="both"/>
        <w:rPr>
          <w:rFonts w:ascii="Times New Roman" w:hAnsi="Times New Roman" w:cs="Times New Roman"/>
          <w:sz w:val="28"/>
          <w:szCs w:val="28"/>
        </w:rPr>
      </w:pPr>
      <w:r>
        <w:rPr>
          <w:rFonts w:ascii="Times New Roman" w:hAnsi="Times New Roman"/>
          <w:b w:val="false"/>
          <w:i w:val="false"/>
          <w:sz w:val="28"/>
        </w:rPr>
        <w:t>11.</w:t>
        <w:tab/>
        <w:t>Приказ Минтранса России от 10.11.2025 № 381 «Об установлении Особенностей режима рабочего времени и времени отдыха специалистов авиационного персонала гражданской авиации...». – Введ. 01.03.2026.</w:t>
      </w:r>
    </w:p>
    <w:p>
      <w:pPr>
        <w:pStyle w:val="Normal"/>
        <w:tabs>
          <w:tab w:val="clear" w:pos="708"/>
          <w:tab w:val="left" w:pos="1417" w:leader="none"/>
        </w:tabs>
        <w:spacing w:lineRule="auto" w:line="240" w:before="0" w:after="0"/>
        <w:ind w:firstLine="709"/>
        <w:jc w:val="both"/>
        <w:rPr>
          <w:rFonts w:ascii="Times New Roman" w:hAnsi="Times New Roman" w:cs="Times New Roman"/>
          <w:sz w:val="28"/>
          <w:szCs w:val="28"/>
        </w:rPr>
      </w:pPr>
      <w:r>
        <w:rPr>
          <w:rFonts w:ascii="Times New Roman" w:hAnsi="Times New Roman"/>
          <w:b w:val="false"/>
          <w:i w:val="false"/>
          <w:sz w:val="28"/>
        </w:rPr>
        <w:t>12.</w:t>
        <w:tab/>
        <w:t>Council Directive 2013/59/Euratom of 5 December 2013 laying down basic safety standards for protection against the dangers arising from exposure to ionising radiation. – Ст. 35.</w:t>
      </w:r>
    </w:p>
    <w:sectPr>
      <w:type w:val="nextPage"/>
      <w:pgSz w:w="11906" w:h="16838"/>
      <w:pgMar w:left="1417" w:right="567" w:gutter="0" w:header="0" w:top="1134" w:footer="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Claude" w:date="2026-10-10T09:07:01Z" w:initials="AI">
    <w:p>
      <w:pPr>
        <w:overflowPunct w:val="false"/>
        <w:spacing w:before="0" w:after="0" w:lineRule="auto" w:line="240"/>
        <w:rPr/>
      </w:pPr>
      <w:r>
        <w:rPr>
          <w:rFonts w:ascii="Liberation Serif" w:hAnsi="Liberation Serif" w:eastAsia="DejaVu Sans" w:cs="DejaVu Sans"/>
          <w:color w:val="000000"/>
          <w:kern w:val="0"/>
          <w:sz w:val="20"/>
          <w:szCs w:val="20"/>
          <w:lang w:val="en-US" w:eastAsia="en-US" w:bidi="en-US"/>
        </w:rPr>
        <w:t>Можно заменить на «Высота, фут» и добавить примечание к таблице: у земли высота по QNH, на эшелоне – эшелон полёта (по стандартному давлению).</w:t>
      </w:r>
    </w:p>
  </w:comment>
  <w:comment w:id="2" w:author="Claude" w:date="2026-10-10T09:07:01Z" w:initials="AI">
    <w:p>
      <w:pPr>
        <w:overflowPunct w:val="false"/>
        <w:spacing w:before="0" w:after="0" w:lineRule="auto" w:line="240"/>
        <w:rPr/>
      </w:pPr>
      <w:r>
        <w:rPr>
          <w:rFonts w:ascii="Liberation Serif" w:hAnsi="Liberation Serif" w:eastAsia="DejaVu Sans" w:cs="DejaVu Sans"/>
          <w:color w:val="000000"/>
          <w:kern w:val="0"/>
          <w:sz w:val="20"/>
          <w:szCs w:val="20"/>
          <w:lang w:val="en-US" w:eastAsia="en-US" w:bidi="en-US"/>
        </w:rPr>
        <w:t>Координаты т. NAPOR не совпадают с планом полёта (CFP): там NAPOR – N57°06,9′ E066°08,2′ (57,115; 66,137). Если здесь указано место самолёта в момент замера, лучше написать «район т. NAPOR»; если это опечатка – исправить.</w:t>
      </w:r>
    </w:p>
  </w:comment>
  <w:comment w:id="3" w:author="Claude" w:date="2026-10-10T09:07:01Z" w:initials="AI">
    <w:p>
      <w:pPr>
        <w:overflowPunct w:val="false"/>
        <w:spacing w:before="0" w:after="0" w:lineRule="auto" w:line="240"/>
        <w:rPr/>
      </w:pPr>
      <w:r>
        <w:rPr>
          <w:rFonts w:ascii="Liberation Serif" w:hAnsi="Liberation Serif" w:eastAsia="DejaVu Sans" w:cs="DejaVu Sans"/>
          <w:color w:val="000000"/>
          <w:kern w:val="0"/>
          <w:sz w:val="20"/>
          <w:szCs w:val="20"/>
          <w:lang w:val="en-US" w:eastAsia="en-US" w:bidi="en-US"/>
        </w:rPr>
        <w:t>Предложение по схеме (в презентации уже исправлено): 1) ТК РФ – федеральный закон, его лучше перенести в верхний блок «Федеральные законы»; средний ряд – подзаконные акты (НРБ-99/2009, приказ № 255н, приказ № 381). 2) Надпись «Не закреплено: единый порядок учёта индивидуальной дозы» спорна: общий учёт доз предусмотрен ст. 18 № 3-ФЗ (ЕСКИД). Точнее: «Не закреплено: специальный порядок расчёта индивидуальных доз членов экипажей по фактическим рейсам».</w:t>
      </w:r>
    </w:p>
  </w:comment>
  <w:comment w:id="4" w:author="Claude" w:date="2026-10-10T09:07:01Z" w:initials="AI">
    <w:p>
      <w:pPr>
        <w:overflowPunct w:val="false"/>
        <w:spacing w:before="0" w:after="0" w:lineRule="auto" w:line="240"/>
        <w:rPr/>
      </w:pPr>
      <w:r>
        <w:rPr>
          <w:rFonts w:ascii="Liberation Serif" w:hAnsi="Liberation Serif" w:eastAsia="DejaVu Sans" w:cs="DejaVu Sans"/>
          <w:color w:val="000000"/>
          <w:kern w:val="0"/>
          <w:sz w:val="20"/>
          <w:szCs w:val="20"/>
          <w:lang w:val="en-US" w:eastAsia="en-US" w:bidi="en-US"/>
        </w:rPr>
        <w:t>Сверьте формулировку с текстом приказа № 381 (КонсультантПлюс/Гарант): возможно, «с письменного согласия члена экипажа». Важно: возможность увеличить налёт до 900 ч с согласия существует ещё с 2010 г. (приказ Минтранса № 201 к приказу № 139); приказ № 381 её сохранил, поэтому не пишите, что он «увеличил» налёт. Есть также месячные (80/90 ч) и квартальные (240/270 ч) ограничения.</w:t>
      </w:r>
    </w:p>
  </w:comment>
  <w:comment w:id="5" w:author="Claude" w:date="2026-10-10T09:07:02Z" w:initials="AI">
    <w:p>
      <w:pPr>
        <w:overflowPunct w:val="false"/>
        <w:spacing w:before="0" w:after="0" w:lineRule="auto" w:line="240"/>
        <w:rPr/>
      </w:pPr>
      <w:r>
        <w:rPr>
          <w:rFonts w:ascii="Liberation Serif" w:hAnsi="Liberation Serif" w:eastAsia="DejaVu Sans" w:cs="DejaVu Sans"/>
          <w:color w:val="000000"/>
          <w:kern w:val="0"/>
          <w:sz w:val="20"/>
          <w:szCs w:val="20"/>
          <w:lang w:val="en-US" w:eastAsia="en-US" w:bidi="en-US"/>
        </w:rPr>
        <w:t>По ICRP Publication 132 референтный уровень для экипажей выбирают, как правило, в диапазоне 5–10 мЗв/год – это ориентир для оптимизации, а не предел дозы. В Директиве (ст. 35, п. 3) при дозе свыше 6 мЗв/год на экипаж распространяется весь режим профессионального облучения (гл. VI).</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a227c"/>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ru-RU" w:eastAsia="en-US" w:bidi="ar-SA"/>
      <w14:ligatures w14:val="standardContextual"/>
    </w:rPr>
  </w:style>
  <w:style w:type="paragraph" w:styleId="Heading1">
    <w:name w:val="Heading 1"/>
    <w:basedOn w:val="Normal"/>
    <w:next w:val="Normal"/>
    <w:link w:val="1"/>
    <w:uiPriority w:val="9"/>
    <w:qFormat/>
    <w:rsid w:val="0083685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2"/>
    <w:uiPriority w:val="9"/>
    <w:semiHidden/>
    <w:unhideWhenUsed/>
    <w:qFormat/>
    <w:rsid w:val="0083685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3"/>
    <w:uiPriority w:val="9"/>
    <w:semiHidden/>
    <w:unhideWhenUsed/>
    <w:qFormat/>
    <w:rsid w:val="0083685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4"/>
    <w:uiPriority w:val="9"/>
    <w:semiHidden/>
    <w:unhideWhenUsed/>
    <w:qFormat/>
    <w:rsid w:val="0083685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5"/>
    <w:uiPriority w:val="9"/>
    <w:semiHidden/>
    <w:unhideWhenUsed/>
    <w:qFormat/>
    <w:rsid w:val="0083685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6"/>
    <w:uiPriority w:val="9"/>
    <w:semiHidden/>
    <w:unhideWhenUsed/>
    <w:qFormat/>
    <w:rsid w:val="0083685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83685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83685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83685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1" w:customStyle="1">
    <w:name w:val="Заголовок 1 Знак"/>
    <w:basedOn w:val="DefaultParagraphFont"/>
    <w:link w:val="Heading1"/>
    <w:uiPriority w:val="9"/>
    <w:qFormat/>
    <w:rsid w:val="00836857"/>
    <w:rPr>
      <w:rFonts w:ascii="Aptos Display" w:hAnsi="Aptos Display" w:eastAsia="" w:cs="" w:asciiTheme="majorHAnsi" w:cstheme="majorBidi" w:eastAsiaTheme="majorEastAsia" w:hAnsiTheme="majorHAnsi"/>
      <w:color w:themeColor="accent1" w:themeShade="bf" w:val="0F4761"/>
      <w:sz w:val="40"/>
      <w:szCs w:val="40"/>
    </w:rPr>
  </w:style>
  <w:style w:type="character" w:styleId="2" w:customStyle="1">
    <w:name w:val="Заголовок 2 Знак"/>
    <w:basedOn w:val="DefaultParagraphFont"/>
    <w:link w:val="Heading2"/>
    <w:uiPriority w:val="9"/>
    <w:semiHidden/>
    <w:qFormat/>
    <w:rsid w:val="00836857"/>
    <w:rPr>
      <w:rFonts w:ascii="Aptos Display" w:hAnsi="Aptos Display" w:eastAsia="" w:cs="" w:asciiTheme="majorHAnsi" w:cstheme="majorBidi" w:eastAsiaTheme="majorEastAsia" w:hAnsiTheme="majorHAnsi"/>
      <w:color w:themeColor="accent1" w:themeShade="bf" w:val="0F4761"/>
      <w:sz w:val="32"/>
      <w:szCs w:val="32"/>
    </w:rPr>
  </w:style>
  <w:style w:type="character" w:styleId="3" w:customStyle="1">
    <w:name w:val="Заголовок 3 Знак"/>
    <w:basedOn w:val="DefaultParagraphFont"/>
    <w:link w:val="Heading3"/>
    <w:uiPriority w:val="9"/>
    <w:semiHidden/>
    <w:qFormat/>
    <w:rsid w:val="00836857"/>
    <w:rPr>
      <w:rFonts w:eastAsia="" w:cs="" w:cstheme="majorBidi" w:eastAsiaTheme="majorEastAsia"/>
      <w:color w:themeColor="accent1" w:themeShade="bf" w:val="0F4761"/>
      <w:sz w:val="28"/>
      <w:szCs w:val="28"/>
    </w:rPr>
  </w:style>
  <w:style w:type="character" w:styleId="4" w:customStyle="1">
    <w:name w:val="Заголовок 4 Знак"/>
    <w:basedOn w:val="DefaultParagraphFont"/>
    <w:link w:val="Heading4"/>
    <w:uiPriority w:val="9"/>
    <w:semiHidden/>
    <w:qFormat/>
    <w:rsid w:val="00836857"/>
    <w:rPr>
      <w:rFonts w:eastAsia="" w:cs="" w:cstheme="majorBidi" w:eastAsiaTheme="majorEastAsia"/>
      <w:i/>
      <w:iCs/>
      <w:color w:themeColor="accent1" w:themeShade="bf" w:val="0F4761"/>
    </w:rPr>
  </w:style>
  <w:style w:type="character" w:styleId="5" w:customStyle="1">
    <w:name w:val="Заголовок 5 Знак"/>
    <w:basedOn w:val="DefaultParagraphFont"/>
    <w:link w:val="Heading5"/>
    <w:uiPriority w:val="9"/>
    <w:semiHidden/>
    <w:qFormat/>
    <w:rsid w:val="00836857"/>
    <w:rPr>
      <w:rFonts w:eastAsia="" w:cs="" w:cstheme="majorBidi" w:eastAsiaTheme="majorEastAsia"/>
      <w:color w:themeColor="accent1" w:themeShade="bf" w:val="0F4761"/>
    </w:rPr>
  </w:style>
  <w:style w:type="character" w:styleId="6" w:customStyle="1">
    <w:name w:val="Заголовок 6 Знак"/>
    <w:basedOn w:val="DefaultParagraphFont"/>
    <w:link w:val="Heading6"/>
    <w:uiPriority w:val="9"/>
    <w:semiHidden/>
    <w:qFormat/>
    <w:rsid w:val="00836857"/>
    <w:rPr>
      <w:rFonts w:eastAsia="" w:cs="" w:cstheme="majorBidi" w:eastAsiaTheme="majorEastAsia"/>
      <w:i/>
      <w:iCs/>
      <w:color w:themeColor="text1" w:themeTint="a6" w:val="595959"/>
    </w:rPr>
  </w:style>
  <w:style w:type="character" w:styleId="7" w:customStyle="1">
    <w:name w:val="Заголовок 7 Знак"/>
    <w:basedOn w:val="DefaultParagraphFont"/>
    <w:link w:val="Heading7"/>
    <w:uiPriority w:val="9"/>
    <w:semiHidden/>
    <w:qFormat/>
    <w:rsid w:val="00836857"/>
    <w:rPr>
      <w:rFonts w:eastAsia="" w:cs="" w:cstheme="majorBidi" w:eastAsiaTheme="majorEastAsia"/>
      <w:color w:themeColor="text1" w:themeTint="a6" w:val="595959"/>
    </w:rPr>
  </w:style>
  <w:style w:type="character" w:styleId="8" w:customStyle="1">
    <w:name w:val="Заголовок 8 Знак"/>
    <w:basedOn w:val="DefaultParagraphFont"/>
    <w:link w:val="Heading8"/>
    <w:uiPriority w:val="9"/>
    <w:semiHidden/>
    <w:qFormat/>
    <w:rsid w:val="00836857"/>
    <w:rPr>
      <w:rFonts w:eastAsia="" w:cs="" w:cstheme="majorBidi" w:eastAsiaTheme="majorEastAsia"/>
      <w:i/>
      <w:iCs/>
      <w:color w:themeColor="text1" w:themeTint="d8" w:val="272727"/>
    </w:rPr>
  </w:style>
  <w:style w:type="character" w:styleId="9" w:customStyle="1">
    <w:name w:val="Заголовок 9 Знак"/>
    <w:basedOn w:val="DefaultParagraphFont"/>
    <w:link w:val="Heading9"/>
    <w:uiPriority w:val="9"/>
    <w:semiHidden/>
    <w:qFormat/>
    <w:rsid w:val="00836857"/>
    <w:rPr>
      <w:rFonts w:eastAsia="" w:cs="" w:cstheme="majorBidi" w:eastAsiaTheme="majorEastAsia"/>
      <w:color w:themeColor="text1" w:themeTint="d8" w:val="272727"/>
    </w:rPr>
  </w:style>
  <w:style w:type="character" w:styleId="Style5" w:customStyle="1">
    <w:name w:val="Заголовок Знак"/>
    <w:basedOn w:val="DefaultParagraphFont"/>
    <w:link w:val="Title"/>
    <w:uiPriority w:val="10"/>
    <w:qFormat/>
    <w:rsid w:val="00836857"/>
    <w:rPr>
      <w:rFonts w:ascii="Aptos Display" w:hAnsi="Aptos Display"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link w:val="Subtitle"/>
    <w:uiPriority w:val="11"/>
    <w:qFormat/>
    <w:rsid w:val="00836857"/>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836857"/>
    <w:rPr>
      <w:i/>
      <w:iCs/>
      <w:color w:themeColor="text1" w:themeTint="bf" w:val="404040"/>
    </w:rPr>
  </w:style>
  <w:style w:type="character" w:styleId="IntenseEmphasis">
    <w:name w:val="Intense Emphasis"/>
    <w:basedOn w:val="DefaultParagraphFont"/>
    <w:uiPriority w:val="21"/>
    <w:qFormat/>
    <w:rsid w:val="00836857"/>
    <w:rPr>
      <w:i/>
      <w:iCs/>
      <w:color w:themeColor="accent1" w:themeShade="bf" w:val="0F4761"/>
    </w:rPr>
  </w:style>
  <w:style w:type="character" w:styleId="Style7" w:customStyle="1">
    <w:name w:val="Выделенная цитата Знак"/>
    <w:basedOn w:val="DefaultParagraphFont"/>
    <w:link w:val="IntenseQuote"/>
    <w:uiPriority w:val="30"/>
    <w:qFormat/>
    <w:rsid w:val="00836857"/>
    <w:rPr>
      <w:i/>
      <w:iCs/>
      <w:color w:themeColor="accent1" w:themeShade="bf" w:val="0F4761"/>
    </w:rPr>
  </w:style>
  <w:style w:type="character" w:styleId="IntenseReference">
    <w:name w:val="Intense Reference"/>
    <w:basedOn w:val="DefaultParagraphFont"/>
    <w:uiPriority w:val="32"/>
    <w:qFormat/>
    <w:rsid w:val="00836857"/>
    <w:rPr>
      <w:b/>
      <w:bCs/>
      <w:smallCaps/>
      <w:color w:themeColor="accent1" w:themeShade="bf" w:val="0F4761"/>
      <w:spacing w:val="5"/>
    </w:rPr>
  </w:style>
  <w:style w:type="character" w:styleId="Hyperlink">
    <w:name w:val="Hyperlink"/>
    <w:basedOn w:val="DefaultParagraphFont"/>
    <w:uiPriority w:val="99"/>
    <w:unhideWhenUsed/>
    <w:rsid w:val="00ff734e"/>
    <w:rPr>
      <w:color w:themeColor="hyperlink" w:val="467886"/>
      <w:u w:val="single"/>
    </w:rPr>
  </w:style>
  <w:style w:type="character" w:styleId="UnresolvedMention">
    <w:name w:val="Unresolved Mention"/>
    <w:basedOn w:val="DefaultParagraphFont"/>
    <w:uiPriority w:val="99"/>
    <w:semiHidden/>
    <w:unhideWhenUsed/>
    <w:qFormat/>
    <w:rsid w:val="00ff734e"/>
    <w:rPr>
      <w:color w:val="605E5C"/>
      <w:shd w:fill="E1DFDD" w:val="clear"/>
    </w:rPr>
  </w:style>
  <w:style w:type="character" w:styleId="Style8" w:customStyle="1">
    <w:name w:val="Верхний колонтитул Знак"/>
    <w:basedOn w:val="DefaultParagraphFont"/>
    <w:link w:val="Header"/>
    <w:uiPriority w:val="99"/>
    <w:qFormat/>
    <w:rsid w:val="00106b97"/>
    <w:rPr/>
  </w:style>
  <w:style w:type="character" w:styleId="Style9" w:customStyle="1">
    <w:name w:val="Нижний колонтитул Знак"/>
    <w:basedOn w:val="DefaultParagraphFont"/>
    <w:link w:val="Footer"/>
    <w:uiPriority w:val="99"/>
    <w:qFormat/>
    <w:rsid w:val="00106b97"/>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Style5"/>
    <w:uiPriority w:val="10"/>
    <w:qFormat/>
    <w:rsid w:val="0083685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836857"/>
    <w:pPr/>
    <w:rPr>
      <w:rFonts w:eastAsia="" w:cs="" w:cstheme="majorBidi" w:eastAsiaTheme="majorEastAsia"/>
      <w:color w:themeColor="text1" w:themeTint="a6" w:val="595959"/>
      <w:spacing w:val="15"/>
      <w:sz w:val="28"/>
      <w:szCs w:val="28"/>
    </w:rPr>
  </w:style>
  <w:style w:type="paragraph" w:styleId="Quote">
    <w:name w:val="Quote"/>
    <w:basedOn w:val="Normal"/>
    <w:next w:val="Normal"/>
    <w:link w:val="21"/>
    <w:uiPriority w:val="29"/>
    <w:qFormat/>
    <w:rsid w:val="00836857"/>
    <w:pPr>
      <w:spacing w:before="160" w:after="160"/>
      <w:jc w:val="center"/>
    </w:pPr>
    <w:rPr>
      <w:i/>
      <w:iCs/>
      <w:color w:themeColor="text1" w:themeTint="bf" w:val="404040"/>
    </w:rPr>
  </w:style>
  <w:style w:type="paragraph" w:styleId="ListParagraph">
    <w:name w:val="List Paragraph"/>
    <w:basedOn w:val="Normal"/>
    <w:uiPriority w:val="34"/>
    <w:qFormat/>
    <w:rsid w:val="00836857"/>
    <w:pPr>
      <w:spacing w:before="0" w:after="160"/>
      <w:ind w:left="720"/>
      <w:contextualSpacing/>
    </w:pPr>
    <w:rPr/>
  </w:style>
  <w:style w:type="paragraph" w:styleId="IntenseQuote">
    <w:name w:val="Intense Quote"/>
    <w:basedOn w:val="Normal"/>
    <w:next w:val="Normal"/>
    <w:link w:val="Style7"/>
    <w:uiPriority w:val="30"/>
    <w:qFormat/>
    <w:rsid w:val="0083685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Style8"/>
    <w:uiPriority w:val="99"/>
    <w:unhideWhenUsed/>
    <w:rsid w:val="00106b97"/>
    <w:pPr>
      <w:tabs>
        <w:tab w:val="clear" w:pos="708"/>
        <w:tab w:val="center" w:pos="4677" w:leader="none"/>
        <w:tab w:val="right" w:pos="9355" w:leader="none"/>
      </w:tabs>
      <w:spacing w:lineRule="auto" w:line="240" w:before="0" w:after="0"/>
    </w:pPr>
    <w:rPr/>
  </w:style>
  <w:style w:type="paragraph" w:styleId="Footer">
    <w:name w:val="Footer"/>
    <w:basedOn w:val="Normal"/>
    <w:link w:val="Style9"/>
    <w:uiPriority w:val="99"/>
    <w:unhideWhenUsed/>
    <w:rsid w:val="00106b97"/>
    <w:pPr>
      <w:tabs>
        <w:tab w:val="clear" w:pos="708"/>
        <w:tab w:val="center" w:pos="4677" w:leader="none"/>
        <w:tab w:val="right" w:pos="9355" w:leader="none"/>
      </w:tabs>
      <w:spacing w:lineRule="auto" w:line="240" w:before="0" w:after="0"/>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comments" Target="comments.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919</TotalTime>
  <Application>LibreOffice/24.2.7.2$Linux_X86_64 LibreOffice_project/420$Build-2</Application>
  <AppVersion>15.0000</AppVersion>
  <Pages>3</Pages>
  <Words>745</Words>
  <Characters>4382</Characters>
  <CharactersWithSpaces>5114</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2025-12-04T13:47:00Z</dcterms:created>
  <dc:creator>UserX .</dc:creator>
  <dc:description/>
  <dc:language>en-US</dc:language>
  <cp:lastModifiedBy/>
  <dcterms:modified xsi:type="dcterms:W3CDTF">2026-10-10T09:20:15Z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