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8" w:type="dxa"/>
        <w:tblCellMar>
          <w:left w:w="0" w:type="dxa"/>
          <w:right w:w="0" w:type="dxa"/>
        </w:tblCellMar>
        <w:tblLook w:val="04A0" w:firstRow="1" w:lastRow="0" w:firstColumn="1" w:lastColumn="0" w:noHBand="0" w:noVBand="1"/>
      </w:tblPr>
      <w:tblGrid>
        <w:gridCol w:w="2758"/>
        <w:gridCol w:w="8020"/>
      </w:tblGrid>
      <w:tr w:rsidR="00000000">
        <w:trPr>
          <w:divId w:val="1556770707"/>
          <w:trHeight w:val="1180"/>
        </w:trPr>
        <w:tc>
          <w:tcPr>
            <w:tcW w:w="2758" w:type="dxa"/>
            <w:vMerge w:val="restart"/>
            <w:shd w:val="clear" w:color="auto" w:fill="FFC000"/>
            <w:tcMar>
              <w:top w:w="58" w:type="dxa"/>
              <w:left w:w="58" w:type="dxa"/>
              <w:bottom w:w="58" w:type="dxa"/>
              <w:right w:w="58" w:type="dxa"/>
            </w:tcMar>
            <w:hideMark/>
          </w:tcPr>
          <w:p w:rsidR="00000000" w:rsidRDefault="00703D2E">
            <w:pPr>
              <w:spacing w:before="100" w:beforeAutospacing="1" w:after="100" w:afterAutospacing="1"/>
            </w:pPr>
            <w:bookmarkStart w:id="0" w:name="_GoBack"/>
            <w:bookmarkEnd w:id="0"/>
            <w:r>
              <w:rPr>
                <w:lang w:val="en-AU"/>
              </w:rPr>
              <w:t> </w:t>
            </w:r>
          </w:p>
        </w:tc>
        <w:tc>
          <w:tcPr>
            <w:tcW w:w="8020" w:type="dxa"/>
            <w:tcMar>
              <w:top w:w="58" w:type="dxa"/>
              <w:left w:w="58" w:type="dxa"/>
              <w:bottom w:w="58" w:type="dxa"/>
              <w:right w:w="58" w:type="dxa"/>
            </w:tcMar>
            <w:hideMark/>
          </w:tcPr>
          <w:p w:rsidR="00000000" w:rsidRDefault="00703D2E">
            <w:pPr>
              <w:spacing w:before="100" w:beforeAutospacing="1" w:after="100" w:afterAutospacing="1"/>
            </w:pPr>
            <w:r>
              <w:rPr>
                <w:lang w:val="en-AU"/>
              </w:rPr>
              <w:t> </w:t>
            </w:r>
          </w:p>
        </w:tc>
      </w:tr>
      <w:tr w:rsidR="00000000">
        <w:trPr>
          <w:divId w:val="1556770707"/>
          <w:trHeight w:val="2176"/>
        </w:trPr>
        <w:tc>
          <w:tcPr>
            <w:tcW w:w="0" w:type="auto"/>
            <w:vMerge/>
            <w:vAlign w:val="center"/>
            <w:hideMark/>
          </w:tcPr>
          <w:p w:rsidR="00000000" w:rsidRDefault="00703D2E"/>
        </w:tc>
        <w:tc>
          <w:tcPr>
            <w:tcW w:w="8020" w:type="dxa"/>
            <w:tcMar>
              <w:top w:w="58" w:type="dxa"/>
              <w:left w:w="58" w:type="dxa"/>
              <w:bottom w:w="58" w:type="dxa"/>
              <w:right w:w="58" w:type="dxa"/>
            </w:tcMar>
            <w:hideMark/>
          </w:tcPr>
          <w:p w:rsidR="00000000" w:rsidRDefault="00703D2E">
            <w:pPr>
              <w:pStyle w:val="Title"/>
              <w:ind w:left="254"/>
            </w:pPr>
            <w:r>
              <w:rPr>
                <w:rFonts w:ascii="Cambria" w:hAnsi="Cambria"/>
                <w:b/>
                <w:bCs/>
                <w:sz w:val="48"/>
                <w:szCs w:val="48"/>
              </w:rPr>
              <w:t xml:space="preserve">Laporan Keuangan </w:t>
            </w:r>
          </w:p>
          <w:p w:rsidR="00000000" w:rsidRDefault="00703D2E">
            <w:pPr>
              <w:pStyle w:val="Title"/>
              <w:ind w:left="254"/>
            </w:pPr>
            <w:r>
              <w:rPr>
                <w:rFonts w:ascii="Cambria" w:hAnsi="Cambria"/>
                <w:sz w:val="48"/>
                <w:szCs w:val="48"/>
              </w:rPr>
              <w:t>Badan Pusat Statistik Wilayah Jambi</w:t>
            </w:r>
          </w:p>
          <w:p w:rsidR="00000000" w:rsidRDefault="00703D2E">
            <w:pPr>
              <w:pStyle w:val="Title"/>
              <w:ind w:left="254"/>
            </w:pPr>
            <w:r>
              <w:rPr>
                <w:rFonts w:ascii="Cambria" w:hAnsi="Cambria"/>
                <w:b/>
                <w:bCs/>
                <w:sz w:val="36"/>
                <w:szCs w:val="36"/>
              </w:rPr>
              <w:t>Untuk Periode yang Berakhir 30 Juni 2022</w:t>
            </w:r>
          </w:p>
        </w:tc>
      </w:tr>
      <w:tr w:rsidR="00000000">
        <w:trPr>
          <w:divId w:val="1556770707"/>
          <w:trHeight w:val="8165"/>
        </w:trPr>
        <w:tc>
          <w:tcPr>
            <w:tcW w:w="0" w:type="auto"/>
            <w:vMerge/>
            <w:vAlign w:val="center"/>
            <w:hideMark/>
          </w:tcPr>
          <w:p w:rsidR="00000000" w:rsidRDefault="00703D2E"/>
        </w:tc>
        <w:tc>
          <w:tcPr>
            <w:tcW w:w="8020" w:type="dxa"/>
            <w:tcMar>
              <w:top w:w="58" w:type="dxa"/>
              <w:left w:w="58" w:type="dxa"/>
              <w:bottom w:w="58" w:type="dxa"/>
              <w:right w:w="58" w:type="dxa"/>
            </w:tcMar>
            <w:hideMark/>
          </w:tcPr>
          <w:p w:rsidR="00000000" w:rsidRDefault="00703D2E">
            <w:pPr>
              <w:spacing w:before="100" w:beforeAutospacing="1" w:after="100" w:afterAutospacing="1"/>
            </w:pPr>
            <w:r>
              <w:rPr>
                <w:lang w:val="en-AU"/>
              </w:rPr>
              <w:t> </w:t>
            </w:r>
          </w:p>
        </w:tc>
      </w:tr>
      <w:tr w:rsidR="00000000">
        <w:trPr>
          <w:divId w:val="1556770707"/>
          <w:trHeight w:val="850"/>
        </w:trPr>
        <w:tc>
          <w:tcPr>
            <w:tcW w:w="0" w:type="auto"/>
            <w:vMerge/>
            <w:vAlign w:val="center"/>
            <w:hideMark/>
          </w:tcPr>
          <w:p w:rsidR="00000000" w:rsidRDefault="00703D2E"/>
        </w:tc>
        <w:tc>
          <w:tcPr>
            <w:tcW w:w="8020" w:type="dxa"/>
            <w:tcMar>
              <w:top w:w="58" w:type="dxa"/>
              <w:left w:w="58" w:type="dxa"/>
              <w:bottom w:w="58" w:type="dxa"/>
              <w:right w:w="58" w:type="dxa"/>
            </w:tcMar>
            <w:hideMark/>
          </w:tcPr>
          <w:p w:rsidR="00000000" w:rsidRDefault="00703D2E">
            <w:pPr>
              <w:pStyle w:val="NormalWeb"/>
              <w:rPr>
                <w:sz w:val="40"/>
                <w:szCs w:val="40"/>
              </w:rPr>
            </w:pPr>
            <w:r>
              <w:rPr>
                <w:b/>
                <w:bCs/>
                <w:sz w:val="40"/>
                <w:szCs w:val="40"/>
                <w:lang w:val="en-AU"/>
              </w:rPr>
              <w:t>Badan Pusat Statistik Wilayah Jambi</w:t>
            </w:r>
          </w:p>
        </w:tc>
      </w:tr>
      <w:tr w:rsidR="00000000">
        <w:trPr>
          <w:divId w:val="1556770707"/>
          <w:trHeight w:val="359"/>
        </w:trPr>
        <w:tc>
          <w:tcPr>
            <w:tcW w:w="0" w:type="auto"/>
            <w:vMerge/>
            <w:vAlign w:val="center"/>
            <w:hideMark/>
          </w:tcPr>
          <w:p w:rsidR="00000000" w:rsidRDefault="00703D2E"/>
        </w:tc>
        <w:tc>
          <w:tcPr>
            <w:tcW w:w="8020" w:type="dxa"/>
            <w:tcMar>
              <w:top w:w="58" w:type="dxa"/>
              <w:left w:w="58" w:type="dxa"/>
              <w:bottom w:w="58" w:type="dxa"/>
              <w:right w:w="58" w:type="dxa"/>
            </w:tcMar>
            <w:hideMark/>
          </w:tcPr>
          <w:p w:rsidR="00000000" w:rsidRDefault="00703D2E">
            <w:pPr>
              <w:spacing w:before="100" w:beforeAutospacing="1" w:after="100" w:afterAutospacing="1"/>
            </w:pPr>
            <w:r>
              <w:rPr>
                <w:lang w:val="en-AU"/>
              </w:rPr>
              <w:t> </w:t>
            </w:r>
          </w:p>
        </w:tc>
      </w:tr>
    </w:tbl>
    <w:p w:rsidR="00000000" w:rsidRDefault="00703D2E">
      <w:pPr>
        <w:pageBreakBefore/>
        <w:divId w:val="1919749706"/>
        <w:rPr>
          <w:rFonts w:eastAsia="Times New Roman"/>
        </w:rPr>
      </w:pPr>
      <w:r>
        <w:rPr>
          <w:rFonts w:eastAsia="Times New Roman"/>
        </w:rPr>
        <w:lastRenderedPageBreak/>
        <w:t> </w:t>
      </w:r>
    </w:p>
    <w:p w:rsidR="00000000" w:rsidRDefault="00703D2E">
      <w:pPr>
        <w:pStyle w:val="Heading4"/>
        <w:shd w:val="clear" w:color="auto" w:fill="00BFFF"/>
        <w:jc w:val="center"/>
        <w:divId w:val="2111318719"/>
        <w:rPr>
          <w:rFonts w:eastAsia="Times New Roman"/>
          <w:color w:val="FFFFFF"/>
        </w:rPr>
      </w:pPr>
      <w:r>
        <w:rPr>
          <w:rFonts w:eastAsia="Times New Roman"/>
          <w:color w:val="FFFFFF"/>
        </w:rPr>
        <w:t>Kata Pengantar</w:t>
      </w:r>
    </w:p>
    <w:p w:rsidR="00000000" w:rsidRDefault="00703D2E">
      <w:pPr>
        <w:spacing w:after="240"/>
        <w:divId w:val="2111318719"/>
        <w:rPr>
          <w:rFonts w:eastAsia="Times New Roman"/>
        </w:rPr>
      </w:pPr>
    </w:p>
    <w:p w:rsidR="00000000" w:rsidRDefault="00703D2E">
      <w:pPr>
        <w:pStyle w:val="NormalWeb"/>
        <w:ind w:firstLine="450"/>
        <w:jc w:val="both"/>
        <w:divId w:val="2111318719"/>
      </w:pPr>
      <w:r>
        <w:t>Sebagaimana diamanatkan Undang-Undang Nomor 17 Tahun 2003 tentang Keuangan Negara bahwa Menteri/Pimpinan Lembaga sebagai Pengguna Anggaran/Barang mempunyai tugas antara lain menyusun dan menyampaikan laporan keuangan Kementerian Negara/Lembaga yang dipimpi</w:t>
      </w:r>
      <w:r>
        <w:t>nnya.</w:t>
      </w:r>
    </w:p>
    <w:p w:rsidR="00000000" w:rsidRDefault="00703D2E">
      <w:pPr>
        <w:pStyle w:val="NormalWeb"/>
        <w:ind w:firstLine="450"/>
        <w:jc w:val="both"/>
        <w:divId w:val="2111318719"/>
      </w:pPr>
      <w:r>
        <w:t>Badan Pusat Statistik Wilayah Jambi adalah salah satu entitas akuntansi di bawah Badan Pusat Statistik yang berkewajiban menyelenggarakan akuntansi dan laporan pertanggungjawaban atas pelaksanaan Anggaran Pendapatan dan Belanja Negara. Salah satu pel</w:t>
      </w:r>
      <w:r>
        <w:t>aksanaannya adalah dengan menyusun laporan keuangan berupa Laporan Realisasi Anggaran, Neraca, Laporan Operasional, Laporan Perubahan Ekuitas dan Catatan atas Laporan Keuangan.</w:t>
      </w:r>
    </w:p>
    <w:p w:rsidR="00000000" w:rsidRDefault="00703D2E">
      <w:pPr>
        <w:pStyle w:val="NormalWeb"/>
        <w:ind w:firstLine="450"/>
        <w:jc w:val="both"/>
        <w:divId w:val="2111318719"/>
      </w:pPr>
      <w:r>
        <w:t>Penyusunan Laporan Keuangan Badan Pusat Statistik Wilayah Jambi mengacu pada Pe</w:t>
      </w:r>
      <w:r>
        <w:t>raturan Pemerintah Nomor 71 Tahun 2010 tentang Standar Akuntansi Pemerintahan dan kaidah-kaidah pengelolaan keuangan yang sehat dalam Pemerintahan. Laporan Keuangan ini telah disusun dan disajikan dengan basis akrual sehingga akan mampu menyajikan informas</w:t>
      </w:r>
      <w:r>
        <w:t>i keuangan yang transparan, akurat dan akuntabel.</w:t>
      </w:r>
    </w:p>
    <w:p w:rsidR="00000000" w:rsidRDefault="00703D2E">
      <w:pPr>
        <w:pStyle w:val="NormalWeb"/>
        <w:ind w:firstLine="450"/>
        <w:jc w:val="both"/>
        <w:divId w:val="2111318719"/>
      </w:pPr>
      <w:r>
        <w:t>Laporan Keuangan ini diharapkan dapat memberikan informasi yang berguna kepada para pengguna laporan khususnya sebagai sarana untuk meningkatkan akuntabilitas/pertanggungjawaban dan transparansi pengelolaan</w:t>
      </w:r>
      <w:r>
        <w:t xml:space="preserve"> keuangan negara pada Badan Pusat Statistik Wilayah Jambi. Di samping itu, laporan keuangan ini juga dimaksudkan untuk memberikan informasi kepada manajemen dalam pengambilan keputusan dalam usaha untuk mewujudkan tata kelola pemerintahan yang baik (good g</w:t>
      </w:r>
      <w:r>
        <w:t>overnance).</w:t>
      </w:r>
    </w:p>
    <w:p w:rsidR="00000000" w:rsidRDefault="00703D2E">
      <w:pPr>
        <w:spacing w:after="240"/>
        <w:divId w:val="2111318719"/>
        <w:rPr>
          <w:rFonts w:eastAsia="Times New Roman"/>
        </w:rPr>
      </w:pPr>
      <w:r>
        <w:rPr>
          <w:rFonts w:eastAsia="Times New Roman"/>
        </w:rPr>
        <w:br/>
      </w:r>
      <w:r>
        <w:rPr>
          <w:rFonts w:eastAsia="Times New Roman"/>
        </w:rPr>
        <w:br/>
      </w:r>
      <w:r>
        <w:rPr>
          <w:rFonts w:eastAsia="Times New Roman"/>
        </w:rPr>
        <w:br/>
      </w:r>
    </w:p>
    <w:p w:rsidR="00000000" w:rsidRDefault="00703D2E">
      <w:pPr>
        <w:divId w:val="901989813"/>
        <w:rPr>
          <w:rFonts w:eastAsia="Times New Roman"/>
        </w:rPr>
      </w:pPr>
      <w:r>
        <w:rPr>
          <w:rFonts w:eastAsia="Times New Roman"/>
        </w:rPr>
        <w:t>Jambi, 27 Juli 2022</w:t>
      </w:r>
    </w:p>
    <w:p w:rsidR="00000000" w:rsidRDefault="00703D2E">
      <w:pPr>
        <w:divId w:val="1108814431"/>
        <w:rPr>
          <w:rFonts w:eastAsia="Times New Roman"/>
        </w:rPr>
      </w:pPr>
      <w:r>
        <w:rPr>
          <w:rFonts w:eastAsia="Times New Roman"/>
        </w:rPr>
        <w:t>Kepala,</w:t>
      </w:r>
    </w:p>
    <w:p w:rsidR="00000000" w:rsidRDefault="00703D2E">
      <w:pPr>
        <w:spacing w:after="240"/>
        <w:divId w:val="2111318719"/>
        <w:rPr>
          <w:rFonts w:eastAsia="Times New Roman"/>
        </w:rPr>
      </w:pPr>
      <w:r>
        <w:rPr>
          <w:rFonts w:eastAsia="Times New Roman"/>
        </w:rPr>
        <w:br/>
      </w:r>
    </w:p>
    <w:p w:rsidR="00000000" w:rsidRDefault="00703D2E">
      <w:pPr>
        <w:divId w:val="4214473"/>
        <w:rPr>
          <w:rFonts w:eastAsia="Times New Roman"/>
        </w:rPr>
      </w:pPr>
      <w:r>
        <w:rPr>
          <w:rFonts w:eastAsia="Times New Roman"/>
        </w:rPr>
        <w:t>Agus Sudibyo, M.Stat</w:t>
      </w:r>
    </w:p>
    <w:p w:rsidR="00000000" w:rsidRDefault="00703D2E">
      <w:pPr>
        <w:divId w:val="450436405"/>
        <w:rPr>
          <w:rFonts w:eastAsia="Times New Roman"/>
        </w:rPr>
      </w:pPr>
      <w:r>
        <w:rPr>
          <w:rFonts w:eastAsia="Times New Roman"/>
        </w:rPr>
        <w:t>NIP.197412311996121001</w:t>
      </w:r>
    </w:p>
    <w:p w:rsidR="00000000" w:rsidRDefault="00703D2E">
      <w:pPr>
        <w:spacing w:after="240"/>
        <w:divId w:val="2111318719"/>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lastRenderedPageBreak/>
        <w:br/>
      </w:r>
      <w:r>
        <w:rPr>
          <w:rFonts w:eastAsia="Times New Roman"/>
        </w:rPr>
        <w:br/>
      </w:r>
      <w:r>
        <w:rPr>
          <w:rFonts w:eastAsia="Times New Roman"/>
        </w:rPr>
        <w:br/>
      </w:r>
    </w:p>
    <w:p w:rsidR="00000000" w:rsidRDefault="00703D2E">
      <w:pPr>
        <w:pageBreakBefore/>
        <w:divId w:val="162285019"/>
        <w:rPr>
          <w:rFonts w:eastAsia="Times New Roman"/>
        </w:rPr>
      </w:pPr>
      <w:r>
        <w:rPr>
          <w:rFonts w:eastAsia="Times New Roman"/>
        </w:rPr>
        <w:lastRenderedPageBreak/>
        <w:t> </w:t>
      </w:r>
    </w:p>
    <w:p w:rsidR="00000000" w:rsidRDefault="00703D2E">
      <w:pPr>
        <w:pStyle w:val="Heading4"/>
        <w:shd w:val="clear" w:color="auto" w:fill="00BFFF"/>
        <w:jc w:val="center"/>
        <w:divId w:val="1266427635"/>
        <w:rPr>
          <w:rFonts w:eastAsia="Times New Roman"/>
          <w:color w:val="FFFFFF"/>
        </w:rPr>
      </w:pPr>
      <w:r>
        <w:rPr>
          <w:rFonts w:eastAsia="Times New Roman"/>
          <w:color w:val="FFFFFF"/>
        </w:rPr>
        <w:t>DAFTAR ISI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8"/>
        <w:gridCol w:w="742"/>
      </w:tblGrid>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Halaman Judul</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Kata Pengantar</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Daftar Isi</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Daftar Tabel</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Daftar Lampiran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Indeks Singkatan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Pernyataan Tanggung Jawab</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I. Ringkasan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Ii. Laporaan Realisasi Anggaran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Iii. Neraca</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Iv. Laporan Operasional</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V. Laporan Perubahan Ekuitas</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vAlign w:val="center"/>
            <w:hideMark/>
          </w:tcPr>
          <w:p w:rsidR="00000000" w:rsidRDefault="00703D2E">
            <w:pPr>
              <w:rPr>
                <w:rFonts w:eastAsia="Times New Roman"/>
              </w:rPr>
            </w:pPr>
            <w:r>
              <w:rPr>
                <w:rFonts w:eastAsia="Times New Roman"/>
              </w:rPr>
              <w:t>Vi. Catatan Atas Laporan Keuangan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450" w:type="dxa"/>
              <w:bottom w:w="15" w:type="dxa"/>
              <w:right w:w="15" w:type="dxa"/>
            </w:tcMar>
            <w:vAlign w:val="center"/>
            <w:hideMark/>
          </w:tcPr>
          <w:p w:rsidR="00000000" w:rsidRDefault="00703D2E">
            <w:pPr>
              <w:rPr>
                <w:rFonts w:eastAsia="Times New Roman"/>
              </w:rPr>
            </w:pPr>
            <w:r>
              <w:rPr>
                <w:rFonts w:eastAsia="Times New Roman"/>
              </w:rPr>
              <w:t>A. Penjelasan Umum</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A.1 Dasar Hukum</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A.2 Profil Dan Kebijakan Teknis</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 xml:space="preserve">A.3 </w:t>
            </w:r>
            <w:r>
              <w:rPr>
                <w:rFonts w:eastAsia="Times New Roman"/>
              </w:rPr>
              <w:t>Pendekatan Penyusunan Laporan Keuangan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A.4 Basis Akuntansi</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A.5 Dasar Pengukuran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A.6 Kebijakan Akuntansi</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450" w:type="dxa"/>
              <w:bottom w:w="15" w:type="dxa"/>
              <w:right w:w="15" w:type="dxa"/>
            </w:tcMar>
            <w:vAlign w:val="center"/>
            <w:hideMark/>
          </w:tcPr>
          <w:p w:rsidR="00000000" w:rsidRDefault="00703D2E">
            <w:pPr>
              <w:rPr>
                <w:rFonts w:eastAsia="Times New Roman"/>
              </w:rPr>
            </w:pPr>
            <w:r>
              <w:rPr>
                <w:rFonts w:eastAsia="Times New Roman"/>
              </w:rPr>
              <w:t>B Penjelasan Atas Pos-pos Laporan Realisasi Anggaran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B.1 Pendapatan Penerimaan Negara Bukan Pajak</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B.2 Belanja Negara</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B.3 Belanja Pegawai</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B.4 Belanja Barang</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B.5 Belanja Modal</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1350" w:type="dxa"/>
              <w:bottom w:w="15" w:type="dxa"/>
              <w:right w:w="15" w:type="dxa"/>
            </w:tcMar>
            <w:vAlign w:val="center"/>
            <w:hideMark/>
          </w:tcPr>
          <w:p w:rsidR="00000000" w:rsidRDefault="00703D2E">
            <w:pPr>
              <w:rPr>
                <w:rFonts w:eastAsia="Times New Roman"/>
              </w:rPr>
            </w:pPr>
            <w:r>
              <w:rPr>
                <w:rFonts w:eastAsia="Times New Roman"/>
              </w:rPr>
              <w:t>B.5.1 Belanja Modal Peralatan Dan Mesin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450" w:type="dxa"/>
              <w:bottom w:w="15" w:type="dxa"/>
              <w:right w:w="15" w:type="dxa"/>
            </w:tcMar>
            <w:vAlign w:val="center"/>
            <w:hideMark/>
          </w:tcPr>
          <w:p w:rsidR="00000000" w:rsidRDefault="00703D2E">
            <w:pPr>
              <w:rPr>
                <w:rFonts w:eastAsia="Times New Roman"/>
              </w:rPr>
            </w:pPr>
            <w:r>
              <w:rPr>
                <w:rFonts w:eastAsia="Times New Roman"/>
              </w:rPr>
              <w:t>C. Penjelasan Atas Pos-pos Neraca</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 Kas Di Bendahara Pengeluaran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C.2 Kas Lainnya Dan Setara Kas</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C.3 Belanja Dibayar Dimuka (prepaid)</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C.4 Piutang Bukan Pajak</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C.5</w:t>
            </w:r>
            <w:r>
              <w:rPr>
                <w:rFonts w:eastAsia="Times New Roman"/>
              </w:rPr>
              <w:t xml:space="preserve"> Persediaan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C.6 Persediaan Yang Belum Diregister</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C.7 Tanah</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lastRenderedPageBreak/>
              <w:t>C.8 Peralatan Dan Mesin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C.9 Gedung Dan Bangunan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C.10 Aset Tetap Lainnya</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C.11 Akumulasi Penyusutan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C.12 Aset Tak Berwujud</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C.13 Aset Lain-lain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C.14 Akumulasi Penyusutan/amortisasi Aset Lainnya</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C.15 Utang Kepada Pihak Ketiga</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C.16 Utang Yang Belum Ditagihkan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C.17 Uang Muka Dari Kppn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C.18 Utang Jangka Pendek Lainnya</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C.19 Ekuitas</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450" w:type="dxa"/>
              <w:bottom w:w="15" w:type="dxa"/>
              <w:right w:w="15" w:type="dxa"/>
            </w:tcMar>
            <w:vAlign w:val="center"/>
            <w:hideMark/>
          </w:tcPr>
          <w:p w:rsidR="00000000" w:rsidRDefault="00703D2E">
            <w:pPr>
              <w:rPr>
                <w:rFonts w:eastAsia="Times New Roman"/>
              </w:rPr>
            </w:pPr>
            <w:r>
              <w:rPr>
                <w:rFonts w:eastAsia="Times New Roman"/>
              </w:rPr>
              <w:t>D. Penjelasan Atas Pos-pos Laporan Operasional</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 xml:space="preserve">D.1 </w:t>
            </w:r>
            <w:r>
              <w:rPr>
                <w:rFonts w:eastAsia="Times New Roman"/>
              </w:rPr>
              <w:t>Pendapatan Negara Bukan Pajak Lainnya</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D.2 Beban Pegawai</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D.3 Beban Persediaan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D.4 Beban Barang Dan Jasa</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D.5 Beban Pemeliharaan</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D.6 Beban Perjalanan Dinas</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D.7 Beban Barang Untuk Diserahkan Kepada Masyarakat</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D.8 Beban Penyusutan Dan Amortisasi</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D.9 Beban Penyisihan Piutang Tak Tertagih</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D.10 Kegiatan Non Operasional</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450" w:type="dxa"/>
              <w:bottom w:w="15" w:type="dxa"/>
              <w:right w:w="15" w:type="dxa"/>
            </w:tcMar>
            <w:vAlign w:val="center"/>
            <w:hideMark/>
          </w:tcPr>
          <w:p w:rsidR="00000000" w:rsidRDefault="00703D2E">
            <w:pPr>
              <w:rPr>
                <w:rFonts w:eastAsia="Times New Roman"/>
              </w:rPr>
            </w:pPr>
            <w:r>
              <w:rPr>
                <w:rFonts w:eastAsia="Times New Roman"/>
              </w:rPr>
              <w:t>E. Penjelasan Atas Pos-pos Laporan Perubahan Ekuitas</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E.1 Ekuitas Awal</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E.2 Surplus/defisit-lo</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E.3 Koreksi Menambah/mengurangi Nilai Ekuitas</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1350" w:type="dxa"/>
              <w:bottom w:w="15" w:type="dxa"/>
              <w:right w:w="15" w:type="dxa"/>
            </w:tcMar>
            <w:vAlign w:val="center"/>
            <w:hideMark/>
          </w:tcPr>
          <w:p w:rsidR="00000000" w:rsidRDefault="00703D2E">
            <w:pPr>
              <w:rPr>
                <w:rFonts w:eastAsia="Times New Roman"/>
              </w:rPr>
            </w:pPr>
            <w:r>
              <w:rPr>
                <w:rFonts w:eastAsia="Times New Roman"/>
              </w:rPr>
              <w:t>E.3.1 Koreksi Atas Reklasifikasi</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1350" w:type="dxa"/>
              <w:bottom w:w="15" w:type="dxa"/>
              <w:right w:w="15" w:type="dxa"/>
            </w:tcMar>
            <w:vAlign w:val="center"/>
            <w:hideMark/>
          </w:tcPr>
          <w:p w:rsidR="00000000" w:rsidRDefault="00703D2E">
            <w:pPr>
              <w:rPr>
                <w:rFonts w:eastAsia="Times New Roman"/>
              </w:rPr>
            </w:pPr>
            <w:r>
              <w:rPr>
                <w:rFonts w:eastAsia="Times New Roman"/>
              </w:rPr>
              <w:t>E.3.2 Koreksi Nilai Aset Tetap Non Revaluasi</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E.4 Transaksi Antar Entitas</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1350" w:type="dxa"/>
              <w:bottom w:w="15" w:type="dxa"/>
              <w:right w:w="15" w:type="dxa"/>
            </w:tcMar>
            <w:vAlign w:val="center"/>
            <w:hideMark/>
          </w:tcPr>
          <w:p w:rsidR="00000000" w:rsidRDefault="00703D2E">
            <w:pPr>
              <w:rPr>
                <w:rFonts w:eastAsia="Times New Roman"/>
              </w:rPr>
            </w:pPr>
            <w:r>
              <w:rPr>
                <w:rFonts w:eastAsia="Times New Roman"/>
              </w:rPr>
              <w:t>E.4.1 Diterima Dari Entitas Lain (ddel)/ditagihkan Ke Entitas Lain (dkel)</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1350" w:type="dxa"/>
              <w:bottom w:w="15" w:type="dxa"/>
              <w:right w:w="15" w:type="dxa"/>
            </w:tcMar>
            <w:vAlign w:val="center"/>
            <w:hideMark/>
          </w:tcPr>
          <w:p w:rsidR="00000000" w:rsidRDefault="00703D2E">
            <w:pPr>
              <w:rPr>
                <w:rFonts w:eastAsia="Times New Roman"/>
              </w:rPr>
            </w:pPr>
            <w:r>
              <w:rPr>
                <w:rFonts w:eastAsia="Times New Roman"/>
              </w:rPr>
              <w:t>E.4.2 Transfer Masuk/transfer Keluar</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900" w:type="dxa"/>
              <w:bottom w:w="15" w:type="dxa"/>
              <w:right w:w="15" w:type="dxa"/>
            </w:tcMar>
            <w:vAlign w:val="center"/>
            <w:hideMark/>
          </w:tcPr>
          <w:p w:rsidR="00000000" w:rsidRDefault="00703D2E">
            <w:pPr>
              <w:rPr>
                <w:rFonts w:eastAsia="Times New Roman"/>
              </w:rPr>
            </w:pPr>
            <w:r>
              <w:rPr>
                <w:rFonts w:eastAsia="Times New Roman"/>
              </w:rPr>
              <w:t>E.5 Ekuitas Akhir</w:t>
            </w:r>
          </w:p>
        </w:tc>
        <w:tc>
          <w:tcPr>
            <w:tcW w:w="750" w:type="dxa"/>
            <w:vAlign w:val="center"/>
            <w:hideMark/>
          </w:tcPr>
          <w:p w:rsidR="00000000" w:rsidRDefault="00703D2E">
            <w:pPr>
              <w:rPr>
                <w:rFonts w:eastAsia="Times New Roman"/>
              </w:rPr>
            </w:pPr>
          </w:p>
        </w:tc>
      </w:tr>
      <w:tr w:rsidR="00000000">
        <w:trPr>
          <w:divId w:val="1266427635"/>
          <w:tblCellSpacing w:w="15" w:type="dxa"/>
        </w:trPr>
        <w:tc>
          <w:tcPr>
            <w:tcW w:w="9000" w:type="dxa"/>
            <w:tcMar>
              <w:top w:w="15" w:type="dxa"/>
              <w:left w:w="450" w:type="dxa"/>
              <w:bottom w:w="15" w:type="dxa"/>
              <w:right w:w="15" w:type="dxa"/>
            </w:tcMar>
            <w:vAlign w:val="center"/>
            <w:hideMark/>
          </w:tcPr>
          <w:p w:rsidR="00000000" w:rsidRDefault="00703D2E">
            <w:pPr>
              <w:rPr>
                <w:rFonts w:eastAsia="Times New Roman"/>
              </w:rPr>
            </w:pPr>
            <w:r>
              <w:rPr>
                <w:rFonts w:eastAsia="Times New Roman"/>
              </w:rPr>
              <w:t>F. Pengungkapan Lainnya</w:t>
            </w:r>
          </w:p>
        </w:tc>
        <w:tc>
          <w:tcPr>
            <w:tcW w:w="750" w:type="dxa"/>
            <w:vAlign w:val="center"/>
            <w:hideMark/>
          </w:tcPr>
          <w:p w:rsidR="00000000" w:rsidRDefault="00703D2E">
            <w:pPr>
              <w:rPr>
                <w:rFonts w:eastAsia="Times New Roman"/>
              </w:rPr>
            </w:pPr>
          </w:p>
        </w:tc>
      </w:tr>
    </w:tbl>
    <w:p w:rsidR="00000000" w:rsidRDefault="00703D2E">
      <w:pPr>
        <w:pageBreakBefore/>
        <w:divId w:val="1541240311"/>
        <w:rPr>
          <w:rFonts w:eastAsia="Times New Roman"/>
        </w:rPr>
      </w:pPr>
      <w:r>
        <w:rPr>
          <w:rFonts w:eastAsia="Times New Roman"/>
        </w:rPr>
        <w:lastRenderedPageBreak/>
        <w:t> </w:t>
      </w:r>
    </w:p>
    <w:p w:rsidR="00000000" w:rsidRDefault="00703D2E">
      <w:pPr>
        <w:pStyle w:val="Heading4"/>
        <w:shd w:val="clear" w:color="auto" w:fill="00BFFF"/>
        <w:jc w:val="center"/>
        <w:divId w:val="943264601"/>
        <w:rPr>
          <w:rFonts w:eastAsia="Times New Roman"/>
          <w:color w:val="FFFFFF"/>
        </w:rPr>
      </w:pPr>
      <w:r>
        <w:rPr>
          <w:rFonts w:eastAsia="Times New Roman"/>
          <w:color w:val="FFFFFF"/>
        </w:rPr>
        <w:t>DAFTAR TABEL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6445"/>
        <w:gridCol w:w="1022"/>
      </w:tblGrid>
      <w:tr w:rsidR="00000000">
        <w:trPr>
          <w:divId w:val="943264601"/>
          <w:tblCellSpacing w:w="15" w:type="dxa"/>
        </w:trPr>
        <w:tc>
          <w:tcPr>
            <w:tcW w:w="0" w:type="auto"/>
            <w:vAlign w:val="center"/>
            <w:hideMark/>
          </w:tcPr>
          <w:p w:rsidR="00000000" w:rsidRDefault="00703D2E">
            <w:pPr>
              <w:jc w:val="center"/>
              <w:rPr>
                <w:rFonts w:eastAsia="Times New Roman"/>
                <w:b/>
                <w:bCs/>
              </w:rPr>
            </w:pPr>
            <w:r>
              <w:rPr>
                <w:rFonts w:eastAsia="Times New Roman"/>
                <w:b/>
                <w:bCs/>
              </w:rPr>
              <w:t>Tabel</w:t>
            </w:r>
          </w:p>
        </w:tc>
        <w:tc>
          <w:tcPr>
            <w:tcW w:w="0" w:type="auto"/>
            <w:vAlign w:val="center"/>
            <w:hideMark/>
          </w:tcPr>
          <w:p w:rsidR="00000000" w:rsidRDefault="00703D2E">
            <w:pPr>
              <w:jc w:val="center"/>
              <w:rPr>
                <w:rFonts w:eastAsia="Times New Roman"/>
                <w:b/>
                <w:bCs/>
              </w:rPr>
            </w:pPr>
            <w:r>
              <w:rPr>
                <w:rFonts w:eastAsia="Times New Roman"/>
                <w:b/>
                <w:bCs/>
              </w:rPr>
              <w:t>Uraian Tabel</w:t>
            </w:r>
          </w:p>
        </w:tc>
        <w:tc>
          <w:tcPr>
            <w:tcW w:w="0" w:type="auto"/>
            <w:vAlign w:val="center"/>
            <w:hideMark/>
          </w:tcPr>
          <w:p w:rsidR="00000000" w:rsidRDefault="00703D2E">
            <w:pPr>
              <w:jc w:val="center"/>
              <w:rPr>
                <w:rFonts w:eastAsia="Times New Roman"/>
                <w:b/>
                <w:bCs/>
              </w:rPr>
            </w:pPr>
            <w:r>
              <w:rPr>
                <w:rFonts w:eastAsia="Times New Roman"/>
                <w:b/>
                <w:bCs/>
              </w:rPr>
              <w:t>Halaman</w:t>
            </w: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w:t>
            </w:r>
          </w:p>
        </w:tc>
        <w:tc>
          <w:tcPr>
            <w:tcW w:w="0" w:type="auto"/>
            <w:vAlign w:val="center"/>
            <w:hideMark/>
          </w:tcPr>
          <w:p w:rsidR="00000000" w:rsidRDefault="00703D2E">
            <w:pPr>
              <w:rPr>
                <w:rFonts w:eastAsia="Times New Roman"/>
              </w:rPr>
            </w:pPr>
            <w:r>
              <w:rPr>
                <w:rFonts w:eastAsia="Times New Roman"/>
              </w:rPr>
              <w:t>Rekapitulasi Jumlah Satker</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w:t>
            </w:r>
          </w:p>
        </w:tc>
        <w:tc>
          <w:tcPr>
            <w:tcW w:w="0" w:type="auto"/>
            <w:vAlign w:val="center"/>
            <w:hideMark/>
          </w:tcPr>
          <w:p w:rsidR="00000000" w:rsidRDefault="00703D2E">
            <w:pPr>
              <w:rPr>
                <w:rFonts w:eastAsia="Times New Roman"/>
              </w:rPr>
            </w:pPr>
            <w:r>
              <w:rPr>
                <w:rFonts w:eastAsia="Times New Roman"/>
              </w:rPr>
              <w:t>Rincian Penyisihan Piutang Berdasarkan Kualitas Piutang</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w:t>
            </w:r>
          </w:p>
        </w:tc>
        <w:tc>
          <w:tcPr>
            <w:tcW w:w="0" w:type="auto"/>
            <w:vAlign w:val="center"/>
            <w:hideMark/>
          </w:tcPr>
          <w:p w:rsidR="00000000" w:rsidRDefault="00703D2E">
            <w:pPr>
              <w:rPr>
                <w:rFonts w:eastAsia="Times New Roman"/>
              </w:rPr>
            </w:pPr>
            <w:r>
              <w:rPr>
                <w:rFonts w:eastAsia="Times New Roman"/>
              </w:rPr>
              <w:t>Penggolongan Masa Manfaat Aset Tetap</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4</w:t>
            </w:r>
          </w:p>
        </w:tc>
        <w:tc>
          <w:tcPr>
            <w:tcW w:w="0" w:type="auto"/>
            <w:vAlign w:val="center"/>
            <w:hideMark/>
          </w:tcPr>
          <w:p w:rsidR="00000000" w:rsidRDefault="00703D2E">
            <w:pPr>
              <w:rPr>
                <w:rFonts w:eastAsia="Times New Roman"/>
              </w:rPr>
            </w:pPr>
            <w:r>
              <w:rPr>
                <w:rFonts w:eastAsia="Times New Roman"/>
              </w:rPr>
              <w:t>Penggolongan Masa Manfaat Aset Tak Berwujud</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5</w:t>
            </w:r>
          </w:p>
        </w:tc>
        <w:tc>
          <w:tcPr>
            <w:tcW w:w="0" w:type="auto"/>
            <w:vAlign w:val="center"/>
            <w:hideMark/>
          </w:tcPr>
          <w:p w:rsidR="00000000" w:rsidRDefault="00703D2E">
            <w:pPr>
              <w:rPr>
                <w:rFonts w:eastAsia="Times New Roman"/>
              </w:rPr>
            </w:pPr>
            <w:r>
              <w:rPr>
                <w:rFonts w:eastAsia="Times New Roman"/>
              </w:rPr>
              <w:t>Rincian Anggaran</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6</w:t>
            </w:r>
          </w:p>
        </w:tc>
        <w:tc>
          <w:tcPr>
            <w:tcW w:w="0" w:type="auto"/>
            <w:vAlign w:val="center"/>
            <w:hideMark/>
          </w:tcPr>
          <w:p w:rsidR="00000000" w:rsidRDefault="00703D2E">
            <w:pPr>
              <w:rPr>
                <w:rFonts w:eastAsia="Times New Roman"/>
              </w:rPr>
            </w:pPr>
            <w:r>
              <w:rPr>
                <w:rFonts w:eastAsia="Times New Roman"/>
              </w:rPr>
              <w:t>Rincian Anggaran Berdasarkan Program dan Jenis Belanja</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7</w:t>
            </w:r>
          </w:p>
        </w:tc>
        <w:tc>
          <w:tcPr>
            <w:tcW w:w="0" w:type="auto"/>
            <w:vAlign w:val="center"/>
            <w:hideMark/>
          </w:tcPr>
          <w:p w:rsidR="00000000" w:rsidRDefault="00703D2E">
            <w:pPr>
              <w:rPr>
                <w:rFonts w:eastAsia="Times New Roman"/>
              </w:rPr>
            </w:pPr>
            <w:r>
              <w:rPr>
                <w:rFonts w:eastAsia="Times New Roman"/>
              </w:rPr>
              <w:t>Rincian Pendapatan Berdasarkan Satuan Kerja</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8</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rPr>
                <w:rFonts w:eastAsia="Times New Roman"/>
                <w:sz w:val="20"/>
                <w:szCs w:val="20"/>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9</w:t>
            </w:r>
          </w:p>
        </w:tc>
        <w:tc>
          <w:tcPr>
            <w:tcW w:w="0" w:type="auto"/>
            <w:vAlign w:val="center"/>
            <w:hideMark/>
          </w:tcPr>
          <w:p w:rsidR="00000000" w:rsidRDefault="00703D2E">
            <w:pPr>
              <w:rPr>
                <w:rFonts w:eastAsia="Times New Roman"/>
              </w:rPr>
            </w:pPr>
            <w:r>
              <w:rPr>
                <w:rFonts w:eastAsia="Times New Roman"/>
              </w:rPr>
              <w:t>Rincian Estimasi dan Realisasi Pendapatan</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10</w:t>
            </w:r>
          </w:p>
        </w:tc>
        <w:tc>
          <w:tcPr>
            <w:tcW w:w="0" w:type="auto"/>
            <w:vAlign w:val="center"/>
            <w:hideMark/>
          </w:tcPr>
          <w:p w:rsidR="00000000" w:rsidRDefault="00703D2E">
            <w:pPr>
              <w:rPr>
                <w:rFonts w:eastAsia="Times New Roman"/>
              </w:rPr>
            </w:pPr>
            <w:r>
              <w:rPr>
                <w:rFonts w:eastAsia="Times New Roman"/>
              </w:rPr>
              <w:t xml:space="preserve">Perbandingan Realisasi Pendapatan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11</w:t>
            </w:r>
          </w:p>
        </w:tc>
        <w:tc>
          <w:tcPr>
            <w:tcW w:w="0" w:type="auto"/>
            <w:vAlign w:val="center"/>
            <w:hideMark/>
          </w:tcPr>
          <w:p w:rsidR="00000000" w:rsidRDefault="00703D2E">
            <w:pPr>
              <w:rPr>
                <w:rFonts w:eastAsia="Times New Roman"/>
              </w:rPr>
            </w:pPr>
            <w:r>
              <w:rPr>
                <w:rFonts w:eastAsia="Times New Roman"/>
              </w:rPr>
              <w:t>Rincian Anggaran dan Realisasi Belanja</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12</w:t>
            </w:r>
          </w:p>
        </w:tc>
        <w:tc>
          <w:tcPr>
            <w:tcW w:w="0" w:type="auto"/>
            <w:vAlign w:val="center"/>
            <w:hideMark/>
          </w:tcPr>
          <w:p w:rsidR="00000000" w:rsidRDefault="00703D2E">
            <w:pPr>
              <w:rPr>
                <w:rFonts w:eastAsia="Times New Roman"/>
              </w:rPr>
            </w:pPr>
            <w:r>
              <w:rPr>
                <w:rFonts w:eastAsia="Times New Roman"/>
              </w:rPr>
              <w:t xml:space="preserve">Perbandingan Realisasi Belanja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13</w:t>
            </w:r>
          </w:p>
        </w:tc>
        <w:tc>
          <w:tcPr>
            <w:tcW w:w="0" w:type="auto"/>
            <w:vAlign w:val="center"/>
            <w:hideMark/>
          </w:tcPr>
          <w:p w:rsidR="00000000" w:rsidRDefault="00703D2E">
            <w:pPr>
              <w:rPr>
                <w:rFonts w:eastAsia="Times New Roman"/>
              </w:rPr>
            </w:pPr>
            <w:r>
              <w:rPr>
                <w:rFonts w:eastAsia="Times New Roman"/>
              </w:rPr>
              <w:t>Perbandingan  Belanja Pegawai</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14</w:t>
            </w:r>
          </w:p>
        </w:tc>
        <w:tc>
          <w:tcPr>
            <w:tcW w:w="0" w:type="auto"/>
            <w:vAlign w:val="center"/>
            <w:hideMark/>
          </w:tcPr>
          <w:p w:rsidR="00000000" w:rsidRDefault="00703D2E">
            <w:pPr>
              <w:rPr>
                <w:rFonts w:eastAsia="Times New Roman"/>
              </w:rPr>
            </w:pPr>
            <w:r>
              <w:rPr>
                <w:rFonts w:eastAsia="Times New Roman"/>
              </w:rPr>
              <w:t>Perbandingan  Belanja Barang</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15</w:t>
            </w:r>
          </w:p>
        </w:tc>
        <w:tc>
          <w:tcPr>
            <w:tcW w:w="0" w:type="auto"/>
            <w:vAlign w:val="center"/>
            <w:hideMark/>
          </w:tcPr>
          <w:p w:rsidR="00000000" w:rsidRDefault="00703D2E">
            <w:pPr>
              <w:rPr>
                <w:rFonts w:eastAsia="Times New Roman"/>
              </w:rPr>
            </w:pPr>
            <w:r>
              <w:rPr>
                <w:rFonts w:eastAsia="Times New Roman"/>
              </w:rPr>
              <w:t xml:space="preserve">Perbandingan Realisasi Belanja Modal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16</w:t>
            </w:r>
          </w:p>
        </w:tc>
        <w:tc>
          <w:tcPr>
            <w:tcW w:w="0" w:type="auto"/>
            <w:vAlign w:val="center"/>
            <w:hideMark/>
          </w:tcPr>
          <w:p w:rsidR="00000000" w:rsidRDefault="00703D2E">
            <w:pPr>
              <w:rPr>
                <w:rFonts w:eastAsia="Times New Roman"/>
              </w:rPr>
            </w:pPr>
            <w:r>
              <w:rPr>
                <w:rFonts w:eastAsia="Times New Roman"/>
              </w:rPr>
              <w:t xml:space="preserve">Perbandingan </w:t>
            </w:r>
            <w:r>
              <w:rPr>
                <w:rFonts w:eastAsia="Times New Roman"/>
              </w:rPr>
              <w:t>Realisasi Belanja Modal Peralatan dan Mesin</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17</w:t>
            </w:r>
          </w:p>
        </w:tc>
        <w:tc>
          <w:tcPr>
            <w:tcW w:w="0" w:type="auto"/>
            <w:vAlign w:val="center"/>
            <w:hideMark/>
          </w:tcPr>
          <w:p w:rsidR="00000000" w:rsidRDefault="00703D2E">
            <w:pPr>
              <w:rPr>
                <w:rFonts w:eastAsia="Times New Roman"/>
              </w:rPr>
            </w:pPr>
            <w:r>
              <w:rPr>
                <w:rFonts w:eastAsia="Times New Roman"/>
              </w:rPr>
              <w:t>Rincian Kas Lainnya dan Setara Kas</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18</w:t>
            </w:r>
          </w:p>
        </w:tc>
        <w:tc>
          <w:tcPr>
            <w:tcW w:w="0" w:type="auto"/>
            <w:vAlign w:val="center"/>
            <w:hideMark/>
          </w:tcPr>
          <w:p w:rsidR="00000000" w:rsidRDefault="00703D2E">
            <w:pPr>
              <w:rPr>
                <w:rFonts w:eastAsia="Times New Roman"/>
              </w:rPr>
            </w:pPr>
            <w:r>
              <w:rPr>
                <w:rFonts w:eastAsia="Times New Roman"/>
              </w:rPr>
              <w:t xml:space="preserve">Rincian Belanja Dibayar di Muka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19</w:t>
            </w:r>
          </w:p>
        </w:tc>
        <w:tc>
          <w:tcPr>
            <w:tcW w:w="0" w:type="auto"/>
            <w:vAlign w:val="center"/>
            <w:hideMark/>
          </w:tcPr>
          <w:p w:rsidR="00000000" w:rsidRDefault="00703D2E">
            <w:pPr>
              <w:rPr>
                <w:rFonts w:eastAsia="Times New Roman"/>
              </w:rPr>
            </w:pPr>
            <w:r>
              <w:rPr>
                <w:rFonts w:eastAsia="Times New Roman"/>
              </w:rPr>
              <w:t>Rincian Piutang Bukan Pajak</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20</w:t>
            </w:r>
          </w:p>
        </w:tc>
        <w:tc>
          <w:tcPr>
            <w:tcW w:w="0" w:type="auto"/>
            <w:vAlign w:val="center"/>
            <w:hideMark/>
          </w:tcPr>
          <w:p w:rsidR="00000000" w:rsidRDefault="00703D2E">
            <w:pPr>
              <w:rPr>
                <w:rFonts w:eastAsia="Times New Roman"/>
              </w:rPr>
            </w:pPr>
            <w:r>
              <w:rPr>
                <w:rFonts w:eastAsia="Times New Roman"/>
              </w:rPr>
              <w:t xml:space="preserve">Rincian Persediaan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21</w:t>
            </w:r>
          </w:p>
        </w:tc>
        <w:tc>
          <w:tcPr>
            <w:tcW w:w="0" w:type="auto"/>
            <w:vAlign w:val="center"/>
            <w:hideMark/>
          </w:tcPr>
          <w:p w:rsidR="00000000" w:rsidRDefault="00703D2E">
            <w:pPr>
              <w:rPr>
                <w:rFonts w:eastAsia="Times New Roman"/>
              </w:rPr>
            </w:pPr>
            <w:r>
              <w:rPr>
                <w:rFonts w:eastAsia="Times New Roman"/>
              </w:rPr>
              <w:t xml:space="preserve">Rincian Akumulasi Penyusutan Aset Tetap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22</w:t>
            </w:r>
          </w:p>
        </w:tc>
        <w:tc>
          <w:tcPr>
            <w:tcW w:w="0" w:type="auto"/>
            <w:vAlign w:val="center"/>
            <w:hideMark/>
          </w:tcPr>
          <w:p w:rsidR="00000000" w:rsidRDefault="00703D2E">
            <w:pPr>
              <w:rPr>
                <w:rFonts w:eastAsia="Times New Roman"/>
              </w:rPr>
            </w:pPr>
            <w:r>
              <w:rPr>
                <w:rFonts w:eastAsia="Times New Roman"/>
              </w:rPr>
              <w:t xml:space="preserve">Rincian Aset Tak berwujud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23</w:t>
            </w:r>
          </w:p>
        </w:tc>
        <w:tc>
          <w:tcPr>
            <w:tcW w:w="0" w:type="auto"/>
            <w:vAlign w:val="center"/>
            <w:hideMark/>
          </w:tcPr>
          <w:p w:rsidR="00000000" w:rsidRDefault="00703D2E">
            <w:pPr>
              <w:rPr>
                <w:rFonts w:eastAsia="Times New Roman"/>
              </w:rPr>
            </w:pPr>
            <w:r>
              <w:rPr>
                <w:rFonts w:eastAsia="Times New Roman"/>
              </w:rPr>
              <w:t>Rincian Akumulasi Penyusutan dan Amortisasi Aset Lainnya</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24</w:t>
            </w:r>
          </w:p>
        </w:tc>
        <w:tc>
          <w:tcPr>
            <w:tcW w:w="0" w:type="auto"/>
            <w:vAlign w:val="center"/>
            <w:hideMark/>
          </w:tcPr>
          <w:p w:rsidR="00000000" w:rsidRDefault="00703D2E">
            <w:pPr>
              <w:rPr>
                <w:rFonts w:eastAsia="Times New Roman"/>
              </w:rPr>
            </w:pPr>
            <w:r>
              <w:rPr>
                <w:rFonts w:eastAsia="Times New Roman"/>
              </w:rPr>
              <w:t>Rincian Utang Pada Pihak Ketiga</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25</w:t>
            </w:r>
          </w:p>
        </w:tc>
        <w:tc>
          <w:tcPr>
            <w:tcW w:w="0" w:type="auto"/>
            <w:vAlign w:val="center"/>
            <w:hideMark/>
          </w:tcPr>
          <w:p w:rsidR="00000000" w:rsidRDefault="00703D2E">
            <w:pPr>
              <w:rPr>
                <w:rFonts w:eastAsia="Times New Roman"/>
              </w:rPr>
            </w:pPr>
            <w:r>
              <w:rPr>
                <w:rFonts w:eastAsia="Times New Roman"/>
              </w:rPr>
              <w:t>Rincian Utang Jangka Pendek Lainnya</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26</w:t>
            </w:r>
          </w:p>
        </w:tc>
        <w:tc>
          <w:tcPr>
            <w:tcW w:w="0" w:type="auto"/>
            <w:vAlign w:val="center"/>
            <w:hideMark/>
          </w:tcPr>
          <w:p w:rsidR="00000000" w:rsidRDefault="00703D2E">
            <w:pPr>
              <w:rPr>
                <w:rFonts w:eastAsia="Times New Roman"/>
              </w:rPr>
            </w:pPr>
            <w:r>
              <w:rPr>
                <w:rFonts w:eastAsia="Times New Roman"/>
              </w:rPr>
              <w:t xml:space="preserve">Rincian Pendapatan Negara Bukan Pajak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27</w:t>
            </w:r>
          </w:p>
        </w:tc>
        <w:tc>
          <w:tcPr>
            <w:tcW w:w="0" w:type="auto"/>
            <w:vAlign w:val="center"/>
            <w:hideMark/>
          </w:tcPr>
          <w:p w:rsidR="00000000" w:rsidRDefault="00703D2E">
            <w:pPr>
              <w:rPr>
                <w:rFonts w:eastAsia="Times New Roman"/>
              </w:rPr>
            </w:pPr>
            <w:r>
              <w:rPr>
                <w:rFonts w:eastAsia="Times New Roman"/>
              </w:rPr>
              <w:t xml:space="preserve">Perbandingan Nilai LO dan LRA Pendapatan Negara Bukan Pajak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28</w:t>
            </w:r>
          </w:p>
        </w:tc>
        <w:tc>
          <w:tcPr>
            <w:tcW w:w="0" w:type="auto"/>
            <w:vAlign w:val="center"/>
            <w:hideMark/>
          </w:tcPr>
          <w:p w:rsidR="00000000" w:rsidRDefault="00703D2E">
            <w:pPr>
              <w:rPr>
                <w:rFonts w:eastAsia="Times New Roman"/>
              </w:rPr>
            </w:pPr>
            <w:r>
              <w:rPr>
                <w:rFonts w:eastAsia="Times New Roman"/>
              </w:rPr>
              <w:t xml:space="preserve">Rincian Beban Pegawai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29</w:t>
            </w:r>
          </w:p>
        </w:tc>
        <w:tc>
          <w:tcPr>
            <w:tcW w:w="0" w:type="auto"/>
            <w:vAlign w:val="center"/>
            <w:hideMark/>
          </w:tcPr>
          <w:p w:rsidR="00000000" w:rsidRDefault="00703D2E">
            <w:pPr>
              <w:rPr>
                <w:rFonts w:eastAsia="Times New Roman"/>
              </w:rPr>
            </w:pPr>
            <w:r>
              <w:rPr>
                <w:rFonts w:eastAsia="Times New Roman"/>
              </w:rPr>
              <w:t xml:space="preserve">Perbandingan Nilai LO dan LRA Beban Pegawai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30</w:t>
            </w:r>
          </w:p>
        </w:tc>
        <w:tc>
          <w:tcPr>
            <w:tcW w:w="0" w:type="auto"/>
            <w:vAlign w:val="center"/>
            <w:hideMark/>
          </w:tcPr>
          <w:p w:rsidR="00000000" w:rsidRDefault="00703D2E">
            <w:pPr>
              <w:rPr>
                <w:rFonts w:eastAsia="Times New Roman"/>
              </w:rPr>
            </w:pPr>
            <w:r>
              <w:rPr>
                <w:rFonts w:eastAsia="Times New Roman"/>
              </w:rPr>
              <w:t xml:space="preserve">Rincian Beban Persediaan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31</w:t>
            </w:r>
          </w:p>
        </w:tc>
        <w:tc>
          <w:tcPr>
            <w:tcW w:w="0" w:type="auto"/>
            <w:vAlign w:val="center"/>
            <w:hideMark/>
          </w:tcPr>
          <w:p w:rsidR="00000000" w:rsidRDefault="00703D2E">
            <w:pPr>
              <w:rPr>
                <w:rFonts w:eastAsia="Times New Roman"/>
              </w:rPr>
            </w:pPr>
            <w:r>
              <w:rPr>
                <w:rFonts w:eastAsia="Times New Roman"/>
              </w:rPr>
              <w:t>Rincian Beban Barang dan Jasa</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32</w:t>
            </w:r>
          </w:p>
        </w:tc>
        <w:tc>
          <w:tcPr>
            <w:tcW w:w="0" w:type="auto"/>
            <w:vAlign w:val="center"/>
            <w:hideMark/>
          </w:tcPr>
          <w:p w:rsidR="00000000" w:rsidRDefault="00703D2E">
            <w:pPr>
              <w:rPr>
                <w:rFonts w:eastAsia="Times New Roman"/>
              </w:rPr>
            </w:pPr>
            <w:r>
              <w:rPr>
                <w:rFonts w:eastAsia="Times New Roman"/>
              </w:rPr>
              <w:t xml:space="preserve">Perbandingan Nilai LO dan LRA Beban Barang dan Jasa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33</w:t>
            </w:r>
          </w:p>
        </w:tc>
        <w:tc>
          <w:tcPr>
            <w:tcW w:w="0" w:type="auto"/>
            <w:vAlign w:val="center"/>
            <w:hideMark/>
          </w:tcPr>
          <w:p w:rsidR="00000000" w:rsidRDefault="00703D2E">
            <w:pPr>
              <w:rPr>
                <w:rFonts w:eastAsia="Times New Roman"/>
              </w:rPr>
            </w:pPr>
            <w:r>
              <w:rPr>
                <w:rFonts w:eastAsia="Times New Roman"/>
              </w:rPr>
              <w:t xml:space="preserve">Rincian Beban Pemeliharaan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34</w:t>
            </w:r>
          </w:p>
        </w:tc>
        <w:tc>
          <w:tcPr>
            <w:tcW w:w="0" w:type="auto"/>
            <w:vAlign w:val="center"/>
            <w:hideMark/>
          </w:tcPr>
          <w:p w:rsidR="00000000" w:rsidRDefault="00703D2E">
            <w:pPr>
              <w:rPr>
                <w:rFonts w:eastAsia="Times New Roman"/>
              </w:rPr>
            </w:pPr>
            <w:r>
              <w:rPr>
                <w:rFonts w:eastAsia="Times New Roman"/>
              </w:rPr>
              <w:t>Perbandingan Nilai LO dan LRA Beban Pemeliharaan</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lastRenderedPageBreak/>
              <w:t>Tabel 35</w:t>
            </w:r>
          </w:p>
        </w:tc>
        <w:tc>
          <w:tcPr>
            <w:tcW w:w="0" w:type="auto"/>
            <w:vAlign w:val="center"/>
            <w:hideMark/>
          </w:tcPr>
          <w:p w:rsidR="00000000" w:rsidRDefault="00703D2E">
            <w:pPr>
              <w:rPr>
                <w:rFonts w:eastAsia="Times New Roman"/>
              </w:rPr>
            </w:pPr>
            <w:r>
              <w:rPr>
                <w:rFonts w:eastAsia="Times New Roman"/>
              </w:rPr>
              <w:t>Rincian Beban Perjalanan Dinas</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36</w:t>
            </w:r>
          </w:p>
        </w:tc>
        <w:tc>
          <w:tcPr>
            <w:tcW w:w="0" w:type="auto"/>
            <w:vAlign w:val="center"/>
            <w:hideMark/>
          </w:tcPr>
          <w:p w:rsidR="00000000" w:rsidRDefault="00703D2E">
            <w:pPr>
              <w:rPr>
                <w:rFonts w:eastAsia="Times New Roman"/>
              </w:rPr>
            </w:pPr>
            <w:r>
              <w:rPr>
                <w:rFonts w:eastAsia="Times New Roman"/>
              </w:rPr>
              <w:t>Perbandingan Nilai LO dan LRA Beban Perjalanan Dina</w:t>
            </w:r>
            <w:r>
              <w:rPr>
                <w:rFonts w:eastAsia="Times New Roman"/>
              </w:rPr>
              <w:t>s</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37</w:t>
            </w:r>
          </w:p>
        </w:tc>
        <w:tc>
          <w:tcPr>
            <w:tcW w:w="0" w:type="auto"/>
            <w:vAlign w:val="center"/>
            <w:hideMark/>
          </w:tcPr>
          <w:p w:rsidR="00000000" w:rsidRDefault="00703D2E">
            <w:pPr>
              <w:rPr>
                <w:rFonts w:eastAsia="Times New Roman"/>
              </w:rPr>
            </w:pPr>
            <w:r>
              <w:rPr>
                <w:rFonts w:eastAsia="Times New Roman"/>
              </w:rPr>
              <w:t xml:space="preserve">Rincian Beban Penyusutan dan Amortisasi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38</w:t>
            </w:r>
          </w:p>
        </w:tc>
        <w:tc>
          <w:tcPr>
            <w:tcW w:w="0" w:type="auto"/>
            <w:vAlign w:val="center"/>
            <w:hideMark/>
          </w:tcPr>
          <w:p w:rsidR="00000000" w:rsidRDefault="00703D2E">
            <w:pPr>
              <w:rPr>
                <w:rFonts w:eastAsia="Times New Roman"/>
              </w:rPr>
            </w:pPr>
            <w:r>
              <w:rPr>
                <w:rFonts w:eastAsia="Times New Roman"/>
              </w:rPr>
              <w:t>Rincian Beban Penyisihan Piutang Tak Tertagih</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39</w:t>
            </w:r>
          </w:p>
        </w:tc>
        <w:tc>
          <w:tcPr>
            <w:tcW w:w="0" w:type="auto"/>
            <w:vAlign w:val="center"/>
            <w:hideMark/>
          </w:tcPr>
          <w:p w:rsidR="00000000" w:rsidRDefault="00703D2E">
            <w:pPr>
              <w:rPr>
                <w:rFonts w:eastAsia="Times New Roman"/>
              </w:rPr>
            </w:pPr>
            <w:r>
              <w:rPr>
                <w:rFonts w:eastAsia="Times New Roman"/>
              </w:rPr>
              <w:t xml:space="preserve">Rincian Kegiatan Non Operasional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40</w:t>
            </w:r>
          </w:p>
        </w:tc>
        <w:tc>
          <w:tcPr>
            <w:tcW w:w="0" w:type="auto"/>
            <w:vAlign w:val="center"/>
            <w:hideMark/>
          </w:tcPr>
          <w:p w:rsidR="00000000" w:rsidRDefault="00703D2E">
            <w:pPr>
              <w:rPr>
                <w:rFonts w:eastAsia="Times New Roman"/>
              </w:rPr>
            </w:pPr>
            <w:r>
              <w:rPr>
                <w:rFonts w:eastAsia="Times New Roman"/>
              </w:rPr>
              <w:t>Rincian Koreksi yang Menambah/Mengurangi Ekuitas</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41</w:t>
            </w:r>
          </w:p>
        </w:tc>
        <w:tc>
          <w:tcPr>
            <w:tcW w:w="0" w:type="auto"/>
            <w:vAlign w:val="center"/>
            <w:hideMark/>
          </w:tcPr>
          <w:p w:rsidR="00000000" w:rsidRDefault="00703D2E">
            <w:pPr>
              <w:rPr>
                <w:rFonts w:eastAsia="Times New Roman"/>
              </w:rPr>
            </w:pPr>
            <w:r>
              <w:rPr>
                <w:rFonts w:eastAsia="Times New Roman"/>
              </w:rPr>
              <w:t>Rincian Koreksi Atas Reklasifikasi</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42</w:t>
            </w:r>
          </w:p>
        </w:tc>
        <w:tc>
          <w:tcPr>
            <w:tcW w:w="0" w:type="auto"/>
            <w:vAlign w:val="center"/>
            <w:hideMark/>
          </w:tcPr>
          <w:p w:rsidR="00000000" w:rsidRDefault="00703D2E">
            <w:pPr>
              <w:rPr>
                <w:rFonts w:eastAsia="Times New Roman"/>
              </w:rPr>
            </w:pPr>
            <w:r>
              <w:rPr>
                <w:rFonts w:eastAsia="Times New Roman"/>
              </w:rPr>
              <w:t xml:space="preserve">Rincian Koreksi Aset Tetap Non Revaluasi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43</w:t>
            </w:r>
          </w:p>
        </w:tc>
        <w:tc>
          <w:tcPr>
            <w:tcW w:w="0" w:type="auto"/>
            <w:vAlign w:val="center"/>
            <w:hideMark/>
          </w:tcPr>
          <w:p w:rsidR="00000000" w:rsidRDefault="00703D2E">
            <w:pPr>
              <w:rPr>
                <w:rFonts w:eastAsia="Times New Roman"/>
              </w:rPr>
            </w:pPr>
            <w:r>
              <w:rPr>
                <w:rFonts w:eastAsia="Times New Roman"/>
              </w:rPr>
              <w:t>Rincian Nilai Transaksi Antar Entitas</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44</w:t>
            </w:r>
          </w:p>
        </w:tc>
        <w:tc>
          <w:tcPr>
            <w:tcW w:w="0" w:type="auto"/>
            <w:vAlign w:val="center"/>
            <w:hideMark/>
          </w:tcPr>
          <w:p w:rsidR="00000000" w:rsidRDefault="00703D2E">
            <w:pPr>
              <w:rPr>
                <w:rFonts w:eastAsia="Times New Roman"/>
              </w:rPr>
            </w:pPr>
            <w:r>
              <w:rPr>
                <w:rFonts w:eastAsia="Times New Roman"/>
              </w:rPr>
              <w:t xml:space="preserve">Rincian Transfer Masuk </w:t>
            </w:r>
          </w:p>
        </w:tc>
        <w:tc>
          <w:tcPr>
            <w:tcW w:w="0" w:type="auto"/>
            <w:vAlign w:val="center"/>
            <w:hideMark/>
          </w:tcPr>
          <w:p w:rsidR="00000000" w:rsidRDefault="00703D2E">
            <w:pPr>
              <w:rPr>
                <w:rFonts w:eastAsia="Times New Roman"/>
              </w:rPr>
            </w:pPr>
          </w:p>
        </w:tc>
      </w:tr>
      <w:tr w:rsidR="00000000">
        <w:trPr>
          <w:divId w:val="943264601"/>
          <w:tblCellSpacing w:w="15" w:type="dxa"/>
        </w:trPr>
        <w:tc>
          <w:tcPr>
            <w:tcW w:w="900" w:type="dxa"/>
            <w:vAlign w:val="center"/>
            <w:hideMark/>
          </w:tcPr>
          <w:p w:rsidR="00000000" w:rsidRDefault="00703D2E">
            <w:pPr>
              <w:rPr>
                <w:rFonts w:eastAsia="Times New Roman"/>
              </w:rPr>
            </w:pPr>
            <w:r>
              <w:rPr>
                <w:rFonts w:eastAsia="Times New Roman"/>
              </w:rPr>
              <w:t>Tabel 45</w:t>
            </w:r>
          </w:p>
        </w:tc>
        <w:tc>
          <w:tcPr>
            <w:tcW w:w="0" w:type="auto"/>
            <w:vAlign w:val="center"/>
            <w:hideMark/>
          </w:tcPr>
          <w:p w:rsidR="00000000" w:rsidRDefault="00703D2E">
            <w:pPr>
              <w:rPr>
                <w:rFonts w:eastAsia="Times New Roman"/>
              </w:rPr>
            </w:pPr>
            <w:r>
              <w:rPr>
                <w:rFonts w:eastAsia="Times New Roman"/>
              </w:rPr>
              <w:t xml:space="preserve">Rincian Transfer Keluar </w:t>
            </w:r>
          </w:p>
        </w:tc>
        <w:tc>
          <w:tcPr>
            <w:tcW w:w="0" w:type="auto"/>
            <w:vAlign w:val="center"/>
            <w:hideMark/>
          </w:tcPr>
          <w:p w:rsidR="00000000" w:rsidRDefault="00703D2E">
            <w:pPr>
              <w:rPr>
                <w:rFonts w:eastAsia="Times New Roman"/>
              </w:rPr>
            </w:pPr>
          </w:p>
        </w:tc>
      </w:tr>
    </w:tbl>
    <w:p w:rsidR="00000000" w:rsidRDefault="00703D2E">
      <w:pPr>
        <w:divId w:val="534586153"/>
        <w:rPr>
          <w:rFonts w:eastAsia="Times New Roman"/>
        </w:rPr>
      </w:pPr>
      <w:r>
        <w:rPr>
          <w:rFonts w:eastAsia="Times New Roman"/>
        </w:rPr>
        <w:t xml:space="preserve">; </w:t>
      </w:r>
    </w:p>
    <w:p w:rsidR="00000000" w:rsidRDefault="00703D2E">
      <w:pPr>
        <w:pageBreakBefore/>
        <w:divId w:val="1022248728"/>
        <w:rPr>
          <w:rFonts w:eastAsia="Times New Roman"/>
        </w:rPr>
      </w:pPr>
      <w:r>
        <w:rPr>
          <w:rFonts w:eastAsia="Times New Roman"/>
        </w:rPr>
        <w:lastRenderedPageBreak/>
        <w:t> </w:t>
      </w:r>
    </w:p>
    <w:p w:rsidR="00000000" w:rsidRDefault="00703D2E">
      <w:pPr>
        <w:pStyle w:val="Heading3"/>
        <w:jc w:val="center"/>
        <w:divId w:val="1767311326"/>
        <w:rPr>
          <w:rFonts w:eastAsia="Times New Roman"/>
        </w:rPr>
      </w:pPr>
      <w:r>
        <w:rPr>
          <w:rFonts w:eastAsia="Times New Roman"/>
        </w:rPr>
        <w:t>PERNYATAAN TANGGUNG JAWAB</w:t>
      </w:r>
    </w:p>
    <w:p w:rsidR="00000000" w:rsidRDefault="00703D2E">
      <w:pPr>
        <w:divId w:val="1767311326"/>
        <w:rPr>
          <w:rFonts w:eastAsia="Times New Roman"/>
        </w:rPr>
      </w:pPr>
    </w:p>
    <w:p w:rsidR="00000000" w:rsidRDefault="00703D2E">
      <w:pPr>
        <w:pStyle w:val="NormalWeb"/>
        <w:jc w:val="both"/>
        <w:divId w:val="1767311326"/>
      </w:pPr>
      <w:r>
        <w:t>Penggabungan Laporan Keuangan Badan Pusat Statistik Wilayah Jambi selaku UAPPA-W yang terdiri dari: (a) Laporan Realisasi Anggaran, (b) Neraca, (c) Laporan Operasional, (d) Laporan Perubahan Ekuitas, dan (e) Catatan atas Laporan Keuangan Laporan Keuangan U</w:t>
      </w:r>
      <w:r>
        <w:t>ntuk Periode yang Berakhir 30 Juni 2022 sebagaimana terlampir adalah merupakan tanggung jawab kami, sedangkan substansi Laporan Keuangan dari masing-masing Satuan Kerja merupakan tanggungjawab UAKPA.</w:t>
      </w:r>
    </w:p>
    <w:p w:rsidR="00000000" w:rsidRDefault="00703D2E">
      <w:pPr>
        <w:divId w:val="1767311326"/>
        <w:rPr>
          <w:rFonts w:eastAsia="Times New Roman"/>
        </w:rPr>
      </w:pPr>
    </w:p>
    <w:p w:rsidR="00000000" w:rsidRDefault="00703D2E">
      <w:pPr>
        <w:pStyle w:val="NormalWeb"/>
        <w:jc w:val="both"/>
        <w:divId w:val="1767311326"/>
      </w:pPr>
      <w:r>
        <w:t>Laporan Keuangan tersebut telah disusun berdasarkan si</w:t>
      </w:r>
      <w:r>
        <w:t>stem pengendalian intern yang memadai, dan isinya telah menyajikan informasi pelaksanaan anggaran dan posisi serta kinerja keuangan secara layak sesuai dengan Standar Akuntansi Pemerintahan</w:t>
      </w:r>
    </w:p>
    <w:p w:rsidR="00000000" w:rsidRDefault="00703D2E">
      <w:pPr>
        <w:spacing w:after="240"/>
        <w:divId w:val="1767311326"/>
        <w:rPr>
          <w:rFonts w:eastAsia="Times New Roman"/>
        </w:rPr>
      </w:pPr>
      <w:r>
        <w:rPr>
          <w:rFonts w:eastAsia="Times New Roman"/>
        </w:rPr>
        <w:br/>
      </w:r>
      <w:r>
        <w:rPr>
          <w:rFonts w:eastAsia="Times New Roman"/>
        </w:rPr>
        <w:br/>
      </w:r>
      <w:r>
        <w:rPr>
          <w:rFonts w:eastAsia="Times New Roman"/>
        </w:rPr>
        <w:br/>
      </w:r>
    </w:p>
    <w:p w:rsidR="00000000" w:rsidRDefault="00703D2E">
      <w:pPr>
        <w:divId w:val="1964115475"/>
        <w:rPr>
          <w:rFonts w:eastAsia="Times New Roman"/>
        </w:rPr>
      </w:pPr>
      <w:r>
        <w:rPr>
          <w:rFonts w:eastAsia="Times New Roman"/>
        </w:rPr>
        <w:t>Jambi, 27 Juli 2022</w:t>
      </w:r>
    </w:p>
    <w:p w:rsidR="00000000" w:rsidRDefault="00703D2E">
      <w:pPr>
        <w:divId w:val="417096288"/>
        <w:rPr>
          <w:rFonts w:eastAsia="Times New Roman"/>
        </w:rPr>
      </w:pPr>
      <w:r>
        <w:rPr>
          <w:rFonts w:eastAsia="Times New Roman"/>
        </w:rPr>
        <w:t>Kepala,</w:t>
      </w:r>
    </w:p>
    <w:p w:rsidR="00000000" w:rsidRDefault="00703D2E">
      <w:pPr>
        <w:spacing w:after="240"/>
        <w:divId w:val="1767311326"/>
        <w:rPr>
          <w:rFonts w:eastAsia="Times New Roman"/>
        </w:rPr>
      </w:pPr>
      <w:r>
        <w:rPr>
          <w:rFonts w:eastAsia="Times New Roman"/>
        </w:rPr>
        <w:br/>
      </w:r>
    </w:p>
    <w:p w:rsidR="00000000" w:rsidRDefault="00703D2E">
      <w:pPr>
        <w:divId w:val="515314606"/>
        <w:rPr>
          <w:rFonts w:eastAsia="Times New Roman"/>
        </w:rPr>
      </w:pPr>
      <w:r>
        <w:rPr>
          <w:rFonts w:eastAsia="Times New Roman"/>
        </w:rPr>
        <w:t>Agus Sudibyo, M.Stat</w:t>
      </w:r>
    </w:p>
    <w:p w:rsidR="00000000" w:rsidRDefault="00703D2E">
      <w:pPr>
        <w:divId w:val="2096587962"/>
        <w:rPr>
          <w:rFonts w:eastAsia="Times New Roman"/>
        </w:rPr>
      </w:pPr>
      <w:r>
        <w:rPr>
          <w:rFonts w:eastAsia="Times New Roman"/>
        </w:rPr>
        <w:t>NIP.197</w:t>
      </w:r>
      <w:r>
        <w:rPr>
          <w:rFonts w:eastAsia="Times New Roman"/>
        </w:rPr>
        <w:t>412311996121001</w:t>
      </w:r>
    </w:p>
    <w:p w:rsidR="00000000" w:rsidRDefault="00703D2E">
      <w:pPr>
        <w:pageBreakBefore/>
        <w:divId w:val="1980645368"/>
        <w:rPr>
          <w:rFonts w:eastAsia="Times New Roman"/>
        </w:rPr>
      </w:pPr>
      <w:r>
        <w:rPr>
          <w:rFonts w:eastAsia="Times New Roman"/>
        </w:rPr>
        <w:lastRenderedPageBreak/>
        <w:t> </w:t>
      </w:r>
    </w:p>
    <w:p w:rsidR="00000000" w:rsidRDefault="00703D2E">
      <w:pPr>
        <w:pStyle w:val="Heading4"/>
        <w:shd w:val="clear" w:color="auto" w:fill="00BFFF"/>
        <w:jc w:val="center"/>
        <w:divId w:val="165438233"/>
        <w:rPr>
          <w:rFonts w:eastAsia="Times New Roman"/>
          <w:color w:val="FFFFFF"/>
        </w:rPr>
      </w:pPr>
      <w:r>
        <w:rPr>
          <w:rFonts w:eastAsia="Times New Roman"/>
          <w:color w:val="FFFFFF"/>
        </w:rPr>
        <w:t>INDEKS SINGKATAN</w:t>
      </w:r>
    </w:p>
    <w:tbl>
      <w:tblPr>
        <w:tblW w:w="9750" w:type="dxa"/>
        <w:tblCellSpacing w:w="15" w:type="dxa"/>
        <w:tblCellMar>
          <w:top w:w="15" w:type="dxa"/>
          <w:left w:w="15" w:type="dxa"/>
          <w:bottom w:w="15" w:type="dxa"/>
          <w:right w:w="15" w:type="dxa"/>
        </w:tblCellMar>
        <w:tblLook w:val="04A0" w:firstRow="1" w:lastRow="0" w:firstColumn="1" w:lastColumn="0" w:noHBand="0" w:noVBand="1"/>
      </w:tblPr>
      <w:tblGrid>
        <w:gridCol w:w="3333"/>
        <w:gridCol w:w="388"/>
        <w:gridCol w:w="6029"/>
      </w:tblGrid>
      <w:tr w:rsidR="00000000">
        <w:trPr>
          <w:divId w:val="165438233"/>
          <w:tblCellSpacing w:w="15" w:type="dxa"/>
        </w:trPr>
        <w:tc>
          <w:tcPr>
            <w:tcW w:w="4050" w:type="dxa"/>
            <w:vAlign w:val="center"/>
            <w:hideMark/>
          </w:tcPr>
          <w:p w:rsidR="00000000" w:rsidRDefault="00703D2E">
            <w:pPr>
              <w:rPr>
                <w:rFonts w:eastAsia="Times New Roman"/>
                <w:color w:val="FFFFFF"/>
              </w:rPr>
            </w:pPr>
          </w:p>
        </w:tc>
        <w:tc>
          <w:tcPr>
            <w:tcW w:w="450" w:type="dxa"/>
            <w:vAlign w:val="center"/>
            <w:hideMark/>
          </w:tcPr>
          <w:p w:rsidR="00000000" w:rsidRDefault="00703D2E">
            <w:pPr>
              <w:jc w:val="center"/>
              <w:rPr>
                <w:rFonts w:eastAsia="Times New Roman"/>
                <w:sz w:val="20"/>
                <w:szCs w:val="20"/>
              </w:rPr>
            </w:pPr>
          </w:p>
        </w:tc>
        <w:tc>
          <w:tcPr>
            <w:tcW w:w="7500" w:type="dxa"/>
            <w:vAlign w:val="center"/>
            <w:hideMark/>
          </w:tcPr>
          <w:p w:rsidR="00000000" w:rsidRDefault="00703D2E">
            <w:pPr>
              <w:jc w:val="center"/>
              <w:rPr>
                <w:rFonts w:eastAsia="Times New Roman"/>
                <w:sz w:val="20"/>
                <w:szCs w:val="20"/>
              </w:rPr>
            </w:pP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APBN</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Anggaran Pendapatan dan Belanja Negara</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BPS</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Badan Pusat Statistik</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BPK</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Badan Pemeriksa Keuangan</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DIPA</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Daftar Isian Pelaksanaan Anggaran</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LKKL</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Laporan Keuangan Kementerian Negara/Lembaga</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LKPP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Laporan Keuangan Pemerintah Pusat</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CaLK</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Catatan atas Laporan Keuangan</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SAP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Standar Akuntansi Pemerintahan</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SAPP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Sistem Akuntansi Pemerintah Pusat</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SAIBA</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Sistem Akuntansi Instansi Berbasis Akrual</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SAK</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Sistem Akuntansi Keuangan</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SIMAK BMN</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Sistem Informasi Manajemen dan Akuntansi Barang Milik Negara</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LRA</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Laporan Realisasi Anggaran</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LO</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Laporan Operasional</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LPE</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Laporan Perubahan Ekuitas</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KUN</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Kas Umum Negara</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PNBP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Penerimaan Negara Bukan Pajak</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TP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Tuntutan Perbendaharaan</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TGR</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Tuntutan Ganti Rugi</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KDP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Konstruksi Dalam Pengerjaan</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UP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Uang Persediaan</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SSBP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Surat Setoran Bukan Pajak</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SATKER</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Satuan Kerja</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KPPN</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Kantor Pelayanan Perbendaharaan Negara</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PPAKP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 xml:space="preserve">Program Percepatan Akuntabilitas Keuangan Pemerintah </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RKP</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Rencana Kerja Pemerintah</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RPJM</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Rencana Pembangunan Jangka Menengah</w:t>
            </w:r>
          </w:p>
        </w:tc>
      </w:tr>
      <w:tr w:rsidR="00000000">
        <w:trPr>
          <w:divId w:val="165438233"/>
          <w:tblCellSpacing w:w="15" w:type="dxa"/>
        </w:trPr>
        <w:tc>
          <w:tcPr>
            <w:tcW w:w="0" w:type="auto"/>
            <w:vAlign w:val="center"/>
            <w:hideMark/>
          </w:tcPr>
          <w:p w:rsidR="00000000" w:rsidRDefault="00703D2E">
            <w:pPr>
              <w:rPr>
                <w:rFonts w:eastAsia="Times New Roman"/>
              </w:rPr>
            </w:pPr>
            <w:r>
              <w:rPr>
                <w:rFonts w:eastAsia="Times New Roman"/>
              </w:rPr>
              <w:t>RENSTRA</w:t>
            </w:r>
          </w:p>
        </w:tc>
        <w:tc>
          <w:tcPr>
            <w:tcW w:w="0" w:type="auto"/>
            <w:vAlign w:val="center"/>
            <w:hideMark/>
          </w:tcPr>
          <w:p w:rsidR="00000000" w:rsidRDefault="00703D2E">
            <w:pPr>
              <w:rPr>
                <w:rFonts w:eastAsia="Times New Roman"/>
              </w:rPr>
            </w:pPr>
            <w:r>
              <w:rPr>
                <w:rFonts w:eastAsia="Times New Roman"/>
              </w:rPr>
              <w:t>:</w:t>
            </w:r>
          </w:p>
        </w:tc>
        <w:tc>
          <w:tcPr>
            <w:tcW w:w="0" w:type="auto"/>
            <w:vAlign w:val="center"/>
            <w:hideMark/>
          </w:tcPr>
          <w:p w:rsidR="00000000" w:rsidRDefault="00703D2E">
            <w:pPr>
              <w:rPr>
                <w:rFonts w:eastAsia="Times New Roman"/>
              </w:rPr>
            </w:pPr>
            <w:r>
              <w:rPr>
                <w:rFonts w:eastAsia="Times New Roman"/>
              </w:rPr>
              <w:t>Rencana Strategis</w:t>
            </w:r>
          </w:p>
        </w:tc>
      </w:tr>
    </w:tbl>
    <w:p w:rsidR="00000000" w:rsidRDefault="00703D2E">
      <w:pPr>
        <w:pageBreakBefore/>
        <w:divId w:val="142048534"/>
        <w:rPr>
          <w:rFonts w:eastAsia="Times New Roman"/>
        </w:rPr>
      </w:pPr>
      <w:r>
        <w:rPr>
          <w:rFonts w:eastAsia="Times New Roman"/>
        </w:rPr>
        <w:lastRenderedPageBreak/>
        <w:t> </w:t>
      </w:r>
    </w:p>
    <w:p w:rsidR="00000000" w:rsidRDefault="00703D2E">
      <w:pPr>
        <w:pStyle w:val="Heading2"/>
        <w:shd w:val="clear" w:color="auto" w:fill="00BFFF"/>
        <w:jc w:val="right"/>
        <w:divId w:val="1504734167"/>
        <w:rPr>
          <w:rFonts w:eastAsia="Times New Roman"/>
          <w:color w:val="FFFFFF"/>
          <w:sz w:val="24"/>
          <w:szCs w:val="24"/>
        </w:rPr>
      </w:pPr>
      <w:r>
        <w:rPr>
          <w:rFonts w:eastAsia="Times New Roman"/>
          <w:color w:val="FFFFFF"/>
          <w:sz w:val="24"/>
          <w:szCs w:val="24"/>
        </w:rPr>
        <w:t>RINGKASAN LAPORAN KEUANGAN</w:t>
      </w:r>
    </w:p>
    <w:p w:rsidR="00000000" w:rsidRDefault="00703D2E">
      <w:pPr>
        <w:pStyle w:val="NormalWeb"/>
        <w:jc w:val="both"/>
        <w:divId w:val="1504734167"/>
      </w:pPr>
      <w:r>
        <w:t>Laporan Keuangan Badan Pusat Statistik Wilayah Jambi Untuk Periode yang Berakhir 30 Juni 2022 ini telah disusun dan disajikan se</w:t>
      </w:r>
      <w:r>
        <w:t>suai dengan Peraturan Pemerintah Nomor 71 Tahun 2010 tentang Standar Akuntansi Pemerintahan (SAP) dan berdasarkan kaidah-kaidah pengelolaan keuangan yang sehat di lingkungan pemerintahan. Laporan Keuangan ini meliputi:</w:t>
      </w:r>
    </w:p>
    <w:p w:rsidR="00000000" w:rsidRDefault="00703D2E">
      <w:pPr>
        <w:pStyle w:val="Heading4"/>
        <w:divId w:val="1504734167"/>
        <w:rPr>
          <w:rFonts w:eastAsia="Times New Roman"/>
        </w:rPr>
      </w:pPr>
      <w:r>
        <w:rPr>
          <w:rFonts w:eastAsia="Times New Roman"/>
        </w:rPr>
        <w:t xml:space="preserve">1. LAPORAN REALISASI ANGGARAN </w:t>
      </w:r>
    </w:p>
    <w:p w:rsidR="00000000" w:rsidRDefault="00703D2E">
      <w:pPr>
        <w:pStyle w:val="NormalWeb"/>
        <w:jc w:val="both"/>
        <w:divId w:val="1504734167"/>
      </w:pPr>
      <w:r>
        <w:t>Lapora</w:t>
      </w:r>
      <w:r>
        <w:t>n Realisasi Anggaran menggambarkan perbandingan antara anggaran dengan realisasinya, yang mencakup unsur-unsur Pendapatan-LRA dan Belanja selama periode 1 Januari sampai dengan 30 Juni 2022.</w:t>
      </w:r>
    </w:p>
    <w:p w:rsidR="00000000" w:rsidRDefault="00703D2E">
      <w:pPr>
        <w:pStyle w:val="NormalWeb"/>
        <w:jc w:val="both"/>
        <w:divId w:val="1504734167"/>
      </w:pPr>
      <w:r>
        <w:t>Realisasi Pendapatan Negara Untuk Periode yang Berakhir 30 Juni 2</w:t>
      </w:r>
      <w:r>
        <w:t xml:space="preserve">022 adalah berupa Pendapatan Negara Bukan Pajak sebesar Rp26.365.595 atau mencapai 0,00 persen dari estimasi Pendapatan-LRA sebesar Rp0. </w:t>
      </w:r>
    </w:p>
    <w:p w:rsidR="00000000" w:rsidRDefault="00703D2E">
      <w:pPr>
        <w:pStyle w:val="NormalWeb"/>
        <w:jc w:val="both"/>
        <w:divId w:val="1504734167"/>
      </w:pPr>
      <w:r>
        <w:t xml:space="preserve">Realisasi Belanja Negara Untuk Periode yang Berakhir 30 Juni </w:t>
      </w:r>
      <w:r>
        <w:t>2022 adalah sebesar Rp40.527.789.393 atau mencapai 0,00 persen dari alokasi anggaran sebesar Rp0.</w:t>
      </w:r>
    </w:p>
    <w:p w:rsidR="00000000" w:rsidRDefault="00703D2E">
      <w:pPr>
        <w:pStyle w:val="Heading4"/>
        <w:divId w:val="1504734167"/>
        <w:rPr>
          <w:rFonts w:eastAsia="Times New Roman"/>
        </w:rPr>
      </w:pPr>
      <w:r>
        <w:rPr>
          <w:rFonts w:eastAsia="Times New Roman"/>
        </w:rPr>
        <w:t>2. NERACA</w:t>
      </w:r>
    </w:p>
    <w:p w:rsidR="00000000" w:rsidRDefault="00703D2E">
      <w:pPr>
        <w:pStyle w:val="NormalWeb"/>
        <w:jc w:val="both"/>
        <w:divId w:val="1504734167"/>
      </w:pPr>
      <w:r>
        <w:t>Neraca menggambarkan posisi keuangan entitas mengenai aset, kewajiban, dan ekuitas pada 30 Juni 2022. Nilai Aset per 30 Juni 2022 dicatat dan disaji</w:t>
      </w:r>
      <w:r>
        <w:t>kan sebesar Rp68.627.016.583 yang terdiri dari: Aset Lancar sebesar Rp1.454.680.666 Piutang Jangka Panjang (neto) sebesar Rp0,00 Aset Tetap (neto) sebesar Rp66.599.592.668 dan Aset Lainnya (neto) sebesar Rp572.743.249.</w:t>
      </w:r>
    </w:p>
    <w:p w:rsidR="00000000" w:rsidRDefault="00703D2E">
      <w:pPr>
        <w:pStyle w:val="NormalWeb"/>
        <w:jc w:val="both"/>
        <w:divId w:val="1504734167"/>
      </w:pPr>
      <w:r>
        <w:t>Nilai Kewajiban dan Ekuitas masing-ma</w:t>
      </w:r>
      <w:r>
        <w:t>sing sebesar Rp5.572.193.490 dan Rp63.054.823.093.</w:t>
      </w:r>
    </w:p>
    <w:p w:rsidR="00000000" w:rsidRDefault="00703D2E">
      <w:pPr>
        <w:pStyle w:val="Heading4"/>
        <w:divId w:val="1504734167"/>
        <w:rPr>
          <w:rFonts w:eastAsia="Times New Roman"/>
        </w:rPr>
      </w:pPr>
      <w:r>
        <w:rPr>
          <w:rFonts w:eastAsia="Times New Roman"/>
        </w:rPr>
        <w:t xml:space="preserve">3. LAPORAN OPERASIONAL </w:t>
      </w:r>
    </w:p>
    <w:p w:rsidR="00000000" w:rsidRDefault="00703D2E">
      <w:pPr>
        <w:pStyle w:val="NormalWeb"/>
        <w:jc w:val="both"/>
        <w:divId w:val="1504734167"/>
      </w:pPr>
      <w:r>
        <w:t>Laporan Operasional menyajikan berbagai unsur pendapatan-LO, beban, surplus/defisit dari operasi, surplus/defisit dari kegiatan nonoperasional, surplus/defisit sebelum pos luar bias</w:t>
      </w:r>
      <w:r>
        <w:t>a, pos luar biasa, dan surplus/defisit-LO, yang diperlukan untuk penyajian yang wajar. Pendapatan-LO untuk periode sampai dengan 30 Juni 2022 adalah sebesar Rp27.461.552, sedangkan jumlah beban dari kegiatan operasional adalah sebesar Rp45.105.675.965 sehi</w:t>
      </w:r>
      <w:r>
        <w:t>ngga terdapat Defisit dari Kegiatan Operasional senilai Rp45.078.214.413. Surplus Kegiatan Non Operasional dan Defisit Pos-pos Luar Biasa masing-masing sebesar Rp3.070.416 dan sebesar Rp0 sehingga entitas mengalami Defisit-LO sebesar Rp45.075.143.997.</w:t>
      </w:r>
    </w:p>
    <w:p w:rsidR="00000000" w:rsidRDefault="00703D2E">
      <w:pPr>
        <w:pStyle w:val="Heading4"/>
        <w:divId w:val="1504734167"/>
        <w:rPr>
          <w:rFonts w:eastAsia="Times New Roman"/>
        </w:rPr>
      </w:pPr>
      <w:r>
        <w:rPr>
          <w:rFonts w:eastAsia="Times New Roman"/>
        </w:rPr>
        <w:t>4. L</w:t>
      </w:r>
      <w:r>
        <w:rPr>
          <w:rFonts w:eastAsia="Times New Roman"/>
        </w:rPr>
        <w:t>APORAN PERUBAHAN EKUITAS</w:t>
      </w:r>
    </w:p>
    <w:p w:rsidR="00000000" w:rsidRDefault="00703D2E">
      <w:pPr>
        <w:pStyle w:val="NormalWeb"/>
        <w:jc w:val="both"/>
        <w:divId w:val="1504734167"/>
      </w:pPr>
      <w:r>
        <w:t xml:space="preserve">Laporan Perubahan Ekuitas menyajikan informasi kenaikan atau penurunan ekuitas tahun pelaporan dibandingkan dengan tahun sebelumnya. Ekuitas pada tanggal 01 Januari 2022 adalah </w:t>
      </w:r>
      <w:r>
        <w:lastRenderedPageBreak/>
        <w:t xml:space="preserve">sebesar Rp68.027.379.797 dikurangi Defisit-LO sebesar </w:t>
      </w:r>
      <w:r>
        <w:t>Rp45.075.143.997 ditambah dengan koreksi-koreksi senilai Rp-186.362.000 dan Transaksi Antar Entitas sebesar Rp40.288.949.293 sehingga Ekuitas entitas pada tanggal 30 Juni 2022 adalah senilai Rp63.054.823.093.</w:t>
      </w:r>
    </w:p>
    <w:p w:rsidR="00000000" w:rsidRDefault="00703D2E">
      <w:pPr>
        <w:pStyle w:val="Heading4"/>
        <w:divId w:val="1504734167"/>
        <w:rPr>
          <w:rFonts w:eastAsia="Times New Roman"/>
        </w:rPr>
      </w:pPr>
      <w:r>
        <w:rPr>
          <w:rFonts w:eastAsia="Times New Roman"/>
        </w:rPr>
        <w:t>5. CATATAN ATAS LAPORAN KEUANGAN</w:t>
      </w:r>
    </w:p>
    <w:p w:rsidR="00000000" w:rsidRDefault="00703D2E">
      <w:pPr>
        <w:pStyle w:val="NormalWeb"/>
        <w:jc w:val="both"/>
        <w:divId w:val="1504734167"/>
      </w:pPr>
      <w:r>
        <w:t>Catatan atas L</w:t>
      </w:r>
      <w:r>
        <w:t>aporan Keuangan (CaLK) menyajikan informasi tentang penjelasan atau daftar terinci atau analisis atas nilai suatu pos yang disajikan dalam Laporan Realisasi Anggaran, Neraca, Laporan Operasional, dan Laporan Perubahan Ekuitas. Termasuk pula dalam CaLK adal</w:t>
      </w:r>
      <w:r>
        <w:t>ah penyajian informasi yang diharuskan dan dianjurkan oleh Standar Akuntansi Pemerintahan serta pengungkapan-pengungkapan lainnya yang diperlukan untuk penyajian yang wajar atas laporan keuangan.</w:t>
      </w:r>
    </w:p>
    <w:p w:rsidR="00000000" w:rsidRDefault="00703D2E">
      <w:pPr>
        <w:pStyle w:val="NormalWeb"/>
        <w:jc w:val="both"/>
        <w:divId w:val="1504734167"/>
      </w:pPr>
      <w:r>
        <w:t>Dalam penyajian Laporan Realisasi Anggaran Untuk Periode yan</w:t>
      </w:r>
      <w:r>
        <w:t>g Berakhir 30 Juni 2022 disusun dan disajikan berdasarkan basis kas. Sedangkan Neraca, Laporan Operasional, dan Laporan Perubahan Ekuitas Untuk Periode yang Berakhir 30 Juni 2022 disusun dan disajikan dengan basis akrual.</w:t>
      </w:r>
    </w:p>
    <w:p w:rsidR="00000000" w:rsidRDefault="00703D2E">
      <w:pPr>
        <w:pageBreakBefore/>
        <w:divId w:val="435709402"/>
        <w:rPr>
          <w:rFonts w:eastAsia="Times New Roman"/>
        </w:rPr>
      </w:pPr>
      <w:r>
        <w:rPr>
          <w:rFonts w:eastAsia="Times New Roman"/>
        </w:rPr>
        <w:lastRenderedPageBreak/>
        <w:t> </w:t>
      </w:r>
    </w:p>
    <w:p w:rsidR="00000000" w:rsidRDefault="00703D2E">
      <w:pPr>
        <w:pStyle w:val="Heading2"/>
        <w:shd w:val="clear" w:color="auto" w:fill="00BFFF"/>
        <w:jc w:val="right"/>
        <w:divId w:val="759834347"/>
        <w:rPr>
          <w:rFonts w:eastAsia="Times New Roman"/>
          <w:color w:val="FFFFFF"/>
          <w:sz w:val="24"/>
          <w:szCs w:val="24"/>
        </w:rPr>
      </w:pPr>
      <w:r>
        <w:rPr>
          <w:rFonts w:eastAsia="Times New Roman"/>
          <w:color w:val="FFFFFF"/>
          <w:sz w:val="24"/>
          <w:szCs w:val="24"/>
        </w:rPr>
        <w:t xml:space="preserve">I. LAPORAN REALISASI ANGGARAN </w:t>
      </w:r>
    </w:p>
    <w:p w:rsidR="00000000" w:rsidRDefault="00703D2E">
      <w:pPr>
        <w:pStyle w:val="Heading3"/>
        <w:jc w:val="center"/>
        <w:divId w:val="759834347"/>
        <w:rPr>
          <w:rFonts w:eastAsia="Times New Roman"/>
          <w:color w:val="00008B"/>
          <w:sz w:val="24"/>
          <w:szCs w:val="24"/>
        </w:rPr>
      </w:pPr>
      <w:r>
        <w:rPr>
          <w:rFonts w:eastAsia="Times New Roman"/>
          <w:color w:val="00008B"/>
          <w:sz w:val="24"/>
          <w:szCs w:val="24"/>
        </w:rPr>
        <w:t>B</w:t>
      </w:r>
      <w:r>
        <w:rPr>
          <w:rFonts w:eastAsia="Times New Roman"/>
          <w:color w:val="00008B"/>
          <w:sz w:val="24"/>
          <w:szCs w:val="24"/>
        </w:rPr>
        <w:t xml:space="preserve">adan Pusat Statistik Wilayah Jambi </w:t>
      </w:r>
      <w:r>
        <w:rPr>
          <w:rFonts w:eastAsia="Times New Roman"/>
          <w:color w:val="00008B"/>
          <w:sz w:val="24"/>
          <w:szCs w:val="24"/>
        </w:rPr>
        <w:br/>
        <w:t xml:space="preserve">LAPORAN REALISASI ANGGARAN </w:t>
      </w:r>
      <w:r>
        <w:rPr>
          <w:rFonts w:eastAsia="Times New Roman"/>
          <w:color w:val="00008B"/>
          <w:sz w:val="24"/>
          <w:szCs w:val="24"/>
        </w:rPr>
        <w:br/>
        <w:t xml:space="preserve">Untuk Periode yang Berakhir 30 Juni 2022 dan 30 Juni 2021 </w:t>
      </w:r>
    </w:p>
    <w:p w:rsidR="00000000" w:rsidRDefault="00703D2E">
      <w:pPr>
        <w:pStyle w:val="NormalWeb"/>
        <w:jc w:val="right"/>
        <w:divId w:val="759834347"/>
        <w:rPr>
          <w:i/>
          <w:iCs/>
          <w:color w:val="00008B"/>
        </w:rPr>
      </w:pPr>
      <w:r>
        <w:rPr>
          <w:i/>
          <w:iCs/>
          <w:color w:val="00008B"/>
        </w:rPr>
        <w:t>(Dalam Rupiah)</w:t>
      </w:r>
    </w:p>
    <w:tbl>
      <w:tblPr>
        <w:tblW w:w="0" w:type="auto"/>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2535"/>
        <w:gridCol w:w="1229"/>
        <w:gridCol w:w="1418"/>
        <w:gridCol w:w="1490"/>
        <w:gridCol w:w="1182"/>
        <w:gridCol w:w="1490"/>
      </w:tblGrid>
      <w:tr w:rsidR="00000000">
        <w:trPr>
          <w:divId w:val="759834347"/>
        </w:trPr>
        <w:tc>
          <w:tcPr>
            <w:tcW w:w="0" w:type="auto"/>
            <w:vMerge w:val="restart"/>
            <w:tcBorders>
              <w:bottom w:val="single" w:sz="6" w:space="0" w:color="000000"/>
              <w:right w:val="single" w:sz="6" w:space="0" w:color="000000"/>
            </w:tcBorders>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 xml:space="preserve">URAIAN </w:t>
            </w:r>
          </w:p>
        </w:tc>
        <w:tc>
          <w:tcPr>
            <w:tcW w:w="0" w:type="auto"/>
            <w:vMerge w:val="restart"/>
            <w:tcBorders>
              <w:bottom w:val="single" w:sz="6" w:space="0" w:color="000000"/>
              <w:right w:val="single" w:sz="6" w:space="0" w:color="000000"/>
            </w:tcBorders>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CATATAN</w:t>
            </w:r>
          </w:p>
        </w:tc>
        <w:tc>
          <w:tcPr>
            <w:tcW w:w="0" w:type="auto"/>
            <w:gridSpan w:val="2"/>
            <w:tcBorders>
              <w:bottom w:val="single" w:sz="6" w:space="0" w:color="000000"/>
              <w:right w:val="single" w:sz="6" w:space="0" w:color="000000"/>
            </w:tcBorders>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30 Juni 2022</w:t>
            </w:r>
          </w:p>
        </w:tc>
        <w:tc>
          <w:tcPr>
            <w:tcW w:w="0" w:type="auto"/>
            <w:vMerge w:val="restart"/>
            <w:tcBorders>
              <w:bottom w:val="single" w:sz="6" w:space="0" w:color="000000"/>
              <w:right w:val="single" w:sz="6" w:space="0" w:color="000000"/>
            </w:tcBorders>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 terhadap Anggaran</w:t>
            </w:r>
          </w:p>
        </w:tc>
        <w:tc>
          <w:tcPr>
            <w:tcW w:w="0" w:type="auto"/>
            <w:tcBorders>
              <w:bottom w:val="single" w:sz="6" w:space="0" w:color="000000"/>
              <w:right w:val="single" w:sz="6" w:space="0" w:color="000000"/>
            </w:tcBorders>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30 Juni 2021</w:t>
            </w:r>
          </w:p>
        </w:tc>
      </w:tr>
      <w:tr w:rsidR="00000000">
        <w:trPr>
          <w:divId w:val="759834347"/>
        </w:trPr>
        <w:tc>
          <w:tcPr>
            <w:tcW w:w="0" w:type="auto"/>
            <w:vMerge/>
            <w:tcBorders>
              <w:bottom w:val="single" w:sz="6" w:space="0" w:color="000000"/>
              <w:right w:val="single" w:sz="6" w:space="0" w:color="000000"/>
            </w:tcBorders>
            <w:vAlign w:val="center"/>
            <w:hideMark/>
          </w:tcPr>
          <w:p w:rsidR="00000000" w:rsidRDefault="00703D2E">
            <w:pPr>
              <w:rPr>
                <w:rFonts w:ascii="Times New Romans" w:eastAsia="Times New Roman" w:hAnsi="Times New Romans"/>
                <w:b/>
                <w:bCs/>
                <w:sz w:val="20"/>
                <w:szCs w:val="20"/>
              </w:rPr>
            </w:pPr>
          </w:p>
        </w:tc>
        <w:tc>
          <w:tcPr>
            <w:tcW w:w="0" w:type="auto"/>
            <w:vMerge/>
            <w:tcBorders>
              <w:bottom w:val="single" w:sz="6" w:space="0" w:color="000000"/>
              <w:right w:val="single" w:sz="6" w:space="0" w:color="000000"/>
            </w:tcBorders>
            <w:vAlign w:val="center"/>
            <w:hideMark/>
          </w:tcPr>
          <w:p w:rsidR="00000000" w:rsidRDefault="00703D2E">
            <w:pPr>
              <w:rPr>
                <w:rFonts w:ascii="Times New Romans" w:eastAsia="Times New Roman" w:hAnsi="Times New Romans"/>
                <w:b/>
                <w:bC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 xml:space="preserve">ANGGARAN </w:t>
            </w:r>
          </w:p>
        </w:tc>
        <w:tc>
          <w:tcPr>
            <w:tcW w:w="0" w:type="auto"/>
            <w:tcBorders>
              <w:top w:val="single" w:sz="6" w:space="0" w:color="000000"/>
              <w:left w:val="single" w:sz="6" w:space="0" w:color="000000"/>
              <w:bottom w:val="single" w:sz="6" w:space="0" w:color="000000"/>
              <w:right w:val="single" w:sz="6" w:space="0" w:color="000000"/>
            </w:tcBorders>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REALISASI</w:t>
            </w:r>
          </w:p>
        </w:tc>
        <w:tc>
          <w:tcPr>
            <w:tcW w:w="0" w:type="auto"/>
            <w:vMerge/>
            <w:tcBorders>
              <w:bottom w:val="single" w:sz="6" w:space="0" w:color="000000"/>
              <w:right w:val="single" w:sz="6" w:space="0" w:color="000000"/>
            </w:tcBorders>
            <w:vAlign w:val="center"/>
            <w:hideMark/>
          </w:tcPr>
          <w:p w:rsidR="00000000" w:rsidRDefault="00703D2E">
            <w:pPr>
              <w:rPr>
                <w:rFonts w:ascii="Times New Romans" w:eastAsia="Times New Roman" w:hAnsi="Times New Romans"/>
                <w:b/>
                <w:bC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REALISASI</w:t>
            </w:r>
          </w:p>
        </w:tc>
      </w:tr>
      <w:tr w:rsidR="00000000">
        <w:trPr>
          <w:divId w:val="759834347"/>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PENDAPATAN</w:t>
            </w:r>
          </w:p>
        </w:tc>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p>
        </w:tc>
        <w:tc>
          <w:tcPr>
            <w:tcW w:w="0" w:type="auto"/>
            <w:tcBorders>
              <w:right w:val="single" w:sz="6" w:space="0" w:color="000000"/>
            </w:tcBorders>
            <w:vAlign w:val="center"/>
            <w:hideMark/>
          </w:tcPr>
          <w:p w:rsidR="00000000" w:rsidRDefault="00703D2E">
            <w:pPr>
              <w:rPr>
                <w:rFonts w:eastAsia="Times New Roman"/>
                <w:sz w:val="20"/>
                <w:szCs w:val="20"/>
              </w:rPr>
            </w:pPr>
          </w:p>
        </w:tc>
        <w:tc>
          <w:tcPr>
            <w:tcW w:w="0" w:type="auto"/>
            <w:tcBorders>
              <w:right w:val="single" w:sz="6" w:space="0" w:color="000000"/>
            </w:tcBorders>
            <w:vAlign w:val="center"/>
            <w:hideMark/>
          </w:tcPr>
          <w:p w:rsidR="00000000" w:rsidRDefault="00703D2E">
            <w:pPr>
              <w:rPr>
                <w:rFonts w:eastAsia="Times New Roman"/>
                <w:sz w:val="20"/>
                <w:szCs w:val="20"/>
              </w:rPr>
            </w:pPr>
          </w:p>
        </w:tc>
        <w:tc>
          <w:tcPr>
            <w:tcW w:w="0" w:type="auto"/>
            <w:tcBorders>
              <w:right w:val="single" w:sz="6" w:space="0" w:color="000000"/>
            </w:tcBorders>
            <w:vAlign w:val="center"/>
            <w:hideMark/>
          </w:tcPr>
          <w:p w:rsidR="00000000" w:rsidRDefault="00703D2E">
            <w:pPr>
              <w:rPr>
                <w:rFonts w:eastAsia="Times New Roman"/>
                <w:sz w:val="20"/>
                <w:szCs w:val="20"/>
              </w:rPr>
            </w:pPr>
          </w:p>
        </w:tc>
        <w:tc>
          <w:tcPr>
            <w:tcW w:w="0" w:type="auto"/>
            <w:tcBorders>
              <w:right w:val="single" w:sz="6" w:space="0" w:color="000000"/>
            </w:tcBorders>
            <w:vAlign w:val="center"/>
            <w:hideMark/>
          </w:tcPr>
          <w:p w:rsidR="00000000" w:rsidRDefault="00703D2E">
            <w:pPr>
              <w:rPr>
                <w:rFonts w:eastAsia="Times New Roman"/>
                <w:sz w:val="20"/>
                <w:szCs w:val="20"/>
              </w:rPr>
            </w:pPr>
          </w:p>
        </w:tc>
      </w:tr>
      <w:tr w:rsidR="00000000">
        <w:trPr>
          <w:divId w:val="759834347"/>
        </w:trPr>
        <w:tc>
          <w:tcPr>
            <w:tcW w:w="2250" w:type="dxa"/>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Pendapatan Penerimaan Negara Bukan Pajak</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B.1</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26.365.595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41.383.720</w:t>
            </w:r>
          </w:p>
        </w:tc>
      </w:tr>
      <w:tr w:rsidR="00000000">
        <w:trPr>
          <w:divId w:val="759834347"/>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b/>
                <w:bCs/>
                <w:sz w:val="20"/>
                <w:szCs w:val="20"/>
              </w:rPr>
              <w:t>JUMLAH PENDAPATAN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b/>
                <w:bCs/>
                <w:sz w:val="20"/>
                <w:szCs w:val="20"/>
              </w:rPr>
              <w:t>26.365.595</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b/>
                <w:bCs/>
                <w:sz w:val="20"/>
                <w:szCs w:val="20"/>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b/>
                <w:bCs/>
                <w:sz w:val="20"/>
                <w:szCs w:val="20"/>
              </w:rPr>
              <w:t>41.383.720</w:t>
            </w:r>
          </w:p>
        </w:tc>
      </w:tr>
      <w:tr w:rsidR="00000000">
        <w:trPr>
          <w:divId w:val="759834347"/>
        </w:trPr>
        <w:tc>
          <w:tcPr>
            <w:tcW w:w="2250" w:type="dxa"/>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Belanja Negara</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B.2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40.527.789.393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28.130.664.022</w:t>
            </w:r>
          </w:p>
        </w:tc>
      </w:tr>
      <w:tr w:rsidR="00000000">
        <w:trPr>
          <w:divId w:val="759834347"/>
        </w:trPr>
        <w:tc>
          <w:tcPr>
            <w:tcW w:w="2250" w:type="dxa"/>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Belanja Pegawai</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B.3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20.524.541.198</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20.309.662.317</w:t>
            </w:r>
          </w:p>
        </w:tc>
      </w:tr>
      <w:tr w:rsidR="00000000">
        <w:trPr>
          <w:divId w:val="759834347"/>
        </w:trPr>
        <w:tc>
          <w:tcPr>
            <w:tcW w:w="2250" w:type="dxa"/>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Belanja Barang</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B.4</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19.805.314.725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7.821.001.705</w:t>
            </w:r>
          </w:p>
        </w:tc>
      </w:tr>
      <w:tr w:rsidR="00000000">
        <w:trPr>
          <w:divId w:val="759834347"/>
        </w:trPr>
        <w:tc>
          <w:tcPr>
            <w:tcW w:w="2250" w:type="dxa"/>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Belanja Modal</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B.5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31.500.000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000000">
        <w:trPr>
          <w:divId w:val="759834347"/>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b/>
                <w:bCs/>
                <w:sz w:val="20"/>
                <w:szCs w:val="20"/>
              </w:rPr>
              <w:t>JUMLAH BELANJA</w:t>
            </w:r>
          </w:p>
        </w:tc>
        <w:tc>
          <w:tcPr>
            <w:tcW w:w="0" w:type="auto"/>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b/>
                <w:bCs/>
                <w:sz w:val="20"/>
                <w:szCs w:val="20"/>
              </w:rPr>
              <w:t>40.361.355.923</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b/>
                <w:bCs/>
                <w:sz w:val="20"/>
                <w:szCs w:val="20"/>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b/>
                <w:bCs/>
                <w:sz w:val="20"/>
                <w:szCs w:val="20"/>
              </w:rPr>
              <w:t>28.130.664.022</w:t>
            </w:r>
          </w:p>
        </w:tc>
      </w:tr>
    </w:tbl>
    <w:p w:rsidR="00000000" w:rsidRDefault="00703D2E">
      <w:pPr>
        <w:spacing w:after="240"/>
        <w:jc w:val="both"/>
        <w:divId w:val="759834347"/>
        <w:rPr>
          <w:rFonts w:eastAsia="Times New Roman"/>
        </w:rPr>
      </w:pPr>
      <w:r>
        <w:rPr>
          <w:rFonts w:eastAsia="Times New Roman"/>
        </w:rPr>
        <w:br/>
      </w:r>
      <w:r>
        <w:rPr>
          <w:rFonts w:eastAsia="Times New Roman"/>
        </w:rPr>
        <w:br/>
      </w:r>
      <w:r>
        <w:rPr>
          <w:rFonts w:eastAsia="Times New Roman"/>
        </w:rPr>
        <w:br/>
      </w:r>
    </w:p>
    <w:p w:rsidR="00000000" w:rsidRDefault="00703D2E">
      <w:pPr>
        <w:pStyle w:val="a"/>
        <w:jc w:val="both"/>
        <w:divId w:val="759834347"/>
      </w:pPr>
      <w:r>
        <w:t>Catatan atas Laporan Keuangan merupakan bagian yang tidak terpisahkan dari Laporan Keuangan</w:t>
      </w:r>
    </w:p>
    <w:p w:rsidR="00000000" w:rsidRDefault="00703D2E">
      <w:pPr>
        <w:pageBreakBefore/>
        <w:jc w:val="both"/>
        <w:divId w:val="297300642"/>
        <w:rPr>
          <w:rFonts w:eastAsia="Times New Roman"/>
        </w:rPr>
      </w:pPr>
      <w:r>
        <w:rPr>
          <w:rFonts w:eastAsia="Times New Roman"/>
        </w:rPr>
        <w:lastRenderedPageBreak/>
        <w:t> </w:t>
      </w:r>
    </w:p>
    <w:p w:rsidR="00000000" w:rsidRDefault="00703D2E">
      <w:pPr>
        <w:pStyle w:val="Heading2"/>
        <w:shd w:val="clear" w:color="auto" w:fill="00BFFF"/>
        <w:jc w:val="right"/>
        <w:divId w:val="14774943"/>
        <w:rPr>
          <w:rFonts w:eastAsia="Times New Roman"/>
          <w:color w:val="FFFFFF"/>
          <w:sz w:val="24"/>
          <w:szCs w:val="24"/>
        </w:rPr>
      </w:pPr>
      <w:r>
        <w:rPr>
          <w:rFonts w:eastAsia="Times New Roman"/>
          <w:color w:val="FFFFFF"/>
          <w:sz w:val="24"/>
          <w:szCs w:val="24"/>
        </w:rPr>
        <w:t xml:space="preserve">II. NERACA </w:t>
      </w:r>
    </w:p>
    <w:p w:rsidR="00000000" w:rsidRDefault="00703D2E">
      <w:pPr>
        <w:pStyle w:val="Heading3"/>
        <w:jc w:val="center"/>
        <w:divId w:val="14774943"/>
        <w:rPr>
          <w:rFonts w:eastAsia="Times New Roman"/>
          <w:color w:val="00008B"/>
          <w:sz w:val="24"/>
          <w:szCs w:val="24"/>
        </w:rPr>
      </w:pPr>
      <w:r>
        <w:rPr>
          <w:rFonts w:eastAsia="Times New Roman"/>
          <w:color w:val="00008B"/>
          <w:sz w:val="24"/>
          <w:szCs w:val="24"/>
        </w:rPr>
        <w:t xml:space="preserve">Badan Pusat Statistik Wilayah Jambi </w:t>
      </w:r>
      <w:r>
        <w:rPr>
          <w:rFonts w:eastAsia="Times New Roman"/>
          <w:color w:val="00008B"/>
          <w:sz w:val="24"/>
          <w:szCs w:val="24"/>
        </w:rPr>
        <w:br/>
        <w:t xml:space="preserve">NERACA </w:t>
      </w:r>
      <w:r>
        <w:rPr>
          <w:rFonts w:eastAsia="Times New Roman"/>
          <w:color w:val="00008B"/>
          <w:sz w:val="24"/>
          <w:szCs w:val="24"/>
        </w:rPr>
        <w:br/>
        <w:t xml:space="preserve">Per 30 Juni 2022 dan 31 Desember 2021 </w:t>
      </w:r>
    </w:p>
    <w:p w:rsidR="00000000" w:rsidRDefault="00703D2E">
      <w:pPr>
        <w:pStyle w:val="NormalWeb"/>
        <w:jc w:val="right"/>
        <w:divId w:val="14774943"/>
        <w:rPr>
          <w:i/>
          <w:iCs/>
          <w:color w:val="00008B"/>
        </w:rPr>
      </w:pPr>
      <w:r>
        <w:rPr>
          <w:i/>
          <w:iCs/>
          <w:color w:val="00008B"/>
        </w:rPr>
        <w:t>(Dalam Rupiah)</w:t>
      </w:r>
    </w:p>
    <w:tbl>
      <w:tblPr>
        <w:tblW w:w="0" w:type="auto"/>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4090"/>
        <w:gridCol w:w="1229"/>
        <w:gridCol w:w="1624"/>
        <w:gridCol w:w="1796"/>
      </w:tblGrid>
      <w:tr w:rsidR="00000000">
        <w:trPr>
          <w:divId w:val="14774943"/>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URAIAN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 xml:space="preserve">CATATAN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30 Juni 2022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31 Desember 2021</w:t>
            </w:r>
          </w:p>
        </w:tc>
      </w:tr>
      <w:tr w:rsidR="00000000">
        <w:trPr>
          <w:divId w:val="14774943"/>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ASET</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14774943"/>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ASET LANCAR</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Kas di Bendahara Pengeluaran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1.158.100.000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Kas Lainnya dan Setara Kas</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509.900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592.150</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Belanja Dibayar Dimuka (prepaid)</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14.440.437</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24.138.494</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Piutang Bukan Pajak</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C.4</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4.267.794</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Persediaan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268.028.035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682.651.113</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Persediaan yang Belum Diregister</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C.6</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9.334.500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000000">
        <w:trPr>
          <w:divId w:val="14774943"/>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Aset Lancar</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1.454.680.666</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707.381.757</w:t>
            </w:r>
          </w:p>
        </w:tc>
      </w:tr>
      <w:tr w:rsidR="00000000">
        <w:trPr>
          <w:divId w:val="14774943"/>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PIUTANG JANGKA PANJANG</w:t>
            </w:r>
          </w:p>
        </w:tc>
        <w:tc>
          <w:tcPr>
            <w:tcW w:w="0" w:type="auto"/>
            <w:vAlign w:val="center"/>
            <w:hideMark/>
          </w:tcPr>
          <w:p w:rsidR="00000000" w:rsidRDefault="00703D2E">
            <w:pPr>
              <w:rPr>
                <w:rFonts w:eastAsia="Times New Roman"/>
                <w:sz w:val="20"/>
                <w:szCs w:val="20"/>
              </w:rPr>
            </w:pPr>
          </w:p>
        </w:tc>
        <w:tc>
          <w:tcPr>
            <w:tcW w:w="0" w:type="auto"/>
            <w:vAlign w:val="center"/>
            <w:hideMark/>
          </w:tcPr>
          <w:p w:rsidR="00000000" w:rsidRDefault="00703D2E">
            <w:pPr>
              <w:rPr>
                <w:rFonts w:eastAsia="Times New Roman"/>
                <w:sz w:val="20"/>
                <w:szCs w:val="20"/>
              </w:rPr>
            </w:pPr>
          </w:p>
        </w:tc>
        <w:tc>
          <w:tcPr>
            <w:tcW w:w="0" w:type="auto"/>
            <w:vAlign w:val="center"/>
            <w:hideMark/>
          </w:tcPr>
          <w:p w:rsidR="00000000" w:rsidRDefault="00703D2E">
            <w:pPr>
              <w:rPr>
                <w:rFonts w:eastAsia="Times New Roman"/>
                <w:sz w:val="20"/>
                <w:szCs w:val="20"/>
              </w:rPr>
            </w:pPr>
          </w:p>
        </w:tc>
      </w:tr>
      <w:tr w:rsidR="00000000">
        <w:trPr>
          <w:divId w:val="14774943"/>
        </w:trPr>
        <w:tc>
          <w:tcPr>
            <w:tcW w:w="0" w:type="auto"/>
            <w:tcBorders>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Piutang Jangka Panjang</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000000">
        <w:trPr>
          <w:divId w:val="14774943"/>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ASET TETAP</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Tanah</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C.7</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40.531.295.035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40.531.295.035</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Peralatan Dan Mesin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C.8</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33.431.625.930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33.400.125.930</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Gedung Dan Bangunan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C.9</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26.814.967.893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26.814.967.893</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Aset Tetap Lainnya</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1.045.126.969</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1.045.126.969</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Akumulasi Penyusutan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C.11</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(35.223.423.159)</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(33.809.722.270)</w:t>
            </w:r>
          </w:p>
        </w:tc>
      </w:tr>
      <w:tr w:rsidR="00000000">
        <w:trPr>
          <w:divId w:val="14774943"/>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Aset Tetap</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66.599.592.668</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67.981.793.557</w:t>
            </w:r>
          </w:p>
        </w:tc>
      </w:tr>
      <w:tr w:rsidR="00000000">
        <w:trPr>
          <w:divId w:val="14774943"/>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ASET LAINNYA</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Aset Tak Berwujud</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1.892.297.500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1.892.297.500</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lastRenderedPageBreak/>
              <w:t>Aset Lain-lain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4.043.663.041</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4.425.154.341</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Akumulasi Penyusutan/amortisasi Aset Lainnya</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C.14</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(5.363.217.292)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(5.428.556.078)</w:t>
            </w:r>
          </w:p>
        </w:tc>
      </w:tr>
      <w:tr w:rsidR="00000000">
        <w:trPr>
          <w:divId w:val="14774943"/>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Aset Lainnya</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572.743.249</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888.895.763</w:t>
            </w:r>
          </w:p>
        </w:tc>
      </w:tr>
      <w:tr w:rsidR="00000000">
        <w:trPr>
          <w:divId w:val="14774943"/>
        </w:trPr>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ASET</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68.627.016.583</w:t>
            </w: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69.578.071.077</w:t>
            </w:r>
          </w:p>
        </w:tc>
      </w:tr>
      <w:tr w:rsidR="00000000">
        <w:trPr>
          <w:divId w:val="14774943"/>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KEWAJIBAN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KEWAJIBAN JANGKA PENDEK</w:t>
            </w:r>
          </w:p>
        </w:tc>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Utang kepada Pihak Ketiga</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4.234.018.913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1.550.099.130</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Utang Yang Belum Ditagihkan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C.16</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179.574.677</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Uang Muka dari KPPN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C.17</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1.158.100.000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Utang Jangka Pendek Lainnya</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C.18</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499.900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592.150</w:t>
            </w:r>
          </w:p>
        </w:tc>
      </w:tr>
      <w:tr w:rsidR="00000000">
        <w:trPr>
          <w:divId w:val="14774943"/>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KEWAJIBAN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5.572.193.490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1.550.691.280</w:t>
            </w:r>
          </w:p>
        </w:tc>
      </w:tr>
      <w:tr w:rsidR="00000000">
        <w:trPr>
          <w:divId w:val="14774943"/>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EKUITAS</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1477494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Ekuitas</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C.19</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63.054.823.093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68.027.379.797</w:t>
            </w:r>
          </w:p>
        </w:tc>
      </w:tr>
      <w:tr w:rsidR="00000000">
        <w:trPr>
          <w:divId w:val="14774943"/>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EKUITAS</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63.054.823.093</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68.027.379.797</w:t>
            </w:r>
          </w:p>
        </w:tc>
      </w:tr>
      <w:tr w:rsidR="00000000">
        <w:trPr>
          <w:divId w:val="14774943"/>
        </w:trPr>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KEWAJIBAN DAN EKUITAS</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68.627.016.583</w:t>
            </w: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69.578.071.077</w:t>
            </w:r>
          </w:p>
        </w:tc>
      </w:tr>
    </w:tbl>
    <w:p w:rsidR="00000000" w:rsidRDefault="00703D2E">
      <w:pPr>
        <w:spacing w:after="240"/>
        <w:jc w:val="both"/>
        <w:divId w:val="14774943"/>
        <w:rPr>
          <w:rFonts w:eastAsia="Times New Roman"/>
        </w:rPr>
      </w:pPr>
      <w:r>
        <w:rPr>
          <w:rFonts w:eastAsia="Times New Roman"/>
        </w:rPr>
        <w:br/>
      </w:r>
      <w:r>
        <w:rPr>
          <w:rFonts w:eastAsia="Times New Roman"/>
        </w:rPr>
        <w:br/>
      </w:r>
    </w:p>
    <w:p w:rsidR="00000000" w:rsidRDefault="00703D2E">
      <w:pPr>
        <w:pStyle w:val="a"/>
        <w:jc w:val="both"/>
        <w:divId w:val="14774943"/>
      </w:pPr>
      <w:r>
        <w:t>Catatan atas Laporan Keuangan merupakan bagian yang tidak terpisahkan dari Laporan Keuangan</w:t>
      </w:r>
    </w:p>
    <w:p w:rsidR="00000000" w:rsidRDefault="00703D2E">
      <w:pPr>
        <w:pageBreakBefore/>
        <w:jc w:val="both"/>
        <w:divId w:val="1764494447"/>
        <w:rPr>
          <w:rFonts w:eastAsia="Times New Roman"/>
        </w:rPr>
      </w:pPr>
      <w:r>
        <w:rPr>
          <w:rFonts w:eastAsia="Times New Roman"/>
        </w:rPr>
        <w:lastRenderedPageBreak/>
        <w:t> </w:t>
      </w:r>
    </w:p>
    <w:p w:rsidR="00000000" w:rsidRDefault="00703D2E">
      <w:pPr>
        <w:pStyle w:val="Heading2"/>
        <w:shd w:val="clear" w:color="auto" w:fill="00BFFF"/>
        <w:jc w:val="right"/>
        <w:divId w:val="792670530"/>
        <w:rPr>
          <w:rFonts w:eastAsia="Times New Roman"/>
          <w:color w:val="FFFFFF"/>
          <w:sz w:val="24"/>
          <w:szCs w:val="24"/>
        </w:rPr>
      </w:pPr>
      <w:r>
        <w:rPr>
          <w:rFonts w:eastAsia="Times New Roman"/>
          <w:color w:val="FFFFFF"/>
          <w:sz w:val="24"/>
          <w:szCs w:val="24"/>
        </w:rPr>
        <w:t xml:space="preserve">III. LAPORAN OPERASIONAL </w:t>
      </w:r>
    </w:p>
    <w:p w:rsidR="00000000" w:rsidRDefault="00703D2E">
      <w:pPr>
        <w:pStyle w:val="Heading3"/>
        <w:jc w:val="center"/>
        <w:divId w:val="792670530"/>
        <w:rPr>
          <w:rFonts w:eastAsia="Times New Roman"/>
          <w:color w:val="00008B"/>
          <w:sz w:val="24"/>
          <w:szCs w:val="24"/>
        </w:rPr>
      </w:pPr>
      <w:r>
        <w:rPr>
          <w:rFonts w:eastAsia="Times New Roman"/>
          <w:color w:val="00008B"/>
          <w:sz w:val="24"/>
          <w:szCs w:val="24"/>
        </w:rPr>
        <w:t>Badan P</w:t>
      </w:r>
      <w:r>
        <w:rPr>
          <w:rFonts w:eastAsia="Times New Roman"/>
          <w:color w:val="00008B"/>
          <w:sz w:val="24"/>
          <w:szCs w:val="24"/>
        </w:rPr>
        <w:t xml:space="preserve">usat Statistik Wilayah Jambi </w:t>
      </w:r>
      <w:r>
        <w:rPr>
          <w:rFonts w:eastAsia="Times New Roman"/>
          <w:color w:val="00008B"/>
          <w:sz w:val="24"/>
          <w:szCs w:val="24"/>
        </w:rPr>
        <w:br/>
        <w:t xml:space="preserve">LAPORAN OPERASIONAL </w:t>
      </w:r>
      <w:r>
        <w:rPr>
          <w:rFonts w:eastAsia="Times New Roman"/>
          <w:color w:val="00008B"/>
          <w:sz w:val="24"/>
          <w:szCs w:val="24"/>
        </w:rPr>
        <w:br/>
        <w:t xml:space="preserve">Untuk Periode yang Berakhir 30 Juni 2022 dan 30 Juni 2021 </w:t>
      </w:r>
    </w:p>
    <w:p w:rsidR="00000000" w:rsidRDefault="00703D2E">
      <w:pPr>
        <w:pStyle w:val="NormalWeb"/>
        <w:jc w:val="right"/>
        <w:divId w:val="792670530"/>
        <w:rPr>
          <w:i/>
          <w:iCs/>
          <w:color w:val="00008B"/>
        </w:rPr>
      </w:pPr>
      <w:r>
        <w:rPr>
          <w:i/>
          <w:iCs/>
          <w:color w:val="00008B"/>
        </w:rPr>
        <w:t>(Dalam Rupiah)</w:t>
      </w:r>
    </w:p>
    <w:tbl>
      <w:tblPr>
        <w:tblW w:w="0" w:type="auto"/>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4867"/>
        <w:gridCol w:w="1229"/>
        <w:gridCol w:w="1624"/>
        <w:gridCol w:w="1624"/>
      </w:tblGrid>
      <w:tr w:rsidR="00000000">
        <w:trPr>
          <w:divId w:val="792670530"/>
        </w:trPr>
        <w:tc>
          <w:tcPr>
            <w:tcW w:w="0" w:type="auto"/>
            <w:tcBorders>
              <w:bottom w:val="single" w:sz="6" w:space="0" w:color="000000"/>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URAIAN</w:t>
            </w:r>
          </w:p>
        </w:tc>
        <w:tc>
          <w:tcPr>
            <w:tcW w:w="0" w:type="auto"/>
            <w:tcBorders>
              <w:bottom w:val="single" w:sz="6" w:space="0" w:color="000000"/>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CATATAN</w:t>
            </w:r>
          </w:p>
        </w:tc>
        <w:tc>
          <w:tcPr>
            <w:tcW w:w="0" w:type="auto"/>
            <w:tcBorders>
              <w:bottom w:val="single" w:sz="6" w:space="0" w:color="000000"/>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30 Juni 2022</w:t>
            </w:r>
          </w:p>
        </w:tc>
        <w:tc>
          <w:tcPr>
            <w:tcW w:w="0" w:type="auto"/>
            <w:tcBorders>
              <w:bottom w:val="single" w:sz="6" w:space="0" w:color="000000"/>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30 Juni 2021</w:t>
            </w:r>
          </w:p>
        </w:tc>
      </w:tr>
      <w:tr w:rsidR="00000000">
        <w:trPr>
          <w:divId w:val="792670530"/>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KEGIATAN OPERASIONAL</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792670530"/>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PENDAPATAN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Pendapatan Negara Bukan Pajak Lainnya</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D.1</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27.461.552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25.884.025</w:t>
            </w:r>
          </w:p>
        </w:tc>
      </w:tr>
      <w:tr w:rsidR="00000000">
        <w:trPr>
          <w:divId w:val="792670530"/>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PENDAPATAN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27.461.552</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25.884.025</w:t>
            </w:r>
          </w:p>
        </w:tc>
      </w:tr>
      <w:tr w:rsidR="00000000">
        <w:trPr>
          <w:divId w:val="792670530"/>
        </w:trPr>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BEBAN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b/>
                <w:bCs/>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c>
          <w:tcPr>
            <w:tcW w:w="0" w:type="auto"/>
            <w:tcBorders>
              <w:right w:val="single" w:sz="6" w:space="0" w:color="000000"/>
            </w:tcBorders>
            <w:vAlign w:val="center"/>
            <w:hideMark/>
          </w:tcPr>
          <w:p w:rsidR="00000000" w:rsidRDefault="00703D2E">
            <w:pPr>
              <w:jc w:val="center"/>
              <w:rPr>
                <w:rFonts w:eastAsia="Times New Roman"/>
                <w:sz w:val="20"/>
                <w:szCs w:val="20"/>
              </w:rPr>
            </w:pP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Beban Pegawai</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22.236.567.916</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18.834.027.400</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Beban Persediaan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1.089.817.680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336.029.236</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Beban Barang dan Jasa</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D.4</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11.324.810.749</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5.461.914.315</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Beban Pemeliharaan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1.170.417.095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877.911.214</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Beban Perjalanan Dinas</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D.6</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7.740.406.122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1.153.089.537</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Beban Barang Untuk Diserahkan Kepada Masyarakat</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D.7</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165.000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Beban Penyusutan dan Amortisasi</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D.8</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1.543.491.403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1.694.967.961</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Beban Penyisihan Piutang Tak Tertagih</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D.9</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w:t>
            </w:r>
            <w:r>
              <w:rPr>
                <w:rFonts w:ascii="Times New Romans" w:eastAsia="Times New Roman" w:hAnsi="Times New Romans"/>
                <w:sz w:val="20"/>
                <w:szCs w:val="20"/>
              </w:rPr>
              <w:t>1.155</w:t>
            </w:r>
          </w:p>
        </w:tc>
      </w:tr>
      <w:tr w:rsidR="00000000">
        <w:trPr>
          <w:divId w:val="792670530"/>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JUMLAH BEBAN</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45.105.675.965</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28.357.938.508</w:t>
            </w:r>
          </w:p>
        </w:tc>
      </w:tr>
      <w:tr w:rsidR="00000000">
        <w:trPr>
          <w:divId w:val="792670530"/>
        </w:trPr>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SURPLUS/DEFISIT DARI KEGIATAN OPERASIONAL</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(45.078.214.413)</w:t>
            </w: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(28.332.054.483)</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KEGIATAN NON OPERASIONAL</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D.10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Pendapatan Pelepasan Aset Non Lancar</w:t>
            </w:r>
          </w:p>
        </w:tc>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2.515.000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14.899.998</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Beban Pelepasan Aset Non Lancar</w:t>
            </w:r>
          </w:p>
        </w:tc>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33.196.075</w:t>
            </w:r>
          </w:p>
        </w:tc>
      </w:tr>
      <w:tr w:rsidR="00000000">
        <w:trPr>
          <w:divId w:val="792670530"/>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Pendapatan dari Kegiatan Non Operasional Lainnya</w:t>
            </w:r>
          </w:p>
        </w:tc>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555.416</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24.662</w:t>
            </w:r>
          </w:p>
        </w:tc>
      </w:tr>
      <w:tr w:rsidR="00000000">
        <w:trPr>
          <w:divId w:val="792670530"/>
        </w:trPr>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lastRenderedPageBreak/>
              <w:t>SURPLUS/DEFISIT DARI KEGIATAN NON OPERASIONAL</w:t>
            </w:r>
          </w:p>
        </w:tc>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3.070.416</w:t>
            </w: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(18.271.415)</w:t>
            </w:r>
          </w:p>
        </w:tc>
      </w:tr>
      <w:tr w:rsidR="00000000">
        <w:trPr>
          <w:divId w:val="792670530"/>
        </w:trPr>
        <w:tc>
          <w:tcPr>
            <w:tcW w:w="0" w:type="auto"/>
            <w:tcBorders>
              <w:top w:val="single" w:sz="6" w:space="0" w:color="000000"/>
              <w:left w:val="single" w:sz="6" w:space="0" w:color="000000"/>
              <w:bottom w:val="single" w:sz="6" w:space="0" w:color="000000"/>
              <w:right w:val="single" w:sz="6" w:space="0" w:color="000000"/>
            </w:tcBorders>
            <w:shd w:val="clear" w:color="auto" w:fill="FFE4C4"/>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SURPLUS/DEFISIT</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E4C4"/>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(45.075.143.997)</w:t>
            </w:r>
          </w:p>
        </w:tc>
        <w:tc>
          <w:tcPr>
            <w:tcW w:w="0" w:type="auto"/>
            <w:tcBorders>
              <w:top w:val="single" w:sz="6" w:space="0" w:color="000000"/>
              <w:left w:val="single" w:sz="6" w:space="0" w:color="000000"/>
              <w:bottom w:val="single" w:sz="6" w:space="0" w:color="000000"/>
              <w:right w:val="single" w:sz="6" w:space="0" w:color="000000"/>
            </w:tcBorders>
            <w:shd w:val="clear" w:color="auto" w:fill="FFE4C4"/>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(28.350.325.898)</w:t>
            </w:r>
          </w:p>
        </w:tc>
      </w:tr>
    </w:tbl>
    <w:p w:rsidR="00000000" w:rsidRDefault="00703D2E">
      <w:pPr>
        <w:spacing w:after="240"/>
        <w:jc w:val="both"/>
        <w:divId w:val="792670530"/>
        <w:rPr>
          <w:rFonts w:eastAsia="Times New Roman"/>
        </w:rPr>
      </w:pPr>
      <w:r>
        <w:rPr>
          <w:rFonts w:eastAsia="Times New Roman"/>
        </w:rPr>
        <w:br/>
      </w:r>
      <w:r>
        <w:rPr>
          <w:rFonts w:eastAsia="Times New Roman"/>
        </w:rPr>
        <w:br/>
      </w:r>
    </w:p>
    <w:p w:rsidR="00000000" w:rsidRDefault="00703D2E">
      <w:pPr>
        <w:pStyle w:val="a"/>
        <w:jc w:val="both"/>
        <w:divId w:val="792670530"/>
      </w:pPr>
      <w:r>
        <w:t>Catatan atas Laporan Keuangan merupakan bagian yang tidak terpisahkan dari Laporan Keuangan</w:t>
      </w:r>
    </w:p>
    <w:p w:rsidR="00000000" w:rsidRDefault="00703D2E">
      <w:pPr>
        <w:pageBreakBefore/>
        <w:jc w:val="both"/>
        <w:divId w:val="1341618385"/>
        <w:rPr>
          <w:rFonts w:eastAsia="Times New Roman"/>
        </w:rPr>
      </w:pPr>
      <w:r>
        <w:rPr>
          <w:rFonts w:eastAsia="Times New Roman"/>
        </w:rPr>
        <w:lastRenderedPageBreak/>
        <w:t> </w:t>
      </w:r>
    </w:p>
    <w:p w:rsidR="00000000" w:rsidRDefault="00703D2E">
      <w:pPr>
        <w:pStyle w:val="Heading2"/>
        <w:shd w:val="clear" w:color="auto" w:fill="00BFFF"/>
        <w:jc w:val="right"/>
        <w:divId w:val="477962963"/>
        <w:rPr>
          <w:rFonts w:eastAsia="Times New Roman"/>
          <w:color w:val="FFFFFF"/>
          <w:sz w:val="24"/>
          <w:szCs w:val="24"/>
        </w:rPr>
      </w:pPr>
      <w:r>
        <w:rPr>
          <w:rFonts w:eastAsia="Times New Roman"/>
          <w:color w:val="FFFFFF"/>
          <w:sz w:val="24"/>
          <w:szCs w:val="24"/>
        </w:rPr>
        <w:t>IV. LAPORAN PERUBAHAN EKUITAS</w:t>
      </w:r>
    </w:p>
    <w:p w:rsidR="00000000" w:rsidRDefault="00703D2E">
      <w:pPr>
        <w:pStyle w:val="Heading3"/>
        <w:jc w:val="center"/>
        <w:divId w:val="477962963"/>
        <w:rPr>
          <w:rFonts w:eastAsia="Times New Roman"/>
          <w:color w:val="00008B"/>
          <w:sz w:val="24"/>
          <w:szCs w:val="24"/>
        </w:rPr>
      </w:pPr>
      <w:r>
        <w:rPr>
          <w:rFonts w:eastAsia="Times New Roman"/>
          <w:color w:val="00008B"/>
          <w:sz w:val="24"/>
          <w:szCs w:val="24"/>
        </w:rPr>
        <w:t xml:space="preserve">Badan Pusat Statistik Wilayah Jambi </w:t>
      </w:r>
      <w:r>
        <w:rPr>
          <w:rFonts w:eastAsia="Times New Roman"/>
          <w:color w:val="00008B"/>
          <w:sz w:val="24"/>
          <w:szCs w:val="24"/>
        </w:rPr>
        <w:br/>
        <w:t xml:space="preserve">LAPORAN PERUBAHAN EKUITAS </w:t>
      </w:r>
      <w:r>
        <w:rPr>
          <w:rFonts w:eastAsia="Times New Roman"/>
          <w:color w:val="00008B"/>
          <w:sz w:val="24"/>
          <w:szCs w:val="24"/>
        </w:rPr>
        <w:br/>
        <w:t xml:space="preserve">Untuk Periode yang Berakhir 30 Juni 2022 dan 30 Juni 2021 </w:t>
      </w:r>
    </w:p>
    <w:p w:rsidR="00000000" w:rsidRDefault="00703D2E">
      <w:pPr>
        <w:pStyle w:val="NormalWeb"/>
        <w:jc w:val="right"/>
        <w:divId w:val="477962963"/>
        <w:rPr>
          <w:i/>
          <w:iCs/>
          <w:color w:val="00008B"/>
        </w:rPr>
      </w:pPr>
      <w:r>
        <w:rPr>
          <w:i/>
          <w:iCs/>
          <w:color w:val="00008B"/>
        </w:rPr>
        <w:t>(Dalam Rupiah)</w:t>
      </w:r>
    </w:p>
    <w:tbl>
      <w:tblPr>
        <w:tblW w:w="9000" w:type="dxa"/>
        <w:tblCellMar>
          <w:top w:w="120" w:type="dxa"/>
          <w:left w:w="120" w:type="dxa"/>
          <w:bottom w:w="120" w:type="dxa"/>
          <w:right w:w="120" w:type="dxa"/>
        </w:tblCellMar>
        <w:tblLook w:val="04A0" w:firstRow="1" w:lastRow="0" w:firstColumn="1" w:lastColumn="0" w:noHBand="0" w:noVBand="1"/>
      </w:tblPr>
      <w:tblGrid>
        <w:gridCol w:w="4523"/>
        <w:gridCol w:w="1229"/>
        <w:gridCol w:w="1624"/>
        <w:gridCol w:w="1624"/>
      </w:tblGrid>
      <w:tr w:rsidR="00000000">
        <w:trPr>
          <w:divId w:val="477962963"/>
        </w:trPr>
        <w:tc>
          <w:tcPr>
            <w:tcW w:w="0" w:type="auto"/>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URAIAN</w:t>
            </w:r>
          </w:p>
        </w:tc>
        <w:tc>
          <w:tcPr>
            <w:tcW w:w="0" w:type="auto"/>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CATATAN</w:t>
            </w:r>
          </w:p>
        </w:tc>
        <w:tc>
          <w:tcPr>
            <w:tcW w:w="0" w:type="auto"/>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30 Juni 2022</w:t>
            </w:r>
          </w:p>
        </w:tc>
        <w:tc>
          <w:tcPr>
            <w:tcW w:w="0" w:type="auto"/>
            <w:shd w:val="clear" w:color="auto" w:fill="00CCFF"/>
            <w:vAlign w:val="center"/>
            <w:hideMark/>
          </w:tcPr>
          <w:p w:rsidR="00000000" w:rsidRDefault="00703D2E">
            <w:pPr>
              <w:jc w:val="center"/>
              <w:rPr>
                <w:rFonts w:ascii="Times New Romans" w:eastAsia="Times New Roman" w:hAnsi="Times New Romans"/>
                <w:b/>
                <w:bCs/>
                <w:sz w:val="20"/>
                <w:szCs w:val="20"/>
              </w:rPr>
            </w:pPr>
            <w:r>
              <w:rPr>
                <w:rFonts w:ascii="Times New Romans" w:eastAsia="Times New Roman" w:hAnsi="Times New Romans"/>
                <w:b/>
                <w:bCs/>
                <w:sz w:val="20"/>
                <w:szCs w:val="20"/>
              </w:rPr>
              <w:t>30 Juni 2021</w:t>
            </w:r>
          </w:p>
        </w:tc>
      </w:tr>
      <w:tr w:rsidR="00000000">
        <w:trPr>
          <w:divId w:val="47796296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Ekuitas awal</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E.1</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68.027.379.797</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71.131.006.161</w:t>
            </w:r>
          </w:p>
        </w:tc>
      </w:tr>
      <w:tr w:rsidR="00000000">
        <w:trPr>
          <w:divId w:val="47796296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Surplus/defisit-LO</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E.2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(45.075.143.997)</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(28.350.325.898)</w:t>
            </w:r>
          </w:p>
        </w:tc>
      </w:tr>
      <w:tr w:rsidR="00000000">
        <w:trPr>
          <w:divId w:val="47796296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Koreksi menambah/mengurangi nilai ekuitas</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E.3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(186.362.000)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(270.192.026)</w:t>
            </w:r>
          </w:p>
        </w:tc>
      </w:tr>
      <w:tr w:rsidR="00000000">
        <w:trPr>
          <w:divId w:val="477962963"/>
        </w:trPr>
        <w:tc>
          <w:tcPr>
            <w:tcW w:w="0" w:type="auto"/>
            <w:tcBorders>
              <w:right w:val="single" w:sz="6" w:space="0" w:color="000000"/>
            </w:tcBorders>
            <w:tcMar>
              <w:top w:w="120" w:type="dxa"/>
              <w:left w:w="450" w:type="dxa"/>
              <w:bottom w:w="120" w:type="dxa"/>
              <w:right w:w="120" w:type="dxa"/>
            </w:tcMar>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Koreksi Atas Reklasifikasi</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E.3.1</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14.503.370</w:t>
            </w:r>
          </w:p>
        </w:tc>
      </w:tr>
      <w:tr w:rsidR="00000000">
        <w:trPr>
          <w:divId w:val="477962963"/>
        </w:trPr>
        <w:tc>
          <w:tcPr>
            <w:tcW w:w="0" w:type="auto"/>
            <w:tcBorders>
              <w:right w:val="single" w:sz="6" w:space="0" w:color="000000"/>
            </w:tcBorders>
            <w:tcMar>
              <w:top w:w="120" w:type="dxa"/>
              <w:left w:w="450" w:type="dxa"/>
              <w:bottom w:w="120" w:type="dxa"/>
              <w:right w:w="120" w:type="dxa"/>
            </w:tcMar>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Koreksi Nilai Aset Tetap Non Revaluasi</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E.3.2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(186.362.000)</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(284.695.396)</w:t>
            </w:r>
          </w:p>
        </w:tc>
      </w:tr>
      <w:tr w:rsidR="00000000">
        <w:trPr>
          <w:divId w:val="47796296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Transaksi Antar Entitas</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E.4</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40.288.949.293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28.094.784.819</w:t>
            </w:r>
          </w:p>
        </w:tc>
      </w:tr>
      <w:tr w:rsidR="00000000">
        <w:trPr>
          <w:divId w:val="477962963"/>
        </w:trPr>
        <w:tc>
          <w:tcPr>
            <w:tcW w:w="0" w:type="auto"/>
            <w:tcBorders>
              <w:right w:val="single" w:sz="6" w:space="0" w:color="000000"/>
            </w:tcBorders>
            <w:tcMar>
              <w:top w:w="120" w:type="dxa"/>
              <w:left w:w="450" w:type="dxa"/>
              <w:bottom w:w="120" w:type="dxa"/>
              <w:right w:w="120" w:type="dxa"/>
            </w:tcMar>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Diterima dari entitas Lain (DDEL)/Ditagihkan ke Entitas Lain (DKEL)</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E.4.1</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40</w:t>
            </w:r>
            <w:r>
              <w:rPr>
                <w:rFonts w:ascii="Times New Romans" w:eastAsia="Times New Roman" w:hAnsi="Times New Romans"/>
                <w:sz w:val="20"/>
                <w:szCs w:val="20"/>
              </w:rPr>
              <w:t>.213.365.312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28.089.280.302</w:t>
            </w:r>
          </w:p>
        </w:tc>
      </w:tr>
      <w:tr w:rsidR="00000000">
        <w:trPr>
          <w:divId w:val="477962963"/>
        </w:trPr>
        <w:tc>
          <w:tcPr>
            <w:tcW w:w="0" w:type="auto"/>
            <w:tcBorders>
              <w:right w:val="single" w:sz="6" w:space="0" w:color="000000"/>
            </w:tcBorders>
            <w:tcMar>
              <w:top w:w="120" w:type="dxa"/>
              <w:left w:w="450" w:type="dxa"/>
              <w:bottom w:w="120" w:type="dxa"/>
              <w:right w:w="120" w:type="dxa"/>
            </w:tcMar>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Transfer Masuk/Transfer Keluar</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E.4.2</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75.583.981</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5.504.517</w:t>
            </w:r>
          </w:p>
        </w:tc>
      </w:tr>
      <w:tr w:rsidR="00000000">
        <w:trPr>
          <w:divId w:val="47796296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Kenaikan/Penurunan Ekuitas</w:t>
            </w:r>
          </w:p>
        </w:tc>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(4.972.556.704)</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(525.733.105)</w:t>
            </w:r>
          </w:p>
        </w:tc>
      </w:tr>
      <w:tr w:rsidR="00000000">
        <w:trPr>
          <w:divId w:val="477962963"/>
        </w:trPr>
        <w:tc>
          <w:tcPr>
            <w:tcW w:w="0" w:type="auto"/>
            <w:tcBorders>
              <w:right w:val="single" w:sz="6" w:space="0" w:color="000000"/>
            </w:tcBorders>
            <w:vAlign w:val="center"/>
            <w:hideMark/>
          </w:tcPr>
          <w:p w:rsidR="00000000" w:rsidRDefault="00703D2E">
            <w:pPr>
              <w:rPr>
                <w:rFonts w:ascii="Times New Romans" w:eastAsia="Times New Roman" w:hAnsi="Times New Romans"/>
                <w:sz w:val="20"/>
                <w:szCs w:val="20"/>
              </w:rPr>
            </w:pPr>
            <w:r>
              <w:rPr>
                <w:rFonts w:ascii="Times New Romans" w:eastAsia="Times New Roman" w:hAnsi="Times New Romans"/>
                <w:sz w:val="20"/>
                <w:szCs w:val="20"/>
              </w:rPr>
              <w:t>Ekuitas Akhir</w:t>
            </w:r>
          </w:p>
        </w:tc>
        <w:tc>
          <w:tcPr>
            <w:tcW w:w="0" w:type="auto"/>
            <w:tcBorders>
              <w:right w:val="single" w:sz="6" w:space="0" w:color="000000"/>
            </w:tcBorders>
            <w:vAlign w:val="center"/>
            <w:hideMark/>
          </w:tcPr>
          <w:p w:rsidR="00000000" w:rsidRDefault="00703D2E">
            <w:pPr>
              <w:jc w:val="center"/>
              <w:rPr>
                <w:rFonts w:ascii="Times New Romans" w:eastAsia="Times New Roman" w:hAnsi="Times New Romans"/>
                <w:sz w:val="20"/>
                <w:szCs w:val="20"/>
              </w:rPr>
            </w:pPr>
            <w:r>
              <w:rPr>
                <w:rFonts w:ascii="Times New Romans" w:eastAsia="Times New Roman" w:hAnsi="Times New Romans"/>
                <w:sz w:val="20"/>
                <w:szCs w:val="20"/>
              </w:rPr>
              <w:t>E.5</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63.054.823.093</w:t>
            </w:r>
          </w:p>
        </w:tc>
        <w:tc>
          <w:tcPr>
            <w:tcW w:w="0" w:type="auto"/>
            <w:tcBorders>
              <w:right w:val="single" w:sz="6" w:space="0" w:color="000000"/>
            </w:tcBorders>
            <w:vAlign w:val="center"/>
            <w:hideMark/>
          </w:tcPr>
          <w:p w:rsidR="00000000" w:rsidRDefault="00703D2E">
            <w:pPr>
              <w:jc w:val="right"/>
              <w:rPr>
                <w:rFonts w:ascii="Times New Romans" w:eastAsia="Times New Roman" w:hAnsi="Times New Romans"/>
                <w:sz w:val="20"/>
                <w:szCs w:val="20"/>
              </w:rPr>
            </w:pPr>
            <w:r>
              <w:rPr>
                <w:rFonts w:ascii="Times New Romans" w:eastAsia="Times New Roman" w:hAnsi="Times New Romans"/>
                <w:sz w:val="20"/>
                <w:szCs w:val="20"/>
              </w:rPr>
              <w:t>70.605.273.056</w:t>
            </w:r>
          </w:p>
        </w:tc>
      </w:tr>
    </w:tbl>
    <w:p w:rsidR="00000000" w:rsidRDefault="00703D2E">
      <w:pPr>
        <w:spacing w:after="240"/>
        <w:jc w:val="both"/>
        <w:divId w:val="477962963"/>
        <w:rPr>
          <w:rFonts w:eastAsia="Times New Roman"/>
        </w:rPr>
      </w:pPr>
      <w:r>
        <w:rPr>
          <w:rFonts w:eastAsia="Times New Roman"/>
        </w:rPr>
        <w:br/>
      </w:r>
      <w:r>
        <w:rPr>
          <w:rFonts w:eastAsia="Times New Roman"/>
        </w:rPr>
        <w:br/>
      </w:r>
      <w:r>
        <w:rPr>
          <w:rFonts w:eastAsia="Times New Roman"/>
        </w:rPr>
        <w:br/>
      </w:r>
      <w:r>
        <w:rPr>
          <w:rFonts w:eastAsia="Times New Roman"/>
        </w:rPr>
        <w:br/>
      </w:r>
    </w:p>
    <w:p w:rsidR="00000000" w:rsidRDefault="00703D2E">
      <w:pPr>
        <w:pStyle w:val="a"/>
        <w:jc w:val="both"/>
        <w:divId w:val="477962963"/>
      </w:pPr>
      <w:r>
        <w:t>Catatan atas Laporan Keuangan merupakan bagian yang tidak terpisahkan dari Laporan Keuangan</w:t>
      </w:r>
    </w:p>
    <w:p w:rsidR="00000000" w:rsidRDefault="00703D2E">
      <w:pPr>
        <w:pageBreakBefore/>
        <w:divId w:val="1458373955"/>
        <w:rPr>
          <w:rFonts w:eastAsia="Times New Roman"/>
        </w:rPr>
      </w:pPr>
      <w:r>
        <w:rPr>
          <w:rFonts w:eastAsia="Times New Roman"/>
        </w:rPr>
        <w:lastRenderedPageBreak/>
        <w:t> </w:t>
      </w: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1545"/>
        <w:gridCol w:w="7455"/>
      </w:tblGrid>
      <w:tr w:rsidR="00000000">
        <w:trPr>
          <w:divId w:val="1057515049"/>
          <w:tblCellSpacing w:w="15" w:type="dxa"/>
        </w:trPr>
        <w:tc>
          <w:tcPr>
            <w:tcW w:w="0" w:type="auto"/>
            <w:gridSpan w:val="2"/>
            <w:vAlign w:val="center"/>
            <w:hideMark/>
          </w:tcPr>
          <w:p w:rsidR="00000000" w:rsidRDefault="00703D2E">
            <w:pPr>
              <w:jc w:val="both"/>
              <w:rPr>
                <w:rFonts w:eastAsia="Times New Roman"/>
              </w:rPr>
            </w:pPr>
            <w:r>
              <w:rPr>
                <w:rFonts w:eastAsia="Times New Roman"/>
              </w:rPr>
              <w:t>Catatan Atas Laporan Keuangan</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t>Dasar Huku</w:t>
            </w:r>
            <w:r>
              <w:rPr>
                <w:rFonts w:eastAsia="Times New Roman"/>
              </w:rPr>
              <w:t>m</w:t>
            </w:r>
            <w:r>
              <w:rPr>
                <w:rFonts w:eastAsia="Times New Roman"/>
              </w:rPr>
              <w:t xml:space="preserve"> </w:t>
            </w:r>
          </w:p>
        </w:tc>
        <w:tc>
          <w:tcPr>
            <w:tcW w:w="0" w:type="auto"/>
            <w:vAlign w:val="center"/>
            <w:hideMark/>
          </w:tcPr>
          <w:p w:rsidR="00000000" w:rsidRDefault="00703D2E">
            <w:pPr>
              <w:pStyle w:val="Heading4"/>
              <w:jc w:val="both"/>
              <w:rPr>
                <w:rFonts w:eastAsia="Times New Roman"/>
                <w:color w:val="00008B"/>
              </w:rPr>
            </w:pPr>
            <w:r>
              <w:rPr>
                <w:rFonts w:eastAsia="Times New Roman"/>
                <w:color w:val="00008B"/>
              </w:rPr>
              <w:t xml:space="preserve">A.1. Dasar Hukum </w:t>
            </w:r>
          </w:p>
          <w:p w:rsidR="00000000" w:rsidRDefault="00703D2E">
            <w:pPr>
              <w:jc w:val="both"/>
              <w:rPr>
                <w:rFonts w:eastAsia="Times New Roman"/>
              </w:rPr>
            </w:pPr>
          </w:p>
          <w:p w:rsidR="00000000" w:rsidRDefault="00703D2E">
            <w:pPr>
              <w:numPr>
                <w:ilvl w:val="0"/>
                <w:numId w:val="1"/>
              </w:numPr>
              <w:spacing w:before="100" w:beforeAutospacing="1" w:after="100" w:afterAutospacing="1"/>
              <w:jc w:val="both"/>
              <w:rPr>
                <w:rFonts w:eastAsia="Times New Roman"/>
              </w:rPr>
            </w:pPr>
            <w:r>
              <w:rPr>
                <w:rFonts w:eastAsia="Times New Roman"/>
              </w:rPr>
              <w:t>Undang-Undang Nomor 17 Tahun 2003 tentang Keuangan Negara;</w:t>
            </w:r>
          </w:p>
          <w:p w:rsidR="00000000" w:rsidRDefault="00703D2E">
            <w:pPr>
              <w:numPr>
                <w:ilvl w:val="0"/>
                <w:numId w:val="1"/>
              </w:numPr>
              <w:spacing w:before="100" w:beforeAutospacing="1" w:after="100" w:afterAutospacing="1"/>
              <w:jc w:val="both"/>
              <w:rPr>
                <w:rFonts w:eastAsia="Times New Roman"/>
              </w:rPr>
            </w:pPr>
            <w:r>
              <w:rPr>
                <w:rFonts w:eastAsia="Times New Roman"/>
              </w:rPr>
              <w:t>Undang-Undang Nomor 1 Tahun 2004 tentang Perbendaharaan Negara;</w:t>
            </w:r>
          </w:p>
          <w:p w:rsidR="00000000" w:rsidRDefault="00703D2E">
            <w:pPr>
              <w:numPr>
                <w:ilvl w:val="0"/>
                <w:numId w:val="1"/>
              </w:numPr>
              <w:spacing w:before="100" w:beforeAutospacing="1" w:after="100" w:afterAutospacing="1"/>
              <w:jc w:val="both"/>
              <w:rPr>
                <w:rFonts w:eastAsia="Times New Roman"/>
              </w:rPr>
            </w:pPr>
            <w:r>
              <w:rPr>
                <w:rFonts w:eastAsia="Times New Roman"/>
              </w:rPr>
              <w:t>Undang-Undang Nomor 9 Tahun 2020 tentang Anggaran Pendapatan dan Belanja Negara Tahun 2021;</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Pemerintah Nomor 8 Tahun 2006 tentang Pelaporan Keuangan dan Kinerja Instansi Pemerintah;</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Pemerintah Nomor 71 Tahun 2010 tentang Standar Akuntansi Pemerintahan;</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Pemerintah Nomor 50 Tahun 2018 tentang Perubahan Peraturan Pemerintah Nomor 45 Tahun 2013 tentang Tata Cara Pelaksanaan Anggaran dan Belanja Negara;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Pemeri</w:t>
            </w:r>
            <w:r>
              <w:rPr>
                <w:rFonts w:eastAsia="Times New Roman"/>
              </w:rPr>
              <w:t>ntah Nomor 27 Tahun 2014 tentang Pengelolaan Barang Milik Negara/Daerah;</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Presiden Nomor 75 Tahun 2017 tentang Penilaian Kembali Barang Milik Negara/Daerah;</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29/PMK.06/2010 tentang Penggolongan dan Kodefikasi Barang</w:t>
            </w:r>
            <w:r>
              <w:rPr>
                <w:rFonts w:eastAsia="Times New Roman"/>
              </w:rPr>
              <w:t xml:space="preserve"> Milik Negara sebagaimana diubah terakhir dengan Keputusan Menteri Keuangan Nomor 532/KMK.6/2015 tentang Perubahan Kelima atas Peraturan Menteri Keuangan Nomor 29/PMK.06/2010;</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238/PMK.05/2011 tentang Pedoman Umum Sistem Aku</w:t>
            </w:r>
            <w:r>
              <w:rPr>
                <w:rFonts w:eastAsia="Times New Roman"/>
              </w:rPr>
              <w:t>ntansi Pemerintahan;</w:t>
            </w:r>
          </w:p>
          <w:p w:rsidR="00000000" w:rsidRDefault="00703D2E">
            <w:pPr>
              <w:numPr>
                <w:ilvl w:val="0"/>
                <w:numId w:val="1"/>
              </w:numPr>
              <w:spacing w:before="100" w:beforeAutospacing="1" w:after="100" w:afterAutospacing="1"/>
              <w:jc w:val="both"/>
              <w:rPr>
                <w:rFonts w:eastAsia="Times New Roman"/>
              </w:rPr>
            </w:pPr>
            <w:r>
              <w:rPr>
                <w:rFonts w:eastAsia="Times New Roman"/>
              </w:rPr>
              <w:t>Keputusan Menteri Keuangan Nomor 59/KMK.6/2013 tentang Tabel Masa Manfaat Dalam Rangka Penyusutan Barang Milik Negara Berupa Aset Tetap Pada Entitas Pemerintah Pusat;</w:t>
            </w:r>
          </w:p>
          <w:p w:rsidR="00000000" w:rsidRDefault="00703D2E">
            <w:pPr>
              <w:numPr>
                <w:ilvl w:val="0"/>
                <w:numId w:val="1"/>
              </w:numPr>
              <w:spacing w:before="100" w:beforeAutospacing="1" w:after="100" w:afterAutospacing="1"/>
              <w:jc w:val="both"/>
              <w:rPr>
                <w:rFonts w:eastAsia="Times New Roman"/>
              </w:rPr>
            </w:pPr>
            <w:r>
              <w:rPr>
                <w:rFonts w:eastAsia="Times New Roman"/>
              </w:rPr>
              <w:t>Keputusan Menteri Keuangan Nomor 94/KM.6/2013 tentang Modul Penyusut</w:t>
            </w:r>
            <w:r>
              <w:rPr>
                <w:rFonts w:eastAsia="Times New Roman"/>
              </w:rPr>
              <w:t>an Barang Milik Negara Berupa Aset Tetap pada Entitas Pemerintah Pusat sebagaimana diubah dengan Keputusan Menteri Keuangan Nomor 145/KM.6/2014 tentang Perubahan atas Keputusan Menteri Keuangan Nomor 94/KM.6/2013;</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78/PMK.06</w:t>
            </w:r>
            <w:r>
              <w:rPr>
                <w:rFonts w:eastAsia="Times New Roman"/>
              </w:rPr>
              <w:t>/2014 tentang Tata Cara Pelaksanaan Pemanfaatan Barang Milik Negara;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177/PMK.05/2015 tentang Pedoman Penyusunan dan Penyampaian Laporan Keuangan Kementerian Negara/Lembaga sebagaimana diubah dengan Peraturan Menteri Keuanga</w:t>
            </w:r>
            <w:r>
              <w:rPr>
                <w:rFonts w:eastAsia="Times New Roman"/>
              </w:rPr>
              <w:t>n Nomor 222/PMK.05/2016 tentang Perubahan Peraturan Menteri Keuangan Nomor 177/PMK.05/2015;</w:t>
            </w:r>
          </w:p>
          <w:p w:rsidR="00000000" w:rsidRDefault="00703D2E">
            <w:pPr>
              <w:numPr>
                <w:ilvl w:val="0"/>
                <w:numId w:val="1"/>
              </w:numPr>
              <w:spacing w:before="100" w:beforeAutospacing="1" w:after="100" w:afterAutospacing="1"/>
              <w:jc w:val="both"/>
              <w:rPr>
                <w:rFonts w:eastAsia="Times New Roman"/>
              </w:rPr>
            </w:pPr>
            <w:r>
              <w:rPr>
                <w:rFonts w:eastAsia="Times New Roman"/>
              </w:rPr>
              <w:lastRenderedPageBreak/>
              <w:t>Peraturan Menteri Keuangan Nomor 251/PMK.06/2015 tentang Tata Cara Amortisasi BMN Berupa Aset Tak Berwujud Pada Entitas Pemerintah Pusat;</w:t>
            </w:r>
          </w:p>
          <w:p w:rsidR="00000000" w:rsidRDefault="00703D2E">
            <w:pPr>
              <w:numPr>
                <w:ilvl w:val="0"/>
                <w:numId w:val="1"/>
              </w:numPr>
              <w:spacing w:before="100" w:beforeAutospacing="1" w:after="100" w:afterAutospacing="1"/>
              <w:jc w:val="both"/>
              <w:rPr>
                <w:rFonts w:eastAsia="Times New Roman"/>
              </w:rPr>
            </w:pPr>
            <w:r>
              <w:rPr>
                <w:rFonts w:eastAsia="Times New Roman"/>
              </w:rPr>
              <w:t>Keputusan Menteri Keuangan</w:t>
            </w:r>
            <w:r>
              <w:rPr>
                <w:rFonts w:eastAsia="Times New Roman"/>
              </w:rPr>
              <w:t xml:space="preserve"> Nomor 620/KM.6/2015 tentang Masa Manfaat Dalam Rangka Amortisasi Barang Milik Negara Berupa Aset Tak Berwujud Pada Entitas Pemerintah Pusat;</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52/PMK.06/2016 tentang Perubahan Atas Peraturan Menteri Keuangan Nomor 244/PMK.06</w:t>
            </w:r>
            <w:r>
              <w:rPr>
                <w:rFonts w:eastAsia="Times New Roman"/>
              </w:rPr>
              <w:t>/2012 tentang Tata Cara Pelaksanaan Pengawasan dan Pengendalian Barang Milik Negara;</w:t>
            </w:r>
          </w:p>
          <w:p w:rsidR="00000000" w:rsidRDefault="00703D2E">
            <w:pPr>
              <w:numPr>
                <w:ilvl w:val="0"/>
                <w:numId w:val="1"/>
              </w:numPr>
              <w:spacing w:before="100" w:beforeAutospacing="1" w:after="100" w:afterAutospacing="1"/>
              <w:jc w:val="both"/>
              <w:rPr>
                <w:rFonts w:eastAsia="Times New Roman"/>
              </w:rPr>
            </w:pPr>
            <w:r>
              <w:rPr>
                <w:rFonts w:eastAsia="Times New Roman"/>
              </w:rPr>
              <w:t>Keputusan Menteri Keuangan Nomor 98/KM.6/2016 tentang Modul Amortisasi Barang Milik Negara Berupa Aset Tak Berwujud Pada Entitas Pemerintah Pusat;</w:t>
            </w:r>
          </w:p>
          <w:p w:rsidR="00000000" w:rsidRDefault="00703D2E">
            <w:pPr>
              <w:numPr>
                <w:ilvl w:val="0"/>
                <w:numId w:val="1"/>
              </w:numPr>
              <w:spacing w:before="100" w:beforeAutospacing="1" w:after="100" w:afterAutospacing="1"/>
              <w:jc w:val="both"/>
              <w:rPr>
                <w:rFonts w:eastAsia="Times New Roman"/>
              </w:rPr>
            </w:pPr>
            <w:r>
              <w:rPr>
                <w:rFonts w:eastAsia="Times New Roman"/>
              </w:rPr>
              <w:t>Keputusan Menteri Keuangan Nomor 385/KM.6/2016 tentang Modul Rekonsiliasi Data Barang Milik Negara dan Pemutakhiran Data Barang Milik Negara;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57/PMK.06/2016 tentang Tata Cara Pelaksanaan Sewa Barang Milik Negara;</w:t>
            </w:r>
          </w:p>
          <w:p w:rsidR="00000000" w:rsidRDefault="00703D2E">
            <w:pPr>
              <w:numPr>
                <w:ilvl w:val="0"/>
                <w:numId w:val="1"/>
              </w:numPr>
              <w:spacing w:before="100" w:beforeAutospacing="1" w:after="100" w:afterAutospacing="1"/>
              <w:jc w:val="both"/>
              <w:rPr>
                <w:rFonts w:eastAsia="Times New Roman"/>
              </w:rPr>
            </w:pPr>
            <w:r>
              <w:rPr>
                <w:rFonts w:eastAsia="Times New Roman"/>
              </w:rPr>
              <w:t xml:space="preserve">Peraturan </w:t>
            </w:r>
            <w:r>
              <w:rPr>
                <w:rFonts w:eastAsia="Times New Roman"/>
              </w:rPr>
              <w:t>Menteri Keuangan Nomor 65/PMK.06/2017 tentang Penyusutan Barang Milik Negara Berupa Aset Tetap Pada Entitas Pemerintah Pusat;</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71/PMK.06/2016 tentang Tata Cara Pengelolaan Barang Milik Negara Yang Tidak Digunakan Untuk Menye</w:t>
            </w:r>
            <w:r>
              <w:rPr>
                <w:rFonts w:eastAsia="Times New Roman"/>
              </w:rPr>
              <w:t>lenggarakan Tugas dan Fungsi Kementerian Negara/Lembaga;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75/PMK.06/2016 tentang Penyelesaian Piutang Instansi Pemerintah yang Diurus/Dikelola oleh Panitia Urusan Piutang Negara/DJKN;</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83/PMK.</w:t>
            </w:r>
            <w:r>
              <w:rPr>
                <w:rFonts w:eastAsia="Times New Roman"/>
              </w:rPr>
              <w:t>06/2016 tentang Tata Cara Pelaksanaan Pemusnahan dan Penghapusan Barang Milik Negara;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87/PMK.06/2016 tentang Tata Cara Pelaksanaan Penggunaan Barang Milik Negara;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181/PMK.06/2016 tentang Pen</w:t>
            </w:r>
            <w:r>
              <w:rPr>
                <w:rFonts w:eastAsia="Times New Roman"/>
              </w:rPr>
              <w:t>atausahaan BMN;</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225/PMK.05/2016 tentang Penerapan Standar Akuntansi Pemerintahan Berbasis Akrual Pada Pemerintah Pusat;</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240/PMK.06/2016 tentang Pengurusan Piutang Negara;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w:t>
            </w:r>
            <w:r>
              <w:rPr>
                <w:rFonts w:eastAsia="Times New Roman"/>
              </w:rPr>
              <w:t>euangan Nomor 99/PMK.05/2017 tentang Administrasi Pengelolaan Hibah;</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104/PMK.05/2017 tentang Pedoman Rekonsiliasi Dalam Penyusunan Laporan Keuangan Lingkup Bendahara Umum Negara dan Kementerian Negara/Lembaga.</w:t>
            </w:r>
          </w:p>
          <w:p w:rsidR="00000000" w:rsidRDefault="00703D2E">
            <w:pPr>
              <w:numPr>
                <w:ilvl w:val="0"/>
                <w:numId w:val="1"/>
              </w:numPr>
              <w:spacing w:before="100" w:beforeAutospacing="1" w:after="100" w:afterAutospacing="1"/>
              <w:jc w:val="both"/>
              <w:rPr>
                <w:rFonts w:eastAsia="Times New Roman"/>
              </w:rPr>
            </w:pPr>
            <w:r>
              <w:rPr>
                <w:rFonts w:eastAsia="Times New Roman"/>
              </w:rPr>
              <w:lastRenderedPageBreak/>
              <w:t>Peraturan Men</w:t>
            </w:r>
            <w:r>
              <w:rPr>
                <w:rFonts w:eastAsia="Times New Roman"/>
              </w:rPr>
              <w:t>teri Keuangan Nomor 118/PMK.06/2018 tentang Tata Cara Rekonsiliasi Barang Milik Negara dalam Rangka Penyusunan Laporan Keuangan Pemerintah Pusat;</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178/PMK.05/2018 tentang Perubahan Peraturan Menteri Keuangan Nomor 190/PMK.05</w:t>
            </w:r>
            <w:r>
              <w:rPr>
                <w:rFonts w:eastAsia="Times New Roman"/>
              </w:rPr>
              <w:t>/2012 tentang Tata Cara Pembayaran Dalam Rangka Pelaksanaan Anggaran Pendapatan dan Belanja Negara;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17/PMK.09/2019 tentang Pedoman Penerapan, Penilaian, dan Reviu Pengendalian Intern Atas Pelaporan Keuangan Pemerintah Pusat</w:t>
            </w:r>
            <w:r>
              <w:rPr>
                <w:rFonts w:eastAsia="Times New Roman"/>
              </w:rPr>
              <w:t>;</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97/PMK.06/2019 tentang Pengasuransian BMN;</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107/PMK.06/2019 tentang Perubahan Kedua Peraturan Menteri Keuangan Republik Indonesia Nomor 118/PMK.06/2017 tentang Pedoman Pelaksanaan Penilaian</w:t>
            </w:r>
            <w:r>
              <w:rPr>
                <w:rFonts w:eastAsia="Times New Roman"/>
              </w:rPr>
              <w:t xml:space="preserve"> Kembali Barang Milik Negara;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183/PMK.05/2019 tentang Pengelolaan Rekening Pengeluaran Milik Kementerian Negara/Lembaga;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207/PMK.06/2019 tentang Perubahan PMK Nomor 69/PMK.06/2014 tentang Pe</w:t>
            </w:r>
            <w:r>
              <w:rPr>
                <w:rFonts w:eastAsia="Times New Roman"/>
              </w:rPr>
              <w:t>nentuan Kualitas Piutang dan Pembentukan Penyisihan Piutang Tidak Tertagih Pada Kementerian Negara/Lembaga dan Bendahara Umum Negara;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212/PMK.05/2019 tentang Jurnal Akuntansi Pemerintahan pada Pemerintah Pusat;</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w:t>
            </w:r>
            <w:r>
              <w:rPr>
                <w:rFonts w:eastAsia="Times New Roman"/>
              </w:rPr>
              <w:t>nteri Keuangan Nomor 38/PMK.02/2020 tentang Pelaksanaan Kebijakan Keuangan Negara Untuk Penanganan Pandemi Covid-19 dan/atau Menghadapi Ancaman yang Membahayakan Perekonomian Nasional dan/atau Stabilitas Sistem Keuangan;</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43</w:t>
            </w:r>
            <w:r>
              <w:rPr>
                <w:rFonts w:eastAsia="Times New Roman"/>
              </w:rPr>
              <w:t>/PMK.05/2020 tentang Mekanisme Pelaksanaan Anggaran Belanja atas Beban APBN Dalam Penanganan Pandemi Covid-19;</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185/PMK.02/2020 tentang Pengelolaan Anggaran Dalam Rangka Penanganan Pandemi Covid-19 dan/atau Program Pemulihan</w:t>
            </w:r>
            <w:r>
              <w:rPr>
                <w:rFonts w:eastAsia="Times New Roman"/>
              </w:rPr>
              <w:t xml:space="preserve"> Ekonomi Nasional;</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Menteri Keuangan Nomor 234/PMK.05/2020 tentang Perubahan atas Peraturan Menteri Keuangan Nomor 225/PMK.05/2019 tentang Kebijakan Akuntansi Pemerintah Pusat;</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Direktur Jenderal Perbendaharaan Nomor PER-85/PB/2011 tentan</w:t>
            </w:r>
            <w:r>
              <w:rPr>
                <w:rFonts w:eastAsia="Times New Roman"/>
              </w:rPr>
              <w:t>g Pedoman Penatausahaan Piutang Penerimaan Negara Bukan Pajak Pada Satuan Kerja Kementerian Negara/Lembaga;</w:t>
            </w:r>
          </w:p>
          <w:p w:rsidR="00000000" w:rsidRDefault="00703D2E">
            <w:pPr>
              <w:numPr>
                <w:ilvl w:val="0"/>
                <w:numId w:val="1"/>
              </w:numPr>
              <w:spacing w:before="100" w:beforeAutospacing="1" w:after="100" w:afterAutospacing="1"/>
              <w:jc w:val="both"/>
              <w:rPr>
                <w:rFonts w:eastAsia="Times New Roman"/>
              </w:rPr>
            </w:pPr>
            <w:r>
              <w:rPr>
                <w:rFonts w:eastAsia="Times New Roman"/>
              </w:rPr>
              <w:t>Peraturan Direktur Jenderal Perbendaharaan Nomor PER-16/PB/2014 tentang Tata Cara Koreksi Data Transaksi Keuangan Pada Sistem Perbendaharaan dan Ang</w:t>
            </w:r>
            <w:r>
              <w:rPr>
                <w:rFonts w:eastAsia="Times New Roman"/>
              </w:rPr>
              <w:t>garan Negara; dan</w:t>
            </w:r>
          </w:p>
          <w:p w:rsidR="00000000" w:rsidRDefault="00703D2E">
            <w:pPr>
              <w:numPr>
                <w:ilvl w:val="0"/>
                <w:numId w:val="1"/>
              </w:numPr>
              <w:spacing w:before="100" w:beforeAutospacing="1" w:after="100" w:afterAutospacing="1"/>
              <w:jc w:val="both"/>
              <w:rPr>
                <w:rFonts w:eastAsia="Times New Roman"/>
              </w:rPr>
            </w:pPr>
            <w:r>
              <w:rPr>
                <w:rFonts w:eastAsia="Times New Roman"/>
              </w:rPr>
              <w:lastRenderedPageBreak/>
              <w:t>Peraturan Direktur Jenderal Perbendaharaan Nomor PER-43/PB/2015 tentang Pedoman Akuntansi Penyisihan Piutang Tidak Tertagih pada Kementerian Negara/Lembaga;</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lastRenderedPageBreak/>
              <w:t>Entitas dan Rencana Strategis</w:t>
            </w:r>
            <w:r>
              <w:rPr>
                <w:rFonts w:eastAsia="Times New Roman"/>
              </w:rPr>
              <w:t xml:space="preserve"> </w:t>
            </w:r>
          </w:p>
        </w:tc>
        <w:tc>
          <w:tcPr>
            <w:tcW w:w="0" w:type="auto"/>
            <w:vAlign w:val="center"/>
            <w:hideMark/>
          </w:tcPr>
          <w:p w:rsidR="00000000" w:rsidRDefault="00703D2E">
            <w:pPr>
              <w:pStyle w:val="Heading4"/>
              <w:jc w:val="both"/>
              <w:rPr>
                <w:rFonts w:eastAsia="Times New Roman"/>
                <w:color w:val="00008B"/>
              </w:rPr>
            </w:pPr>
            <w:r>
              <w:rPr>
                <w:rFonts w:eastAsia="Times New Roman"/>
                <w:color w:val="00008B"/>
              </w:rPr>
              <w:t xml:space="preserve">A.2. Profil dan Kebijakan Teknis Badan Pusat Statistik Wilayah Jambi </w:t>
            </w:r>
          </w:p>
          <w:p w:rsidR="00000000" w:rsidRDefault="00703D2E">
            <w:pPr>
              <w:jc w:val="both"/>
              <w:rPr>
                <w:rFonts w:eastAsia="Times New Roman"/>
              </w:rPr>
            </w:pPr>
          </w:p>
          <w:p w:rsidR="00000000" w:rsidRDefault="00703D2E">
            <w:pPr>
              <w:pStyle w:val="NormalWeb"/>
              <w:jc w:val="both"/>
            </w:pPr>
            <w:r>
              <w:t>Badan Pusat Statistik (BPS) adalah institusi pemerintah yang memiliki kewenangan melakukan kegiatan statistik berupa sensus dan survei, untuk menghasilkan data dan statistik yang dibut</w:t>
            </w:r>
            <w:r>
              <w:t>uhkan baik oleh pemerintah, swasta, maupun masyarakat pada umumnya sesuai Undang-undang Nomor 16 Tahun 1997 dan Peraturan Pemerintah Nomor 51 Tahun 1999. Sebagai rujukan dalam perencanaan, pemantauan, dan evaluasi terhadap hasil-hasil pembangunan, penyedia</w:t>
            </w:r>
            <w:r>
              <w:t>an data statistik yang berkualitas menjadi sangat menentukan karena akan berdampak kepada efektifitas pengambilan keputusan yang dilakukan. Oleh karena itu, diperlukan perencanaan yang baik untuk menentukan arah kebijakan dan strategi yang tepat dalam menc</w:t>
            </w:r>
            <w:r>
              <w:t>apai tujuan dan mewujudkan visi BPS.</w:t>
            </w:r>
            <w:r>
              <w:br/>
              <w:t>Untuk menyongsong pembangunan nasional jangka menengah tahun 2020-2024, BPS menyusun Rencana Strategis yang mencerminkan upaya peningkatan dan kemampuan BPS menyediakan data statistik yang berkualitas, serta upaya untuk</w:t>
            </w:r>
            <w:r>
              <w:t xml:space="preserve"> menjalankan perannya- sebagai pembina dan koordinator kegiatan statistik dalam kerangka pembangunan Sistem Statistik Nasional (SSN) secara lebih efektif.</w:t>
            </w:r>
            <w:r>
              <w:br/>
              <w:t>Rencana Strategis Badan Pusat Statistik (Renstra BPS) tahun 2020-2024, disusun berlandaskan Undang-Un</w:t>
            </w:r>
            <w:r>
              <w:t>dang Nomor 16 Tahun 1997 tentang Statistik dan RPJM Nasional Tahun 2020-2024, serta memperhatikan masukan dari para pemangku kepentingan (stakeholders).</w:t>
            </w:r>
            <w:r>
              <w:br/>
              <w:t>Dalam mencapai tujuannya, BPS memiliki Visi dan Misi sebagai berikut:</w:t>
            </w:r>
            <w:r>
              <w:br/>
              <w:t xml:space="preserve">Visi BPS : </w:t>
            </w:r>
          </w:p>
          <w:p w:rsidR="00000000" w:rsidRDefault="00703D2E">
            <w:pPr>
              <w:jc w:val="center"/>
              <w:rPr>
                <w:rFonts w:eastAsia="Times New Roman"/>
              </w:rPr>
            </w:pPr>
            <w:r>
              <w:rPr>
                <w:rFonts w:eastAsia="Times New Roman"/>
                <w:b/>
                <w:bCs/>
              </w:rPr>
              <w:t>"Penyedia Data Stati</w:t>
            </w:r>
            <w:r>
              <w:rPr>
                <w:rFonts w:eastAsia="Times New Roman"/>
                <w:b/>
                <w:bCs/>
              </w:rPr>
              <w:t>stik Berkualitas untuk Indonesia Maju,"</w:t>
            </w:r>
          </w:p>
          <w:p w:rsidR="00000000" w:rsidRDefault="00703D2E">
            <w:pPr>
              <w:jc w:val="both"/>
              <w:rPr>
                <w:rFonts w:eastAsia="Times New Roman"/>
              </w:rPr>
            </w:pPr>
          </w:p>
          <w:p w:rsidR="00000000" w:rsidRDefault="00703D2E">
            <w:pPr>
              <w:jc w:val="center"/>
              <w:rPr>
                <w:rFonts w:eastAsia="Times New Roman"/>
              </w:rPr>
            </w:pPr>
            <w:r>
              <w:rPr>
                <w:rFonts w:eastAsia="Times New Roman"/>
                <w:b/>
                <w:bCs/>
                <w:i/>
                <w:iCs/>
              </w:rPr>
              <w:t>("Provider of Qualified Statistical Data for Advanced Indonesia")</w:t>
            </w:r>
          </w:p>
          <w:p w:rsidR="00000000" w:rsidRDefault="00703D2E">
            <w:pPr>
              <w:jc w:val="both"/>
              <w:rPr>
                <w:rFonts w:eastAsia="Times New Roman"/>
              </w:rPr>
            </w:pPr>
            <w:r>
              <w:rPr>
                <w:rFonts w:eastAsia="Times New Roman"/>
              </w:rPr>
              <w:br/>
              <w:t xml:space="preserve">Misi BPS: </w:t>
            </w:r>
          </w:p>
          <w:p w:rsidR="00000000" w:rsidRDefault="00703D2E">
            <w:pPr>
              <w:numPr>
                <w:ilvl w:val="0"/>
                <w:numId w:val="2"/>
              </w:numPr>
              <w:spacing w:before="100" w:beforeAutospacing="1" w:after="100" w:afterAutospacing="1"/>
              <w:jc w:val="both"/>
              <w:rPr>
                <w:rFonts w:eastAsia="Times New Roman"/>
              </w:rPr>
            </w:pPr>
            <w:r>
              <w:rPr>
                <w:rFonts w:eastAsia="Times New Roman"/>
              </w:rPr>
              <w:t>Menyediakan statistik berkualitas yang berstandar nasional dan internasional;</w:t>
            </w:r>
          </w:p>
          <w:p w:rsidR="00000000" w:rsidRDefault="00703D2E">
            <w:pPr>
              <w:numPr>
                <w:ilvl w:val="0"/>
                <w:numId w:val="2"/>
              </w:numPr>
              <w:spacing w:before="100" w:beforeAutospacing="1" w:after="100" w:afterAutospacing="1"/>
              <w:jc w:val="both"/>
              <w:rPr>
                <w:rFonts w:eastAsia="Times New Roman"/>
              </w:rPr>
            </w:pPr>
            <w:r>
              <w:rPr>
                <w:rFonts w:eastAsia="Times New Roman"/>
              </w:rPr>
              <w:t>Membina K/L/D/I melalui Sistem Statistik Nasional yang ber</w:t>
            </w:r>
            <w:r>
              <w:rPr>
                <w:rFonts w:eastAsia="Times New Roman"/>
              </w:rPr>
              <w:t xml:space="preserve">kesinambungan; </w:t>
            </w:r>
          </w:p>
          <w:p w:rsidR="00000000" w:rsidRDefault="00703D2E">
            <w:pPr>
              <w:numPr>
                <w:ilvl w:val="0"/>
                <w:numId w:val="2"/>
              </w:numPr>
              <w:spacing w:before="100" w:beforeAutospacing="1" w:after="100" w:afterAutospacing="1"/>
              <w:jc w:val="both"/>
              <w:rPr>
                <w:rFonts w:eastAsia="Times New Roman"/>
              </w:rPr>
            </w:pPr>
            <w:r>
              <w:rPr>
                <w:rFonts w:eastAsia="Times New Roman"/>
              </w:rPr>
              <w:t>Mewujudkan pelayanan prima di bidang statistik untuk terwujudnya Sistem Statistik Nasional; dan</w:t>
            </w:r>
          </w:p>
          <w:p w:rsidR="00000000" w:rsidRDefault="00703D2E">
            <w:pPr>
              <w:numPr>
                <w:ilvl w:val="0"/>
                <w:numId w:val="2"/>
              </w:numPr>
              <w:spacing w:before="100" w:beforeAutospacing="1" w:after="100" w:afterAutospacing="1"/>
              <w:jc w:val="both"/>
              <w:rPr>
                <w:rFonts w:eastAsia="Times New Roman"/>
              </w:rPr>
            </w:pPr>
            <w:r>
              <w:rPr>
                <w:rFonts w:eastAsia="Times New Roman"/>
              </w:rPr>
              <w:lastRenderedPageBreak/>
              <w:t>Membangun SDM yang unggul dan adaptif berlandaskan nilai profesionalisme, integritas dan amanah.</w:t>
            </w:r>
          </w:p>
          <w:p w:rsidR="00000000" w:rsidRDefault="00703D2E">
            <w:pPr>
              <w:pStyle w:val="NormalWeb"/>
              <w:jc w:val="both"/>
            </w:pPr>
            <w:r>
              <w:t>Melalui visi dan misi tersebut, BPS memiliki as</w:t>
            </w:r>
            <w:r>
              <w:t>pirasi untuk mencapai tujuan strategis. Tujuan strategis ini mencerminkan fokus perubahan yang akan dilakukan oleh BPS dalam periode Renstra 2020-2024, yakni bahwa BPS berupaya terus menerus untuk meningkatkan:</w:t>
            </w:r>
          </w:p>
          <w:p w:rsidR="00000000" w:rsidRDefault="00703D2E">
            <w:pPr>
              <w:numPr>
                <w:ilvl w:val="0"/>
                <w:numId w:val="3"/>
              </w:numPr>
              <w:spacing w:before="100" w:beforeAutospacing="1" w:after="100" w:afterAutospacing="1"/>
              <w:jc w:val="both"/>
              <w:rPr>
                <w:rFonts w:eastAsia="Times New Roman"/>
              </w:rPr>
            </w:pPr>
            <w:r>
              <w:rPr>
                <w:rFonts w:eastAsia="Times New Roman"/>
              </w:rPr>
              <w:t>Kualitas dari produk yang dihasilkannya (data</w:t>
            </w:r>
            <w:r>
              <w:rPr>
                <w:rFonts w:eastAsia="Times New Roman"/>
              </w:rPr>
              <w:t xml:space="preserve"> statistik). </w:t>
            </w:r>
          </w:p>
          <w:p w:rsidR="00000000" w:rsidRDefault="00703D2E">
            <w:pPr>
              <w:numPr>
                <w:ilvl w:val="0"/>
                <w:numId w:val="3"/>
              </w:numPr>
              <w:spacing w:before="100" w:beforeAutospacing="1" w:after="100" w:afterAutospacing="1"/>
              <w:jc w:val="both"/>
              <w:rPr>
                <w:rFonts w:eastAsia="Times New Roman"/>
              </w:rPr>
            </w:pPr>
            <w:r>
              <w:rPr>
                <w:rFonts w:eastAsia="Times New Roman"/>
              </w:rPr>
              <w:t>Kualitas dari pelayanan untuk mendiseminasi data statistik kepada penggunanya dengan dukungan dan peranan TIK.</w:t>
            </w:r>
          </w:p>
          <w:p w:rsidR="00000000" w:rsidRDefault="00703D2E">
            <w:pPr>
              <w:numPr>
                <w:ilvl w:val="0"/>
                <w:numId w:val="3"/>
              </w:numPr>
              <w:spacing w:before="100" w:beforeAutospacing="1" w:after="100" w:afterAutospacing="1"/>
              <w:jc w:val="both"/>
              <w:rPr>
                <w:rFonts w:eastAsia="Times New Roman"/>
              </w:rPr>
            </w:pPr>
            <w:r>
              <w:rPr>
                <w:rFonts w:eastAsia="Times New Roman"/>
              </w:rPr>
              <w:t>Efektifitas di dalam melakukan pembinaan dan koordinasi kegiatan statistik.</w:t>
            </w:r>
          </w:p>
          <w:p w:rsidR="00000000" w:rsidRDefault="00703D2E">
            <w:pPr>
              <w:numPr>
                <w:ilvl w:val="0"/>
                <w:numId w:val="3"/>
              </w:numPr>
              <w:spacing w:before="100" w:beforeAutospacing="1" w:after="100" w:afterAutospacing="1"/>
              <w:jc w:val="both"/>
              <w:rPr>
                <w:rFonts w:eastAsia="Times New Roman"/>
              </w:rPr>
            </w:pPr>
            <w:r>
              <w:rPr>
                <w:rFonts w:eastAsia="Times New Roman"/>
              </w:rPr>
              <w:t xml:space="preserve">Kualitas dari proses tata kelola (governance) di dalam </w:t>
            </w:r>
            <w:r>
              <w:rPr>
                <w:rFonts w:eastAsia="Times New Roman"/>
              </w:rPr>
              <w:t>organisasinya.</w:t>
            </w:r>
          </w:p>
          <w:p w:rsidR="00000000" w:rsidRDefault="00703D2E">
            <w:pPr>
              <w:jc w:val="both"/>
              <w:rPr>
                <w:rFonts w:eastAsia="Times New Roman"/>
              </w:rPr>
            </w:pPr>
            <w:r>
              <w:rPr>
                <w:rFonts w:eastAsia="Times New Roman"/>
              </w:rPr>
              <w:t xml:space="preserve">Untuk mencapai tujuan strategis tersebut diwadahi dalam sejumlah program, yakni: </w:t>
            </w:r>
          </w:p>
          <w:p w:rsidR="00000000" w:rsidRDefault="00703D2E">
            <w:pPr>
              <w:numPr>
                <w:ilvl w:val="0"/>
                <w:numId w:val="4"/>
              </w:numPr>
              <w:spacing w:before="100" w:beforeAutospacing="1" w:after="100" w:afterAutospacing="1"/>
              <w:jc w:val="both"/>
              <w:rPr>
                <w:rFonts w:eastAsia="Times New Roman"/>
              </w:rPr>
            </w:pPr>
            <w:r>
              <w:rPr>
                <w:rFonts w:eastAsia="Times New Roman"/>
              </w:rPr>
              <w:t>Program Penyediaan dan Pelayanan Informasi Statistik (PPIS)</w:t>
            </w:r>
            <w:r>
              <w:rPr>
                <w:rFonts w:eastAsia="Times New Roman"/>
              </w:rPr>
              <w:t>.</w:t>
            </w:r>
            <w:r>
              <w:rPr>
                <w:rFonts w:eastAsia="Times New Roman"/>
              </w:rPr>
              <w:t xml:space="preserve"> Program ini bertujuan untuk menyediakan dan memberikan pelayanan informasi statistik yang berkuali</w:t>
            </w:r>
            <w:r>
              <w:rPr>
                <w:rFonts w:eastAsia="Times New Roman"/>
              </w:rPr>
              <w:t>tas dalam rangka memenuhi kebutuhan pengguna data. Untuk menyediakan data dan informasi statistik tersebut, BPS secara berkesinambungan melakukan penyempurnaan dan pengembangan kegiatan pengumpulan, pengolahan, pengkajian dan analisis, serta diseminasi dat</w:t>
            </w:r>
            <w:r>
              <w:rPr>
                <w:rFonts w:eastAsia="Times New Roman"/>
              </w:rPr>
              <w:t>a dan informasi statistik.</w:t>
            </w:r>
          </w:p>
          <w:p w:rsidR="00000000" w:rsidRDefault="00703D2E">
            <w:pPr>
              <w:numPr>
                <w:ilvl w:val="0"/>
                <w:numId w:val="4"/>
              </w:numPr>
              <w:spacing w:before="100" w:beforeAutospacing="1" w:after="100" w:afterAutospacing="1"/>
              <w:jc w:val="both"/>
              <w:rPr>
                <w:rFonts w:eastAsia="Times New Roman"/>
              </w:rPr>
            </w:pPr>
            <w:r>
              <w:rPr>
                <w:rFonts w:eastAsia="Times New Roman"/>
              </w:rPr>
              <w:t>Program Dukungan Manajemen BPS</w:t>
            </w:r>
            <w:r>
              <w:rPr>
                <w:rFonts w:eastAsia="Times New Roman"/>
              </w:rPr>
              <w:t>.</w:t>
            </w:r>
            <w:r>
              <w:rPr>
                <w:rFonts w:eastAsia="Times New Roman"/>
              </w:rPr>
              <w:t xml:space="preserve"> Program generik BPS ini bertujuan untuk memberi dukungan manajemen dan kelancaran pelaksanaan kegiatan teknis di bidang penyediaan data </w:t>
            </w:r>
            <w:r>
              <w:rPr>
                <w:rFonts w:eastAsia="Times New Roman"/>
              </w:rPr>
              <w:t xml:space="preserve">dan informasi statistik yang berkualitas. Dasar kebijaksanaan dalam program ini diarahkan untuk : </w:t>
            </w:r>
          </w:p>
          <w:p w:rsidR="00000000" w:rsidRDefault="00703D2E">
            <w:pPr>
              <w:numPr>
                <w:ilvl w:val="1"/>
                <w:numId w:val="4"/>
              </w:numPr>
              <w:spacing w:before="100" w:beforeAutospacing="1" w:after="100" w:afterAutospacing="1"/>
              <w:jc w:val="both"/>
              <w:rPr>
                <w:rFonts w:eastAsia="Times New Roman"/>
              </w:rPr>
            </w:pPr>
            <w:r>
              <w:rPr>
                <w:rFonts w:eastAsia="Times New Roman"/>
              </w:rPr>
              <w:t xml:space="preserve">Kegiatan peningkatan kapasitas SDM statistik yang unggul melalui sekolah kedinasan dan pusat pendidikan pelatihan; </w:t>
            </w:r>
          </w:p>
          <w:p w:rsidR="00000000" w:rsidRDefault="00703D2E">
            <w:pPr>
              <w:numPr>
                <w:ilvl w:val="1"/>
                <w:numId w:val="4"/>
              </w:numPr>
              <w:spacing w:before="100" w:beforeAutospacing="1" w:after="100" w:afterAutospacing="1"/>
              <w:jc w:val="both"/>
              <w:rPr>
                <w:rFonts w:eastAsia="Times New Roman"/>
              </w:rPr>
            </w:pPr>
            <w:r>
              <w:rPr>
                <w:rFonts w:eastAsia="Times New Roman"/>
              </w:rPr>
              <w:t>Kegiatan operasional penyelenggaraan lemb</w:t>
            </w:r>
            <w:r>
              <w:rPr>
                <w:rFonts w:eastAsia="Times New Roman"/>
              </w:rPr>
              <w:t>aga seperti perencanaan program dan kegiatan, pemantauan dan evaluasi kegiatan, penyediaan alokasi gaji pegawai, dan peningkatan fungsi kehumasan;</w:t>
            </w:r>
          </w:p>
          <w:p w:rsidR="00000000" w:rsidRDefault="00703D2E">
            <w:pPr>
              <w:numPr>
                <w:ilvl w:val="1"/>
                <w:numId w:val="4"/>
              </w:numPr>
              <w:spacing w:before="100" w:beforeAutospacing="1" w:after="100" w:afterAutospacing="1"/>
              <w:jc w:val="both"/>
              <w:rPr>
                <w:rFonts w:eastAsia="Times New Roman"/>
              </w:rPr>
            </w:pPr>
            <w:r>
              <w:rPr>
                <w:rFonts w:eastAsia="Times New Roman"/>
              </w:rPr>
              <w:t>Memelihara dan meningkatkan sarana dan prasarana fisik yang telah ada di BPS, antara lain kenyamanan dan kele</w:t>
            </w:r>
            <w:r>
              <w:rPr>
                <w:rFonts w:eastAsia="Times New Roman"/>
              </w:rPr>
              <w:t>ngkapan fasilitas ruang kerja, serta penyediaan rumah dinas dan sarana transportasi untuk pusat dan daerah;</w:t>
            </w:r>
          </w:p>
          <w:p w:rsidR="00000000" w:rsidRDefault="00703D2E">
            <w:pPr>
              <w:numPr>
                <w:ilvl w:val="1"/>
                <w:numId w:val="4"/>
              </w:numPr>
              <w:spacing w:before="100" w:beforeAutospacing="1" w:after="100" w:afterAutospacing="1"/>
              <w:jc w:val="both"/>
              <w:rPr>
                <w:rFonts w:eastAsia="Times New Roman"/>
              </w:rPr>
            </w:pPr>
            <w:r>
              <w:rPr>
                <w:rFonts w:eastAsia="Times New Roman"/>
              </w:rPr>
              <w:t>Melakukan pengawasan dan pemeriksaan terhadap pelaksanaan kegiatan, pengelolaan administrasi keuangan dan administrasi barang di seluruh satuan kerj</w:t>
            </w:r>
            <w:r>
              <w:rPr>
                <w:rFonts w:eastAsia="Times New Roman"/>
              </w:rPr>
              <w:t>a BPS Pusat maupun Daerah</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lastRenderedPageBreak/>
              <w:t>Pendekatan Penyusunan Laporan Keuangan</w:t>
            </w:r>
            <w:r>
              <w:rPr>
                <w:rFonts w:eastAsia="Times New Roman"/>
              </w:rPr>
              <w:t xml:space="preserve"> </w:t>
            </w:r>
          </w:p>
        </w:tc>
        <w:tc>
          <w:tcPr>
            <w:tcW w:w="0" w:type="auto"/>
            <w:vAlign w:val="center"/>
            <w:hideMark/>
          </w:tcPr>
          <w:p w:rsidR="00000000" w:rsidRDefault="00703D2E">
            <w:pPr>
              <w:pStyle w:val="Heading4"/>
              <w:jc w:val="both"/>
              <w:rPr>
                <w:rFonts w:eastAsia="Times New Roman"/>
                <w:color w:val="00008B"/>
              </w:rPr>
            </w:pPr>
            <w:r>
              <w:rPr>
                <w:rFonts w:eastAsia="Times New Roman"/>
                <w:color w:val="00008B"/>
              </w:rPr>
              <w:t xml:space="preserve">A.3. Pendekatan Penyusunan Laporan Keuangan </w:t>
            </w:r>
          </w:p>
          <w:p w:rsidR="00000000" w:rsidRDefault="00703D2E">
            <w:pPr>
              <w:jc w:val="both"/>
              <w:rPr>
                <w:rFonts w:eastAsia="Times New Roman"/>
              </w:rPr>
            </w:pPr>
          </w:p>
          <w:p w:rsidR="00000000" w:rsidRDefault="00703D2E">
            <w:pPr>
              <w:pStyle w:val="NormalWeb"/>
              <w:jc w:val="both"/>
            </w:pPr>
            <w:r>
              <w:t xml:space="preserve">Laporan Keuangan Untuk Periode yang Berakhir 30 Juni 2022 ini merupakan laporan yang mencakup seluruh aspek keuangan yang dikelola oleh Badan </w:t>
            </w:r>
            <w:r>
              <w:t xml:space="preserve">Pusat Statistik Wilayah Jambi. Laporan ini dihasilkan melalui Sistem Akuntansi Instansi (SAI) yaitu serangkaian prosedur manual maupun yang terkomputerisasi mulai dari pengumpulan data, pencatatan dan pengikhtisaran sampai dengan pelaporan posisi keuangan </w:t>
            </w:r>
            <w:r>
              <w:t xml:space="preserve">dan operasi keuangan pada Kementerian Negara/Lembaga. </w:t>
            </w:r>
          </w:p>
          <w:p w:rsidR="00000000" w:rsidRDefault="00703D2E">
            <w:pPr>
              <w:pStyle w:val="NormalWeb"/>
              <w:jc w:val="both"/>
            </w:pPr>
            <w:r>
              <w:t>Laporan Keuangan Badan Pusat Statistik Wilayah Jambi Untuk Periode yang Berakhir 30 Juni 2022 ini merupakan laporan konsolidasi dari seluruh jenjang struktural di bawah Badan Pusat Statistik Wilayah Ja</w:t>
            </w:r>
            <w:r>
              <w:t xml:space="preserve">mbi yang meliputi wilayah serta satuan kerja yang bertanggung jawab atas anggaran yang diberikan. </w:t>
            </w:r>
          </w:p>
          <w:p w:rsidR="00000000" w:rsidRDefault="00703D2E">
            <w:pPr>
              <w:pStyle w:val="NormalWeb"/>
              <w:jc w:val="both"/>
            </w:pPr>
            <w:r>
              <w:t xml:space="preserve">Jumlah satuan kerja di lingkup Badan Pusat Statistik Wilayah Jambi adalah 12 satuan kerja. Rincian satuan kerja tersebut tersaji sebagai berikut: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Tabel 1 Re</w:t>
                  </w:r>
                  <w:r>
                    <w:rPr>
                      <w:rFonts w:eastAsia="Times New Roman"/>
                      <w:i/>
                      <w:iCs/>
                    </w:rPr>
                    <w:t xml:space="preserve">kapitulasi Jumlah Satker di lingkup Badan Pusat Statistik Wilayah Jambi </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
              <w:gridCol w:w="1058"/>
              <w:gridCol w:w="2587"/>
              <w:gridCol w:w="538"/>
              <w:gridCol w:w="576"/>
              <w:gridCol w:w="576"/>
              <w:gridCol w:w="498"/>
              <w:gridCol w:w="1206"/>
            </w:tblGrid>
            <w:tr w:rsidR="00000000">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No</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Kode Satker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Nama Satker</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Jumlah/Jenis Kewenangan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Jumlah Satker</w:t>
                  </w:r>
                </w:p>
              </w:tc>
            </w:tr>
            <w:tr w:rsidR="00000000">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b/>
                      <w:bC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b/>
                      <w:bC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KP</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KD</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DK</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TP</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b/>
                      <w:bCs/>
                    </w:rPr>
                  </w:pP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428145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Provinsi Jambi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428151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Kabupaten Bungo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428160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BPS </w:t>
                  </w:r>
                  <w:r>
                    <w:rPr>
                      <w:rFonts w:eastAsia="Times New Roman"/>
                    </w:rPr>
                    <w:t>Kabupaten Batanghari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428176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Kabupaten Tanjung Jabung Barat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428182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Kabupaten Sarolangun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428191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Kota Jambi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428202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Kabupaten Kerinci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637063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Kabupaten Merangin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637070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Kabupaten Muaro Jambi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637084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Kabupaten Tanjung Jabung Timur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637091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Kabupaten Tebo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689160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BPS Kota Sungai Penuh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1</w:t>
                  </w:r>
                </w:p>
              </w:tc>
            </w:tr>
            <w:tr w:rsidR="00000000">
              <w:tc>
                <w:tcPr>
                  <w:tcW w:w="0" w:type="auto"/>
                  <w:gridSpan w:val="3"/>
                  <w:tcBorders>
                    <w:top w:val="outset" w:sz="6" w:space="0" w:color="auto"/>
                    <w:left w:val="outset" w:sz="6" w:space="0" w:color="auto"/>
                    <w:bottom w:val="outset" w:sz="6" w:space="0" w:color="auto"/>
                    <w:right w:val="outset" w:sz="6" w:space="0" w:color="auto"/>
                  </w:tcBorders>
                  <w:shd w:val="clear" w:color="auto" w:fill="00EEFF"/>
                  <w:vAlign w:val="center"/>
                  <w:hideMark/>
                </w:tcPr>
                <w:p w:rsidR="00000000" w:rsidRDefault="00703D2E">
                  <w:pPr>
                    <w:rPr>
                      <w:rFonts w:eastAsia="Times New Roman"/>
                    </w:rPr>
                  </w:pPr>
                  <w:r>
                    <w:rPr>
                      <w:rFonts w:eastAsia="Times New Roman"/>
                    </w:rPr>
                    <w:lastRenderedPageBreak/>
                    <w:t>Jumlah</w:t>
                  </w:r>
                </w:p>
              </w:tc>
              <w:tc>
                <w:tcPr>
                  <w:tcW w:w="0" w:type="auto"/>
                  <w:tcBorders>
                    <w:top w:val="outset" w:sz="6" w:space="0" w:color="auto"/>
                    <w:left w:val="outset" w:sz="6" w:space="0" w:color="auto"/>
                    <w:bottom w:val="outset" w:sz="6" w:space="0" w:color="auto"/>
                    <w:right w:val="outset" w:sz="6" w:space="0" w:color="auto"/>
                  </w:tcBorders>
                  <w:shd w:val="clear" w:color="auto" w:fill="00EEFF"/>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00EEFF"/>
                  <w:vAlign w:val="center"/>
                  <w:hideMark/>
                </w:tcPr>
                <w:p w:rsidR="00000000" w:rsidRDefault="00703D2E">
                  <w:pPr>
                    <w:rPr>
                      <w:rFonts w:eastAsia="Times New Roman"/>
                    </w:rPr>
                  </w:pPr>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shd w:val="clear" w:color="auto" w:fill="00EEFF"/>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00EEFF"/>
                  <w:vAlign w:val="center"/>
                  <w:hideMark/>
                </w:tcPr>
                <w:p w:rsidR="00000000" w:rsidRDefault="00703D2E">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00EEFF"/>
                  <w:vAlign w:val="center"/>
                  <w:hideMark/>
                </w:tcPr>
                <w:p w:rsidR="00000000" w:rsidRDefault="00703D2E">
                  <w:pPr>
                    <w:rPr>
                      <w:rFonts w:eastAsia="Times New Roman"/>
                    </w:rPr>
                  </w:pPr>
                  <w:r>
                    <w:rPr>
                      <w:rFonts w:eastAsia="Times New Roman"/>
                    </w:rPr>
                    <w:t>12</w:t>
                  </w:r>
                </w:p>
              </w:tc>
            </w:tr>
          </w:tbl>
          <w:p w:rsidR="00000000" w:rsidRDefault="00703D2E">
            <w:pPr>
              <w:jc w:val="both"/>
              <w:rPr>
                <w:rFonts w:eastAsia="Times New Roman"/>
              </w:rPr>
            </w:pP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lastRenderedPageBreak/>
              <w:t>Basis Akuntansi</w:t>
            </w:r>
            <w:r>
              <w:rPr>
                <w:rFonts w:eastAsia="Times New Roman"/>
              </w:rPr>
              <w:t xml:space="preserve"> </w:t>
            </w:r>
          </w:p>
        </w:tc>
        <w:tc>
          <w:tcPr>
            <w:tcW w:w="0" w:type="auto"/>
            <w:vAlign w:val="center"/>
            <w:hideMark/>
          </w:tcPr>
          <w:p w:rsidR="00000000" w:rsidRDefault="00703D2E">
            <w:pPr>
              <w:pStyle w:val="Heading4"/>
              <w:jc w:val="both"/>
              <w:rPr>
                <w:rFonts w:eastAsia="Times New Roman"/>
                <w:color w:val="00008B"/>
              </w:rPr>
            </w:pPr>
            <w:r>
              <w:rPr>
                <w:rFonts w:eastAsia="Times New Roman"/>
                <w:color w:val="00008B"/>
              </w:rPr>
              <w:t xml:space="preserve">A.4. Basis Akuntansi </w:t>
            </w:r>
          </w:p>
          <w:p w:rsidR="00000000" w:rsidRDefault="00703D2E">
            <w:pPr>
              <w:jc w:val="both"/>
              <w:rPr>
                <w:rFonts w:eastAsia="Times New Roman"/>
              </w:rPr>
            </w:pPr>
          </w:p>
          <w:p w:rsidR="00000000" w:rsidRDefault="00703D2E">
            <w:pPr>
              <w:pStyle w:val="NormalWeb"/>
              <w:jc w:val="both"/>
            </w:pPr>
            <w:r>
              <w:t>Badan Pusat Statistik Wilayah Jambi menerapkan basis akrual dalam penyusunan dan penyajian Neraca, Laporan Operasional, dan Laporan Perubahan Ekuitas serta basis kas untuk penyusunan dan penyajian Laporan Realisasi Anggaran. Basis akrual adalah basis akunt</w:t>
            </w:r>
            <w:r>
              <w:t>ansi yang mengakui pengaruh transaksi dan peristiwa lainnya pada saat transaksi dan peristiwa itu terjadi, tanpa memperhatikan saat kas atau setara kas diterima atau dibayarkan. Sedangkan basis kas adalah basis akuntansi yang yang mengakui pengaruhi transa</w:t>
            </w:r>
            <w:r>
              <w:t xml:space="preserve">ksi atau peristiwa lainnya pada saat kas atau setara kas diterima atau dibayar. Hal ini sesuai dengan Standar Akuntansi Pemerintahan (SAP) yang telah ditetapkan dengan Peraturan Pemerintah Nomor 71 Tahun 2010 tentang Standar Akuntansi Pemerintahan.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t>Dasar</w:t>
            </w:r>
            <w:r>
              <w:rPr>
                <w:rFonts w:eastAsia="Times New Roman"/>
              </w:rPr>
              <w:t xml:space="preserve"> Pengukuran</w:t>
            </w:r>
            <w:r>
              <w:rPr>
                <w:rFonts w:eastAsia="Times New Roman"/>
              </w:rPr>
              <w:t xml:space="preserve"> </w:t>
            </w:r>
          </w:p>
        </w:tc>
        <w:tc>
          <w:tcPr>
            <w:tcW w:w="0" w:type="auto"/>
            <w:vAlign w:val="center"/>
            <w:hideMark/>
          </w:tcPr>
          <w:p w:rsidR="00000000" w:rsidRDefault="00703D2E">
            <w:pPr>
              <w:pStyle w:val="Heading4"/>
              <w:jc w:val="both"/>
              <w:rPr>
                <w:rFonts w:eastAsia="Times New Roman"/>
                <w:color w:val="00008B"/>
              </w:rPr>
            </w:pPr>
            <w:r>
              <w:rPr>
                <w:rFonts w:eastAsia="Times New Roman"/>
                <w:color w:val="00008B"/>
              </w:rPr>
              <w:t xml:space="preserve">A.5. Dasar Pengukuran </w:t>
            </w:r>
          </w:p>
          <w:p w:rsidR="00000000" w:rsidRDefault="00703D2E">
            <w:pPr>
              <w:jc w:val="both"/>
              <w:rPr>
                <w:rFonts w:eastAsia="Times New Roman"/>
              </w:rPr>
            </w:pPr>
          </w:p>
          <w:p w:rsidR="00000000" w:rsidRDefault="00703D2E">
            <w:pPr>
              <w:pStyle w:val="NormalWeb"/>
              <w:jc w:val="both"/>
            </w:pPr>
            <w:r>
              <w:t>Pengukuran adalah proses penetapan nilai uang untuk mengakui dan memasukkan setiap pos dalam laporan keuangan. Dasar pengukuran yang diterapkan Badan Pusat Statistik Wilayah Jambi dalam penyusunan dan penyajian Laporan</w:t>
            </w:r>
            <w:r>
              <w:t xml:space="preserve"> Keuangan adalah dengan menggunakan nilai perolehan historis. </w:t>
            </w:r>
          </w:p>
          <w:p w:rsidR="00000000" w:rsidRDefault="00703D2E">
            <w:pPr>
              <w:pStyle w:val="NormalWeb"/>
              <w:jc w:val="both"/>
            </w:pPr>
            <w:r>
              <w:t>Aset dicatat sebesar pengeluaran/penggunaan sumber daya ekonomi atau sebesar nilai wajar dari imbalan yang diberikan untuk memperoleh aset tersebut. Kewajiban dicatat sebesar nilai wajar sumber</w:t>
            </w:r>
            <w:r>
              <w:t xml:space="preserve"> daya ekonomi yang digunakan pemerintah untuk memenuhi kewajiban yang bersangkutan. </w:t>
            </w:r>
          </w:p>
          <w:p w:rsidR="00000000" w:rsidRDefault="00703D2E">
            <w:pPr>
              <w:pStyle w:val="NormalWeb"/>
              <w:jc w:val="both"/>
            </w:pPr>
            <w:r>
              <w:t>Pengukuran pos-pos laporan keuangan menggunakan mata uang rupiah. Transaksi yang menggunakan mata uang asing ditranslasi terlebih dahulu dan dinyatakan dalam mata uang rup</w:t>
            </w:r>
            <w:r>
              <w:t xml:space="preserve">iah.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t>Kebijakan Akuntansi</w:t>
            </w:r>
            <w:r>
              <w:rPr>
                <w:rFonts w:eastAsia="Times New Roman"/>
              </w:rPr>
              <w:t xml:space="preserve"> </w:t>
            </w:r>
          </w:p>
        </w:tc>
        <w:tc>
          <w:tcPr>
            <w:tcW w:w="0" w:type="auto"/>
            <w:vAlign w:val="center"/>
            <w:hideMark/>
          </w:tcPr>
          <w:p w:rsidR="00000000" w:rsidRDefault="00703D2E">
            <w:pPr>
              <w:pStyle w:val="Heading4"/>
              <w:jc w:val="both"/>
              <w:rPr>
                <w:rFonts w:eastAsia="Times New Roman"/>
                <w:color w:val="00008B"/>
              </w:rPr>
            </w:pPr>
            <w:r>
              <w:rPr>
                <w:rFonts w:eastAsia="Times New Roman"/>
                <w:color w:val="00008B"/>
              </w:rPr>
              <w:t xml:space="preserve">A.6. Kebijakan Akuntansi </w:t>
            </w:r>
          </w:p>
          <w:p w:rsidR="00000000" w:rsidRDefault="00703D2E">
            <w:pPr>
              <w:jc w:val="both"/>
              <w:rPr>
                <w:rFonts w:eastAsia="Times New Roman"/>
              </w:rPr>
            </w:pPr>
          </w:p>
          <w:p w:rsidR="00000000" w:rsidRDefault="00703D2E">
            <w:pPr>
              <w:pStyle w:val="NormalWeb"/>
              <w:jc w:val="both"/>
            </w:pPr>
            <w:r>
              <w:t xml:space="preserve">Penyusunan dan penyajian Laporan Keuangan Badan Pusat Statistik Wilayah Jambi Untuk Periode yang Berakhir 30 Juni </w:t>
            </w:r>
            <w:r>
              <w:t xml:space="preserve">2022 telah mengacu pada Standar Akuntansi Pemerintahan (SAP). Kebijakan akuntansi merupakan prinsip-prinsip, dasar-dasar, konvensi-konvensi, aturan-aturan, dan praktik-praktik spesifik yang dipilih oleh suatu entitas pelaporan dalam penyusunan dan </w:t>
            </w:r>
            <w:r>
              <w:lastRenderedPageBreak/>
              <w:t>penyajia</w:t>
            </w:r>
            <w:r>
              <w:t xml:space="preserve">n laporan keuangan. Kebijakan akuntansi yang diterapkan dalam laporan keuangan ini adalah kebijakan yang ditetapkan oleh Badan Pusat Statistik. Disamping itu, dalam penyusunannya telah diterapkan kaidah-kaidah pengelolaan keuangan yang sehat di lingkungan </w:t>
            </w:r>
            <w:r>
              <w:t xml:space="preserve">pemerintahan. </w:t>
            </w:r>
          </w:p>
          <w:p w:rsidR="00000000" w:rsidRDefault="00703D2E">
            <w:pPr>
              <w:pStyle w:val="NormalWeb"/>
              <w:jc w:val="both"/>
            </w:pPr>
            <w:r>
              <w:t xml:space="preserve">Kebijakan-kebijakan akuntansi penting yang digunakan dalam penyusunan Laporan Keuangan Badan Pusat Statistik Wilayah Jambi Untuk Periode yang Berakhir 30 Juni 2022 adalah sebagai berikut: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lastRenderedPageBreak/>
              <w:t>Pendapatan- LRA</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(1) Pendapatan- LRA</w:t>
            </w:r>
          </w:p>
          <w:p w:rsidR="00000000" w:rsidRDefault="00703D2E">
            <w:pPr>
              <w:numPr>
                <w:ilvl w:val="0"/>
                <w:numId w:val="5"/>
              </w:numPr>
              <w:spacing w:before="100" w:beforeAutospacing="1" w:after="100" w:afterAutospacing="1"/>
              <w:jc w:val="both"/>
              <w:rPr>
                <w:rFonts w:eastAsia="Times New Roman"/>
              </w:rPr>
            </w:pPr>
            <w:r>
              <w:rPr>
                <w:rFonts w:eastAsia="Times New Roman"/>
              </w:rPr>
              <w:t>Pendapatan-LRA</w:t>
            </w:r>
            <w:r>
              <w:rPr>
                <w:rFonts w:eastAsia="Times New Roman"/>
              </w:rPr>
              <w:t xml:space="preserve"> diakui pada saat kas diterima pada Kas Umum Negara (KUN). </w:t>
            </w:r>
          </w:p>
          <w:p w:rsidR="00000000" w:rsidRDefault="00703D2E">
            <w:pPr>
              <w:numPr>
                <w:ilvl w:val="0"/>
                <w:numId w:val="5"/>
              </w:numPr>
              <w:spacing w:before="100" w:beforeAutospacing="1" w:after="100" w:afterAutospacing="1"/>
              <w:jc w:val="both"/>
              <w:rPr>
                <w:rFonts w:eastAsia="Times New Roman"/>
              </w:rPr>
            </w:pPr>
            <w:r>
              <w:rPr>
                <w:rFonts w:eastAsia="Times New Roman"/>
              </w:rPr>
              <w:t xml:space="preserve">Akuntansi pendapatan-LRA dilaksanakan berdasarkan azas bruto, yaitu dengan membukukan penerimaan bruto, dan tidak mencatat jumlah nettonya (setelah dikompensasikan dengan pengeluaran). </w:t>
            </w:r>
          </w:p>
          <w:p w:rsidR="00000000" w:rsidRDefault="00703D2E">
            <w:pPr>
              <w:numPr>
                <w:ilvl w:val="0"/>
                <w:numId w:val="5"/>
              </w:numPr>
              <w:spacing w:before="100" w:beforeAutospacing="1" w:after="100" w:afterAutospacing="1"/>
              <w:jc w:val="both"/>
              <w:rPr>
                <w:rFonts w:eastAsia="Times New Roman"/>
              </w:rPr>
            </w:pPr>
            <w:r>
              <w:rPr>
                <w:rFonts w:eastAsia="Times New Roman"/>
              </w:rPr>
              <w:t xml:space="preserve">Pendapatan-LRA disajikan menurut klasifikasi sumber pendapatan.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t>Pendapatan LO</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 xml:space="preserve">(2) Pendapatan- LO </w:t>
            </w:r>
          </w:p>
          <w:p w:rsidR="00000000" w:rsidRDefault="00703D2E">
            <w:pPr>
              <w:numPr>
                <w:ilvl w:val="0"/>
                <w:numId w:val="6"/>
              </w:numPr>
              <w:spacing w:before="100" w:beforeAutospacing="1" w:after="100" w:afterAutospacing="1"/>
              <w:jc w:val="both"/>
              <w:rPr>
                <w:rFonts w:eastAsia="Times New Roman"/>
              </w:rPr>
            </w:pPr>
            <w:r>
              <w:rPr>
                <w:rFonts w:eastAsia="Times New Roman"/>
              </w:rPr>
              <w:t>Pendapatan-LO adalah hak pemerintah pusat yang diakui sebagai penambah ekuitas dalam periode tahun anggaran yang bersangkutan dan tidak perlu dibayar kemba</w:t>
            </w:r>
            <w:r>
              <w:rPr>
                <w:rFonts w:eastAsia="Times New Roman"/>
              </w:rPr>
              <w:t>li.</w:t>
            </w:r>
          </w:p>
          <w:p w:rsidR="00000000" w:rsidRDefault="00703D2E">
            <w:pPr>
              <w:numPr>
                <w:ilvl w:val="0"/>
                <w:numId w:val="6"/>
              </w:numPr>
              <w:spacing w:before="100" w:beforeAutospacing="1" w:after="100" w:afterAutospacing="1"/>
              <w:jc w:val="both"/>
              <w:rPr>
                <w:rFonts w:eastAsia="Times New Roman"/>
              </w:rPr>
            </w:pPr>
            <w:r>
              <w:rPr>
                <w:rFonts w:eastAsia="Times New Roman"/>
              </w:rPr>
              <w:t xml:space="preserve">Pendapatan-LO diakui pada saat timbulnya hak atas pendapatan dan /atau Pendapatan direalisasi, yaitu adanya aliran masuk sumber daya ekonomi. Secara khusus pengakuan pendapatan-LO pada Badan Pusat Statistik Wilayah Jambi adalah sebagai berikut: </w:t>
            </w:r>
          </w:p>
          <w:p w:rsidR="00000000" w:rsidRDefault="00703D2E">
            <w:pPr>
              <w:numPr>
                <w:ilvl w:val="1"/>
                <w:numId w:val="6"/>
              </w:numPr>
              <w:spacing w:before="100" w:beforeAutospacing="1" w:after="100" w:afterAutospacing="1"/>
              <w:jc w:val="both"/>
              <w:rPr>
                <w:rFonts w:eastAsia="Times New Roman"/>
              </w:rPr>
            </w:pPr>
            <w:r>
              <w:rPr>
                <w:rFonts w:eastAsia="Times New Roman"/>
              </w:rPr>
              <w:t>Pendap</w:t>
            </w:r>
            <w:r>
              <w:rPr>
                <w:rFonts w:eastAsia="Times New Roman"/>
              </w:rPr>
              <w:t xml:space="preserve">atan Jasa Pelatihan diakui setelah pelatihan selesai dilaksanakan. </w:t>
            </w:r>
          </w:p>
          <w:p w:rsidR="00000000" w:rsidRDefault="00703D2E">
            <w:pPr>
              <w:numPr>
                <w:ilvl w:val="1"/>
                <w:numId w:val="6"/>
              </w:numPr>
              <w:spacing w:before="100" w:beforeAutospacing="1" w:after="100" w:afterAutospacing="1"/>
              <w:jc w:val="both"/>
              <w:rPr>
                <w:rFonts w:eastAsia="Times New Roman"/>
              </w:rPr>
            </w:pPr>
            <w:r>
              <w:rPr>
                <w:rFonts w:eastAsia="Times New Roman"/>
              </w:rPr>
              <w:t xml:space="preserve">Pendapatan Sewa Gedung diakui secara proporsional antara nilai dan periode waktu sewa. </w:t>
            </w:r>
          </w:p>
          <w:p w:rsidR="00000000" w:rsidRDefault="00703D2E">
            <w:pPr>
              <w:numPr>
                <w:ilvl w:val="1"/>
                <w:numId w:val="6"/>
              </w:numPr>
              <w:spacing w:before="100" w:beforeAutospacing="1" w:after="100" w:afterAutospacing="1"/>
              <w:jc w:val="both"/>
              <w:rPr>
                <w:rFonts w:eastAsia="Times New Roman"/>
              </w:rPr>
            </w:pPr>
            <w:r>
              <w:rPr>
                <w:rFonts w:eastAsia="Times New Roman"/>
              </w:rPr>
              <w:t>Pendapatan Denda diakui pada saat dikeluarkannya surat keputusan denda atau dokumen lain yang dipers</w:t>
            </w:r>
            <w:r>
              <w:rPr>
                <w:rFonts w:eastAsia="Times New Roman"/>
              </w:rPr>
              <w:t xml:space="preserve">amakan. </w:t>
            </w:r>
          </w:p>
          <w:p w:rsidR="00000000" w:rsidRDefault="00703D2E">
            <w:pPr>
              <w:numPr>
                <w:ilvl w:val="0"/>
                <w:numId w:val="6"/>
              </w:numPr>
              <w:spacing w:before="100" w:beforeAutospacing="1" w:after="100" w:afterAutospacing="1"/>
              <w:jc w:val="both"/>
              <w:rPr>
                <w:rFonts w:eastAsia="Times New Roman"/>
              </w:rPr>
            </w:pPr>
            <w:r>
              <w:rPr>
                <w:rFonts w:eastAsia="Times New Roman"/>
              </w:rPr>
              <w:t xml:space="preserve">Akuntansi pendapatan-LO dilaksanakan berdasarkan azas bruto, yaitu dengan membukukan penerimaan bruto, dan tidak mencatat jumlah nettonya (setelah dikompensasikan dengan pengeluaran). </w:t>
            </w:r>
          </w:p>
          <w:p w:rsidR="00000000" w:rsidRDefault="00703D2E">
            <w:pPr>
              <w:numPr>
                <w:ilvl w:val="0"/>
                <w:numId w:val="6"/>
              </w:numPr>
              <w:spacing w:before="100" w:beforeAutospacing="1" w:after="100" w:afterAutospacing="1"/>
              <w:jc w:val="both"/>
              <w:rPr>
                <w:rFonts w:eastAsia="Times New Roman"/>
              </w:rPr>
            </w:pPr>
            <w:r>
              <w:rPr>
                <w:rFonts w:eastAsia="Times New Roman"/>
              </w:rPr>
              <w:t xml:space="preserve">Pendapatan disajikan menurut klasifikasi sumber pendapatan.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t>Belanj</w:t>
            </w:r>
            <w:r>
              <w:rPr>
                <w:rFonts w:eastAsia="Times New Roman"/>
              </w:rPr>
              <w:t>a</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(3) Belanja</w:t>
            </w:r>
          </w:p>
          <w:p w:rsidR="00000000" w:rsidRDefault="00703D2E">
            <w:pPr>
              <w:numPr>
                <w:ilvl w:val="0"/>
                <w:numId w:val="7"/>
              </w:numPr>
              <w:spacing w:before="100" w:beforeAutospacing="1" w:after="100" w:afterAutospacing="1"/>
              <w:jc w:val="both"/>
              <w:rPr>
                <w:rFonts w:eastAsia="Times New Roman"/>
              </w:rPr>
            </w:pPr>
            <w:r>
              <w:rPr>
                <w:rFonts w:eastAsia="Times New Roman"/>
              </w:rPr>
              <w:t xml:space="preserve">Belanja adalah semua pengeluaran dari Rekening Kas Umum Negara yang mengurangi Saldo Anggaran Lebih dalam peride tahun anggaran yang bersangkutan yang tidak akan diperoleh pembayarannya kembali oleh pemerintah. </w:t>
            </w:r>
          </w:p>
          <w:p w:rsidR="00000000" w:rsidRDefault="00703D2E">
            <w:pPr>
              <w:numPr>
                <w:ilvl w:val="0"/>
                <w:numId w:val="7"/>
              </w:numPr>
              <w:spacing w:before="100" w:beforeAutospacing="1" w:after="100" w:afterAutospacing="1"/>
              <w:jc w:val="both"/>
              <w:rPr>
                <w:rFonts w:eastAsia="Times New Roman"/>
              </w:rPr>
            </w:pPr>
            <w:r>
              <w:rPr>
                <w:rFonts w:eastAsia="Times New Roman"/>
              </w:rPr>
              <w:t>Belanja diakui pada saa</w:t>
            </w:r>
            <w:r>
              <w:rPr>
                <w:rFonts w:eastAsia="Times New Roman"/>
              </w:rPr>
              <w:t xml:space="preserve">t terjadi pengeluaran kas dari KUN. </w:t>
            </w:r>
          </w:p>
          <w:p w:rsidR="00000000" w:rsidRDefault="00703D2E">
            <w:pPr>
              <w:numPr>
                <w:ilvl w:val="0"/>
                <w:numId w:val="7"/>
              </w:numPr>
              <w:spacing w:before="100" w:beforeAutospacing="1" w:after="100" w:afterAutospacing="1"/>
              <w:jc w:val="both"/>
              <w:rPr>
                <w:rFonts w:eastAsia="Times New Roman"/>
              </w:rPr>
            </w:pPr>
            <w:r>
              <w:rPr>
                <w:rFonts w:eastAsia="Times New Roman"/>
              </w:rPr>
              <w:lastRenderedPageBreak/>
              <w:t xml:space="preserve">Khusus pengeluaran melalui bendahara pengeluaran, pengakuan belanja terjadi pada saat pertanggungjawaban atas pengeluaran tersebut disahkan oleh Kantor Pelayanan Perbendaharaan Negara (KPPN). </w:t>
            </w:r>
          </w:p>
          <w:p w:rsidR="00000000" w:rsidRDefault="00703D2E">
            <w:pPr>
              <w:numPr>
                <w:ilvl w:val="0"/>
                <w:numId w:val="7"/>
              </w:numPr>
              <w:spacing w:before="100" w:beforeAutospacing="1" w:after="100" w:afterAutospacing="1"/>
              <w:jc w:val="both"/>
              <w:rPr>
                <w:rFonts w:eastAsia="Times New Roman"/>
              </w:rPr>
            </w:pPr>
            <w:r>
              <w:rPr>
                <w:rFonts w:eastAsia="Times New Roman"/>
              </w:rPr>
              <w:t xml:space="preserve">Belanja disajikan menurut klasifikasi ekonomi/jenis belanja dan selanjutnya klasifikasi berdasarkan organisasi dan fungsi akan diungkapkan dalam Catatan atas Laporan Keuangan.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lastRenderedPageBreak/>
              <w:t>Beba</w:t>
            </w:r>
            <w:r>
              <w:rPr>
                <w:rFonts w:eastAsia="Times New Roman"/>
              </w:rPr>
              <w:t>n</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(4) Beban</w:t>
            </w:r>
          </w:p>
          <w:p w:rsidR="00000000" w:rsidRDefault="00703D2E">
            <w:pPr>
              <w:numPr>
                <w:ilvl w:val="0"/>
                <w:numId w:val="8"/>
              </w:numPr>
              <w:spacing w:before="100" w:beforeAutospacing="1" w:after="100" w:afterAutospacing="1"/>
              <w:jc w:val="both"/>
              <w:rPr>
                <w:rFonts w:eastAsia="Times New Roman"/>
              </w:rPr>
            </w:pPr>
            <w:r>
              <w:rPr>
                <w:rFonts w:eastAsia="Times New Roman"/>
              </w:rPr>
              <w:t>Beban adalah penurunan manfaat ekonomi atau potensi jasa dala</w:t>
            </w:r>
            <w:r>
              <w:rPr>
                <w:rFonts w:eastAsia="Times New Roman"/>
              </w:rPr>
              <w:t xml:space="preserve">m periode pelaporan yang menurunkan ekuitas, yang dapat berupa pengeluaran atau konsumsi aset atau timbulnya kewajiban. </w:t>
            </w:r>
          </w:p>
          <w:p w:rsidR="00000000" w:rsidRDefault="00703D2E">
            <w:pPr>
              <w:numPr>
                <w:ilvl w:val="0"/>
                <w:numId w:val="8"/>
              </w:numPr>
              <w:spacing w:before="100" w:beforeAutospacing="1" w:after="100" w:afterAutospacing="1"/>
              <w:jc w:val="both"/>
              <w:rPr>
                <w:rFonts w:eastAsia="Times New Roman"/>
              </w:rPr>
            </w:pPr>
            <w:r>
              <w:rPr>
                <w:rFonts w:eastAsia="Times New Roman"/>
              </w:rPr>
              <w:t xml:space="preserve">Beban diakui pada saat timbulnya kewajiban; terjadinya konsumsi aset; terjadinya penurunan manfaat ekonomi atau potensi jasa. </w:t>
            </w:r>
          </w:p>
          <w:p w:rsidR="00000000" w:rsidRDefault="00703D2E">
            <w:pPr>
              <w:numPr>
                <w:ilvl w:val="0"/>
                <w:numId w:val="8"/>
              </w:numPr>
              <w:spacing w:before="100" w:beforeAutospacing="1" w:after="100" w:afterAutospacing="1"/>
              <w:jc w:val="both"/>
              <w:rPr>
                <w:rFonts w:eastAsia="Times New Roman"/>
              </w:rPr>
            </w:pPr>
            <w:r>
              <w:rPr>
                <w:rFonts w:eastAsia="Times New Roman"/>
              </w:rPr>
              <w:t>Beban di</w:t>
            </w:r>
            <w:r>
              <w:rPr>
                <w:rFonts w:eastAsia="Times New Roman"/>
              </w:rPr>
              <w:t xml:space="preserve">sajikan menurut klasifikasi ekonomi/jenis belanja dan selanjutnya klasifikasi berdasarkan organisasi dan fungsi diungkapkan dalam Catatan atas Laporan Keuangan.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t>Ase</w:t>
            </w:r>
            <w:r>
              <w:rPr>
                <w:rFonts w:eastAsia="Times New Roman"/>
              </w:rPr>
              <w:t>t</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(5) Aset</w:t>
            </w:r>
          </w:p>
          <w:p w:rsidR="00000000" w:rsidRDefault="00703D2E">
            <w:pPr>
              <w:pStyle w:val="NormalWeb"/>
              <w:jc w:val="both"/>
            </w:pPr>
            <w:r>
              <w:t xml:space="preserve">Aset diklasifikasikan menjadi Aset Lancar, Aset Tetap, Piutang Jangka Panjang </w:t>
            </w:r>
            <w:r>
              <w:t>dan Aset Lainnya.</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t>Aset Lancar</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 xml:space="preserve">a. Aset Lancar </w:t>
            </w:r>
          </w:p>
          <w:p w:rsidR="00000000" w:rsidRDefault="00703D2E">
            <w:pPr>
              <w:numPr>
                <w:ilvl w:val="0"/>
                <w:numId w:val="9"/>
              </w:numPr>
              <w:spacing w:before="100" w:beforeAutospacing="1" w:after="100" w:afterAutospacing="1"/>
              <w:jc w:val="both"/>
              <w:rPr>
                <w:rFonts w:eastAsia="Times New Roman"/>
              </w:rPr>
            </w:pPr>
            <w:r>
              <w:rPr>
                <w:rFonts w:eastAsia="Times New Roman"/>
              </w:rPr>
              <w:t xml:space="preserve">Kas disajikan di neraca dengan menggunakan nilai nominal. Kas dalam bentuk valuta asing disajikan di neraca dengan menggunakan kurs tengah BI pada tanggal neraca. </w:t>
            </w:r>
          </w:p>
          <w:p w:rsidR="00000000" w:rsidRDefault="00703D2E">
            <w:pPr>
              <w:numPr>
                <w:ilvl w:val="0"/>
                <w:numId w:val="9"/>
              </w:numPr>
              <w:spacing w:before="100" w:beforeAutospacing="1" w:after="100" w:afterAutospacing="1"/>
              <w:jc w:val="both"/>
              <w:rPr>
                <w:rFonts w:eastAsia="Times New Roman"/>
              </w:rPr>
            </w:pPr>
            <w:r>
              <w:rPr>
                <w:rFonts w:eastAsia="Times New Roman"/>
              </w:rPr>
              <w:t>Investasi Jangka Pendek BLU dalam bentuk sur</w:t>
            </w:r>
            <w:r>
              <w:rPr>
                <w:rFonts w:eastAsia="Times New Roman"/>
              </w:rPr>
              <w:t xml:space="preserve">at berharga disajikan sebesar nilai perolehan sedangkan investasi dalam bentuk deposito dicatat sebesar nilai nominal. </w:t>
            </w:r>
          </w:p>
          <w:p w:rsidR="00000000" w:rsidRDefault="00703D2E">
            <w:pPr>
              <w:numPr>
                <w:ilvl w:val="0"/>
                <w:numId w:val="9"/>
              </w:numPr>
              <w:spacing w:before="100" w:beforeAutospacing="1" w:after="100" w:afterAutospacing="1"/>
              <w:jc w:val="both"/>
              <w:rPr>
                <w:rFonts w:eastAsia="Times New Roman"/>
              </w:rPr>
            </w:pPr>
            <w:r>
              <w:rPr>
                <w:rFonts w:eastAsia="Times New Roman"/>
              </w:rPr>
              <w:t xml:space="preserve">Piutang diakui apabila menenuhi kriteria sebagai berikut: </w:t>
            </w:r>
          </w:p>
          <w:p w:rsidR="00000000" w:rsidRDefault="00703D2E">
            <w:pPr>
              <w:numPr>
                <w:ilvl w:val="1"/>
                <w:numId w:val="9"/>
              </w:numPr>
              <w:spacing w:before="100" w:beforeAutospacing="1" w:after="100" w:afterAutospacing="1"/>
              <w:jc w:val="both"/>
              <w:rPr>
                <w:rFonts w:eastAsia="Times New Roman"/>
              </w:rPr>
            </w:pPr>
            <w:r>
              <w:rPr>
                <w:rFonts w:eastAsia="Times New Roman"/>
              </w:rPr>
              <w:t>Piutang yang timbul dari Tuntutan Perbendaharaan/Ganti Rugi apabila telah tim</w:t>
            </w:r>
            <w:r>
              <w:rPr>
                <w:rFonts w:eastAsia="Times New Roman"/>
              </w:rPr>
              <w:t xml:space="preserve">bul hak yang didukung dengan Surat Keterangan Tanggung Jawab Mutlak dan/atau telah dikeluarkannya surat keputusan yang mempunyai kekuatan hukum tetap. </w:t>
            </w:r>
          </w:p>
          <w:p w:rsidR="00000000" w:rsidRDefault="00703D2E">
            <w:pPr>
              <w:numPr>
                <w:ilvl w:val="1"/>
                <w:numId w:val="9"/>
              </w:numPr>
              <w:spacing w:before="100" w:beforeAutospacing="1" w:after="100" w:afterAutospacing="1"/>
              <w:jc w:val="both"/>
              <w:rPr>
                <w:rFonts w:eastAsia="Times New Roman"/>
              </w:rPr>
            </w:pPr>
            <w:r>
              <w:rPr>
                <w:rFonts w:eastAsia="Times New Roman"/>
              </w:rPr>
              <w:t xml:space="preserve">Piutang yang timbul dari perikatan diakui apabila terdapat peristiwa yang menimbulkan hak tagih dan didukung dengan naskah perjanjian yang menyatakan hak dan kewajiban secara jelas serta jumlahnya bisa diukur dengan andal. </w:t>
            </w:r>
          </w:p>
          <w:p w:rsidR="00000000" w:rsidRDefault="00703D2E">
            <w:pPr>
              <w:numPr>
                <w:ilvl w:val="0"/>
                <w:numId w:val="9"/>
              </w:numPr>
              <w:spacing w:before="100" w:beforeAutospacing="1" w:after="100" w:afterAutospacing="1"/>
              <w:jc w:val="both"/>
              <w:rPr>
                <w:rFonts w:eastAsia="Times New Roman"/>
              </w:rPr>
            </w:pPr>
            <w:r>
              <w:rPr>
                <w:rFonts w:eastAsia="Times New Roman"/>
              </w:rPr>
              <w:t>Piutang disajikan dalam neraca p</w:t>
            </w:r>
            <w:r>
              <w:rPr>
                <w:rFonts w:eastAsia="Times New Roman"/>
              </w:rPr>
              <w:t xml:space="preserve">ada nilai yang dapat direalisasikan (net realizable value). Hal ini diwujudkan dengan membentuk penyisihan piutang tak tertagih. Penyisihan tersebut didasarkan atas </w:t>
            </w:r>
            <w:r>
              <w:rPr>
                <w:rFonts w:eastAsia="Times New Roman"/>
              </w:rPr>
              <w:lastRenderedPageBreak/>
              <w:t>kualitas piutang yang ditentukan berdasarkan jatuh tempo dan upaya penagihan yang dilakukan</w:t>
            </w:r>
            <w:r>
              <w:rPr>
                <w:rFonts w:eastAsia="Times New Roman"/>
              </w:rPr>
              <w:t xml:space="preserve"> pemerintah. Perhitungan penyisihannya adalah sebagai berikut: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66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Tabel 2</w:t>
                  </w:r>
                  <w:r>
                    <w:rPr>
                      <w:rFonts w:eastAsia="Times New Roman"/>
                      <w:i/>
                      <w:iCs/>
                    </w:rPr>
                    <w:br/>
                    <w:t>Rincian Penyisihan Piutang Berdasarkan Kualitas Piutang</w:t>
                  </w:r>
                </w:p>
              </w:tc>
            </w:tr>
          </w:tbl>
          <w:p w:rsidR="00000000" w:rsidRDefault="00703D2E">
            <w:pPr>
              <w:numPr>
                <w:ilvl w:val="0"/>
                <w:numId w:val="9"/>
              </w:numPr>
              <w:jc w:val="both"/>
              <w:rPr>
                <w:rFonts w:eastAsia="Times New Roman"/>
                <w:vanish/>
              </w:rPr>
            </w:pP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1"/>
              <w:gridCol w:w="4222"/>
              <w:gridCol w:w="1151"/>
            </w:tblGrid>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center"/>
                    <w:rPr>
                      <w:rFonts w:eastAsia="Times New Roman"/>
                      <w:b/>
                      <w:bCs/>
                    </w:rPr>
                  </w:pPr>
                  <w:r>
                    <w:rPr>
                      <w:rFonts w:eastAsia="Times New Roman"/>
                      <w:b/>
                      <w:bCs/>
                    </w:rPr>
                    <w:t xml:space="preserve">Kualitas Piutang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center"/>
                    <w:rPr>
                      <w:rFonts w:eastAsia="Times New Roman"/>
                      <w:b/>
                      <w:bCs/>
                    </w:rPr>
                  </w:pPr>
                  <w:r>
                    <w:rPr>
                      <w:rFonts w:eastAsia="Times New Roman"/>
                      <w:b/>
                      <w:bCs/>
                    </w:rPr>
                    <w:t xml:space="preserve">Uraian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center"/>
                    <w:rPr>
                      <w:rFonts w:eastAsia="Times New Roman"/>
                      <w:b/>
                      <w:bCs/>
                    </w:rPr>
                  </w:pPr>
                  <w:r>
                    <w:rPr>
                      <w:rFonts w:eastAsia="Times New Roman"/>
                      <w:b/>
                      <w:bCs/>
                    </w:rPr>
                    <w:t xml:space="preserve">Penyisihan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Lancar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Belum dilakukan pelunasan s.d. tanggal jatuh tempo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0,5%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Kurang Lancar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Satu</w:t>
                  </w:r>
                  <w:r>
                    <w:rPr>
                      <w:rFonts w:eastAsia="Times New Roman"/>
                    </w:rPr>
                    <w:t xml:space="preserve"> bulan terhitung sejak tanggal Surat Tagihan Pertama tidak dilakukan pelunasan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10%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Diragukan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Satu bulan terhitung sejak tanggal Surat Tagihan Kedua tidak dilakukan pelunasan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50%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Macet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numPr>
                      <w:ilvl w:val="1"/>
                      <w:numId w:val="10"/>
                    </w:numPr>
                    <w:spacing w:before="100" w:beforeAutospacing="1" w:after="100" w:afterAutospacing="1"/>
                    <w:ind w:left="720" w:hanging="360"/>
                    <w:rPr>
                      <w:rFonts w:eastAsia="Times New Roman"/>
                    </w:rPr>
                  </w:pPr>
                  <w:r>
                    <w:rPr>
                      <w:rFonts w:eastAsia="Times New Roman"/>
                    </w:rPr>
                    <w:t xml:space="preserve">Satu bulan terhitung sejak tanggal Surat Tagihan Ketiga tidak dilakukan pelunasan </w:t>
                  </w:r>
                </w:p>
                <w:p w:rsidR="00000000" w:rsidRDefault="00703D2E">
                  <w:pPr>
                    <w:numPr>
                      <w:ilvl w:val="1"/>
                      <w:numId w:val="10"/>
                    </w:numPr>
                    <w:spacing w:before="100" w:beforeAutospacing="1" w:after="100" w:afterAutospacing="1"/>
                    <w:ind w:left="720" w:hanging="360"/>
                    <w:rPr>
                      <w:rFonts w:eastAsia="Times New Roman"/>
                    </w:rPr>
                  </w:pPr>
                  <w:r>
                    <w:rPr>
                      <w:rFonts w:eastAsia="Times New Roman"/>
                    </w:rPr>
                    <w:t xml:space="preserve">Piutang telah diserahkan kepada Panitia Urusan Piutang Negara/DJKN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100% </w:t>
                  </w:r>
                </w:p>
              </w:tc>
            </w:tr>
          </w:tbl>
          <w:p w:rsidR="00000000" w:rsidRDefault="00703D2E">
            <w:pPr>
              <w:numPr>
                <w:ilvl w:val="0"/>
                <w:numId w:val="10"/>
              </w:numPr>
              <w:spacing w:before="100" w:beforeAutospacing="1" w:after="100" w:afterAutospacing="1"/>
              <w:jc w:val="both"/>
              <w:rPr>
                <w:rFonts w:eastAsia="Times New Roman"/>
              </w:rPr>
            </w:pPr>
            <w:r>
              <w:rPr>
                <w:rFonts w:eastAsia="Times New Roman"/>
              </w:rPr>
              <w:t>Tagihan Penjualan Angsuran (TPA) dan Tuntutan Perbedaharaan/Ganti Rugi (TP/TGR) yang akan jatuh te</w:t>
            </w:r>
            <w:r>
              <w:rPr>
                <w:rFonts w:eastAsia="Times New Roman"/>
              </w:rPr>
              <w:t xml:space="preserve">mpo 12 (dua belas) bulan setelah tanggal neraca disajikan sebagai Bagian Lancar TP/TGR atau Bagian Lancar TPA. </w:t>
            </w:r>
          </w:p>
          <w:p w:rsidR="00000000" w:rsidRDefault="00703D2E">
            <w:pPr>
              <w:numPr>
                <w:ilvl w:val="0"/>
                <w:numId w:val="10"/>
              </w:numPr>
              <w:spacing w:before="100" w:beforeAutospacing="1" w:after="100" w:afterAutospacing="1"/>
              <w:jc w:val="both"/>
              <w:rPr>
                <w:rFonts w:eastAsia="Times New Roman"/>
              </w:rPr>
            </w:pPr>
            <w:r>
              <w:rPr>
                <w:rFonts w:eastAsia="Times New Roman"/>
              </w:rPr>
              <w:t xml:space="preserve">Nilai Persediaan dicatat berdasarkan hasil inventarisasi fisik pada tanggal neraca dikalikan dengan: </w:t>
            </w:r>
          </w:p>
          <w:p w:rsidR="00000000" w:rsidRDefault="00703D2E">
            <w:pPr>
              <w:numPr>
                <w:ilvl w:val="1"/>
                <w:numId w:val="11"/>
              </w:numPr>
              <w:spacing w:before="100" w:beforeAutospacing="1" w:after="100" w:afterAutospacing="1"/>
              <w:jc w:val="both"/>
              <w:rPr>
                <w:rFonts w:eastAsia="Times New Roman"/>
              </w:rPr>
            </w:pPr>
            <w:r>
              <w:rPr>
                <w:rFonts w:eastAsia="Times New Roman"/>
              </w:rPr>
              <w:t>harga pembelian terakhir, apabila diperole</w:t>
            </w:r>
            <w:r>
              <w:rPr>
                <w:rFonts w:eastAsia="Times New Roman"/>
              </w:rPr>
              <w:t xml:space="preserve">h dengan pembelian; </w:t>
            </w:r>
          </w:p>
          <w:p w:rsidR="00000000" w:rsidRDefault="00703D2E">
            <w:pPr>
              <w:numPr>
                <w:ilvl w:val="1"/>
                <w:numId w:val="11"/>
              </w:numPr>
              <w:spacing w:before="100" w:beforeAutospacing="1" w:after="100" w:afterAutospacing="1"/>
              <w:jc w:val="both"/>
              <w:rPr>
                <w:rFonts w:eastAsia="Times New Roman"/>
              </w:rPr>
            </w:pPr>
            <w:r>
              <w:rPr>
                <w:rFonts w:eastAsia="Times New Roman"/>
              </w:rPr>
              <w:t xml:space="preserve">harga standar apabila diperoleh dengan memproduksi sendiri; </w:t>
            </w:r>
          </w:p>
          <w:p w:rsidR="00000000" w:rsidRDefault="00703D2E">
            <w:pPr>
              <w:numPr>
                <w:ilvl w:val="1"/>
                <w:numId w:val="11"/>
              </w:numPr>
              <w:spacing w:before="100" w:beforeAutospacing="1" w:after="100" w:afterAutospacing="1"/>
              <w:jc w:val="both"/>
              <w:rPr>
                <w:rFonts w:eastAsia="Times New Roman"/>
              </w:rPr>
            </w:pPr>
            <w:r>
              <w:rPr>
                <w:rFonts w:eastAsia="Times New Roman"/>
              </w:rPr>
              <w:t xml:space="preserve">harga wajar atau estimasi nilai penjualannya apabila diperoleh dengan cara lainnya. </w:t>
            </w:r>
          </w:p>
        </w:tc>
      </w:tr>
      <w:tr w:rsidR="00000000">
        <w:trPr>
          <w:divId w:val="1057515049"/>
          <w:tblCellSpacing w:w="15" w:type="dxa"/>
        </w:trPr>
        <w:tc>
          <w:tcPr>
            <w:tcW w:w="1500" w:type="dxa"/>
            <w:tcMar>
              <w:top w:w="180" w:type="dxa"/>
              <w:left w:w="15" w:type="dxa"/>
              <w:bottom w:w="180" w:type="dxa"/>
              <w:right w:w="15" w:type="dxa"/>
            </w:tcMar>
            <w:hideMark/>
          </w:tcPr>
          <w:p w:rsidR="00000000" w:rsidRDefault="00703D2E">
            <w:pPr>
              <w:jc w:val="both"/>
              <w:rPr>
                <w:rFonts w:eastAsia="Times New Roman"/>
              </w:rPr>
            </w:pPr>
            <w:r>
              <w:rPr>
                <w:rFonts w:eastAsia="Times New Roman"/>
              </w:rPr>
              <w:lastRenderedPageBreak/>
              <w:t>Aset Teta</w:t>
            </w:r>
            <w:r>
              <w:rPr>
                <w:rFonts w:eastAsia="Times New Roman"/>
              </w:rPr>
              <w:t>p</w:t>
            </w:r>
            <w:r>
              <w:rPr>
                <w:rFonts w:eastAsia="Times New Roman"/>
              </w:rPr>
              <w:t xml:space="preserve"> </w:t>
            </w:r>
          </w:p>
        </w:tc>
        <w:tc>
          <w:tcPr>
            <w:tcW w:w="0" w:type="auto"/>
            <w:tcMar>
              <w:top w:w="180" w:type="dxa"/>
              <w:left w:w="15" w:type="dxa"/>
              <w:bottom w:w="180" w:type="dxa"/>
              <w:right w:w="15" w:type="dxa"/>
            </w:tcMar>
            <w:vAlign w:val="center"/>
            <w:hideMark/>
          </w:tcPr>
          <w:p w:rsidR="00000000" w:rsidRDefault="00703D2E">
            <w:pPr>
              <w:pStyle w:val="Heading5"/>
              <w:jc w:val="both"/>
              <w:rPr>
                <w:rFonts w:eastAsia="Times New Roman"/>
                <w:color w:val="00008B"/>
              </w:rPr>
            </w:pPr>
            <w:r>
              <w:rPr>
                <w:rFonts w:eastAsia="Times New Roman"/>
                <w:color w:val="00008B"/>
              </w:rPr>
              <w:t xml:space="preserve">b. Aset Tetap </w:t>
            </w:r>
          </w:p>
          <w:p w:rsidR="00000000" w:rsidRDefault="00703D2E">
            <w:pPr>
              <w:numPr>
                <w:ilvl w:val="0"/>
                <w:numId w:val="12"/>
              </w:numPr>
              <w:spacing w:before="100" w:beforeAutospacing="1" w:after="100" w:afterAutospacing="1"/>
              <w:jc w:val="both"/>
              <w:rPr>
                <w:rFonts w:eastAsia="Times New Roman"/>
              </w:rPr>
            </w:pPr>
            <w:r>
              <w:rPr>
                <w:rFonts w:eastAsia="Times New Roman"/>
              </w:rPr>
              <w:t xml:space="preserve">Aset tetap mencakup seluruh aset berwujud yang dimanfaatkan oleh pemerintah maupun untuk kepentingan publik yang mempunyai masa manfaat lebih dari 1 tahun. </w:t>
            </w:r>
          </w:p>
          <w:p w:rsidR="00000000" w:rsidRDefault="00703D2E">
            <w:pPr>
              <w:numPr>
                <w:ilvl w:val="0"/>
                <w:numId w:val="12"/>
              </w:numPr>
              <w:spacing w:before="100" w:beforeAutospacing="1" w:after="100" w:afterAutospacing="1"/>
              <w:jc w:val="both"/>
              <w:rPr>
                <w:rFonts w:eastAsia="Times New Roman"/>
              </w:rPr>
            </w:pPr>
            <w:r>
              <w:rPr>
                <w:rFonts w:eastAsia="Times New Roman"/>
              </w:rPr>
              <w:t xml:space="preserve">Nilai Aset tetap disajikan berdasarkan harga perolehan atau harga wajar. </w:t>
            </w:r>
          </w:p>
          <w:p w:rsidR="00000000" w:rsidRDefault="00703D2E">
            <w:pPr>
              <w:numPr>
                <w:ilvl w:val="0"/>
                <w:numId w:val="12"/>
              </w:numPr>
              <w:spacing w:before="100" w:beforeAutospacing="1" w:after="100" w:afterAutospacing="1"/>
              <w:jc w:val="both"/>
              <w:rPr>
                <w:rFonts w:eastAsia="Times New Roman"/>
              </w:rPr>
            </w:pPr>
            <w:r>
              <w:rPr>
                <w:rFonts w:eastAsia="Times New Roman"/>
              </w:rPr>
              <w:lastRenderedPageBreak/>
              <w:t>Pengakuan aset tetap dida</w:t>
            </w:r>
            <w:r>
              <w:rPr>
                <w:rFonts w:eastAsia="Times New Roman"/>
              </w:rPr>
              <w:t xml:space="preserve">sarkan pada nilai satuan minimum kapitalisasi sebagai berikut: </w:t>
            </w:r>
          </w:p>
          <w:p w:rsidR="00000000" w:rsidRDefault="00703D2E">
            <w:pPr>
              <w:numPr>
                <w:ilvl w:val="1"/>
                <w:numId w:val="12"/>
              </w:numPr>
              <w:spacing w:before="100" w:beforeAutospacing="1" w:after="100" w:afterAutospacing="1"/>
              <w:jc w:val="both"/>
              <w:rPr>
                <w:rFonts w:eastAsia="Times New Roman"/>
              </w:rPr>
            </w:pPr>
            <w:r>
              <w:rPr>
                <w:rFonts w:eastAsia="Times New Roman"/>
              </w:rPr>
              <w:t xml:space="preserve">Pengeluaran untuk per satuan peralatan dan mesin dan peralatan olah raga yang nilainya sama dengan atau lebih dari Rp1.000.000 (satu juta ribu rupiah); </w:t>
            </w:r>
          </w:p>
          <w:p w:rsidR="00000000" w:rsidRDefault="00703D2E">
            <w:pPr>
              <w:numPr>
                <w:ilvl w:val="1"/>
                <w:numId w:val="12"/>
              </w:numPr>
              <w:spacing w:before="100" w:beforeAutospacing="1" w:after="100" w:afterAutospacing="1"/>
              <w:jc w:val="both"/>
              <w:rPr>
                <w:rFonts w:eastAsia="Times New Roman"/>
              </w:rPr>
            </w:pPr>
            <w:r>
              <w:rPr>
                <w:rFonts w:eastAsia="Times New Roman"/>
              </w:rPr>
              <w:t>Pengeluaran untuk gedung dan bangunan y</w:t>
            </w:r>
            <w:r>
              <w:rPr>
                <w:rFonts w:eastAsia="Times New Roman"/>
              </w:rPr>
              <w:t xml:space="preserve">ang nilainya sama dengan atau lebih dari Rp25.000.000 (dua puluh lima juta rupiah); </w:t>
            </w:r>
          </w:p>
          <w:p w:rsidR="00000000" w:rsidRDefault="00703D2E">
            <w:pPr>
              <w:numPr>
                <w:ilvl w:val="1"/>
                <w:numId w:val="12"/>
              </w:numPr>
              <w:spacing w:before="100" w:beforeAutospacing="1" w:after="100" w:afterAutospacing="1"/>
              <w:jc w:val="both"/>
              <w:rPr>
                <w:rFonts w:eastAsia="Times New Roman"/>
              </w:rPr>
            </w:pPr>
            <w:r>
              <w:rPr>
                <w:rFonts w:eastAsia="Times New Roman"/>
              </w:rPr>
              <w:t>Pengeluaran yang tidak tercakup dalam batasan nilai minimum kapitalisasi tersebut di atas, diperlakukan sebagai biaya kecuali pengeluaran untuk tanah, jalan/irigasi/jaring</w:t>
            </w:r>
            <w:r>
              <w:rPr>
                <w:rFonts w:eastAsia="Times New Roman"/>
              </w:rPr>
              <w:t xml:space="preserve">an, dan aset tetap lainnya berupa koleksi perpustakaan dan barang bercorak kesenian. </w:t>
            </w:r>
          </w:p>
          <w:p w:rsidR="00000000" w:rsidRDefault="00703D2E">
            <w:pPr>
              <w:numPr>
                <w:ilvl w:val="0"/>
                <w:numId w:val="12"/>
              </w:numPr>
              <w:spacing w:before="100" w:beforeAutospacing="1" w:after="100" w:afterAutospacing="1"/>
              <w:jc w:val="both"/>
              <w:rPr>
                <w:rFonts w:eastAsia="Times New Roman"/>
              </w:rPr>
            </w:pPr>
            <w:r>
              <w:rPr>
                <w:rFonts w:eastAsia="Times New Roman"/>
              </w:rPr>
              <w:t>Pada Tahun 2017 dan 2018, Pemerintah melakukan penilaian kembali (revaluasi) berdasarkan Peraturan Presiden Republik Indonesia Nomor 75 Tahun 2017 tentang Penilaian Kemba</w:t>
            </w:r>
            <w:r>
              <w:rPr>
                <w:rFonts w:eastAsia="Times New Roman"/>
              </w:rPr>
              <w:t>li Barang Milik Negara/Daerah. Revaluasi dilakukan terhadap aset tetap berupa Tanah, Gedung dan Bangunan, serta Jalan, Jaringan, dan Irigasi pada Kementrian Negara/Lembaga sesuai kodefikasi Barang Milik Negara yang diperoleh sampai dengan 31 Desember 2015.</w:t>
            </w:r>
            <w:r>
              <w:rPr>
                <w:rFonts w:eastAsia="Times New Roman"/>
              </w:rPr>
              <w:t xml:space="preserve"> Pelaksanaan revaluasi dilakukan dengan pendekatan pasar, pendekatan biaya, dan / atau pendekatan pendapatan oleh Direktorat Jenderal Kekayaan Negara, Kementrian Keuangan. Penilaian dalam rangka revaluasi dilakukan dengan pendekatan data pasar, pendekatan </w:t>
            </w:r>
            <w:r>
              <w:rPr>
                <w:rFonts w:eastAsia="Times New Roman"/>
              </w:rPr>
              <w:t xml:space="preserve">biaya, dan/atau pendekatan pendapatan oleh Penilai Pemerintah di lingkungan Direktorat Jenderal Kekayaan Negara, Kementrian Keuangan. Revaluasi dilakukan pada tahun 2017 dan 2018. </w:t>
            </w:r>
          </w:p>
          <w:p w:rsidR="00000000" w:rsidRDefault="00703D2E">
            <w:pPr>
              <w:numPr>
                <w:ilvl w:val="0"/>
                <w:numId w:val="12"/>
              </w:numPr>
              <w:spacing w:before="100" w:beforeAutospacing="1" w:after="100" w:afterAutospacing="1"/>
              <w:jc w:val="both"/>
              <w:rPr>
                <w:rFonts w:eastAsia="Times New Roman"/>
              </w:rPr>
            </w:pPr>
            <w:r>
              <w:rPr>
                <w:rFonts w:eastAsia="Times New Roman"/>
              </w:rPr>
              <w:t>Nilai aset tetap hasil penilaian kembali menjadi nilai perolehan baru dan n</w:t>
            </w:r>
            <w:r>
              <w:rPr>
                <w:rFonts w:eastAsia="Times New Roman"/>
              </w:rPr>
              <w:t>ilai akumulasi penyusutannya adalah nol. Dalam hal nilai aset tetap hasil revaluasi lebih tinggi dari nilai buku sebelumnya maka selisih tersebut diakui sebagai penambah ekuitas pada Laporan Keuangan. Namun, apabila nilai aset tetap hasil revaluasi lebih r</w:t>
            </w:r>
            <w:r>
              <w:rPr>
                <w:rFonts w:eastAsia="Times New Roman"/>
              </w:rPr>
              <w:t xml:space="preserve">endah dari nilai buku sebelumnya maka selisih tersebut diakui sebagai pengurang ekuitas pada Laporan Keuangan. </w:t>
            </w:r>
          </w:p>
          <w:p w:rsidR="00000000" w:rsidRDefault="00703D2E">
            <w:pPr>
              <w:numPr>
                <w:ilvl w:val="0"/>
                <w:numId w:val="12"/>
              </w:numPr>
              <w:spacing w:before="100" w:beforeAutospacing="1" w:after="100" w:afterAutospacing="1"/>
              <w:jc w:val="both"/>
              <w:rPr>
                <w:rFonts w:eastAsia="Times New Roman"/>
              </w:rPr>
            </w:pPr>
            <w:r>
              <w:rPr>
                <w:rFonts w:eastAsia="Times New Roman"/>
              </w:rPr>
              <w:t>Aset Tetap yang tidak digunakan dalam kegiatan operasional pemerintah yang disebabkan antara lain karena aus, ketinggalan jaman, tidak sesuai de</w:t>
            </w:r>
            <w:r>
              <w:rPr>
                <w:rFonts w:eastAsia="Times New Roman"/>
              </w:rPr>
              <w:t xml:space="preserve">ngan kebutuhan organisasi yang makin berkembang, rusak berat, tidak sesuai dengan rencana umum tata ruang (RUTR), atau masa kegunaannya telah berakhir direklasifikasi ke Aset Lain-Lain pada pos Aset Lainnya. </w:t>
            </w:r>
          </w:p>
          <w:p w:rsidR="00000000" w:rsidRDefault="00703D2E">
            <w:pPr>
              <w:numPr>
                <w:ilvl w:val="0"/>
                <w:numId w:val="12"/>
              </w:numPr>
              <w:spacing w:before="100" w:beforeAutospacing="1" w:after="100" w:afterAutospacing="1"/>
              <w:jc w:val="both"/>
              <w:rPr>
                <w:rFonts w:eastAsia="Times New Roman"/>
              </w:rPr>
            </w:pPr>
            <w:r>
              <w:rPr>
                <w:rFonts w:eastAsia="Times New Roman"/>
              </w:rPr>
              <w:t>Aset tetap yang secara permanen dihentikan peng</w:t>
            </w:r>
            <w:r>
              <w:rPr>
                <w:rFonts w:eastAsia="Times New Roman"/>
              </w:rPr>
              <w:t xml:space="preserve">gunaannya, dikeluarkan dari neraca pada saat ada usulan penghapusan dari entitas sesuai dengan ketentuan perundang-undangan di bidang pengelolaan BMN/BMD.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lastRenderedPageBreak/>
              <w:t>Penyusutan Aset Teta</w:t>
            </w:r>
            <w:r>
              <w:rPr>
                <w:rFonts w:eastAsia="Times New Roman"/>
              </w:rPr>
              <w:t>p</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 xml:space="preserve">c. Penyusutan Aset Tetap </w:t>
            </w:r>
          </w:p>
          <w:p w:rsidR="00000000" w:rsidRDefault="00703D2E">
            <w:pPr>
              <w:numPr>
                <w:ilvl w:val="0"/>
                <w:numId w:val="13"/>
              </w:numPr>
              <w:spacing w:before="100" w:beforeAutospacing="1" w:after="100" w:afterAutospacing="1"/>
              <w:jc w:val="both"/>
              <w:rPr>
                <w:rFonts w:eastAsia="Times New Roman"/>
              </w:rPr>
            </w:pPr>
            <w:r>
              <w:rPr>
                <w:rFonts w:eastAsia="Times New Roman"/>
              </w:rPr>
              <w:t>Penyusutan aset tetap adalah penyesuaian nilai seh</w:t>
            </w:r>
            <w:r>
              <w:rPr>
                <w:rFonts w:eastAsia="Times New Roman"/>
              </w:rPr>
              <w:t xml:space="preserve">ubungan dengan penurunan kapasitas dan manfaat dari suatu aset tetap. </w:t>
            </w:r>
          </w:p>
          <w:p w:rsidR="00000000" w:rsidRDefault="00703D2E">
            <w:pPr>
              <w:numPr>
                <w:ilvl w:val="0"/>
                <w:numId w:val="13"/>
              </w:numPr>
              <w:spacing w:before="100" w:beforeAutospacing="1" w:after="100" w:afterAutospacing="1"/>
              <w:jc w:val="both"/>
              <w:rPr>
                <w:rFonts w:eastAsia="Times New Roman"/>
              </w:rPr>
            </w:pPr>
            <w:r>
              <w:rPr>
                <w:rFonts w:eastAsia="Times New Roman"/>
              </w:rPr>
              <w:t xml:space="preserve">Penyusutan aset tetap tidak dilakukan terhadap: </w:t>
            </w:r>
          </w:p>
          <w:p w:rsidR="00000000" w:rsidRDefault="00703D2E">
            <w:pPr>
              <w:numPr>
                <w:ilvl w:val="1"/>
                <w:numId w:val="13"/>
              </w:numPr>
              <w:spacing w:before="100" w:beforeAutospacing="1" w:after="100" w:afterAutospacing="1"/>
              <w:jc w:val="both"/>
              <w:rPr>
                <w:rFonts w:eastAsia="Times New Roman"/>
              </w:rPr>
            </w:pPr>
            <w:r>
              <w:rPr>
                <w:rFonts w:eastAsia="Times New Roman"/>
              </w:rPr>
              <w:t xml:space="preserve">Tanah </w:t>
            </w:r>
          </w:p>
          <w:p w:rsidR="00000000" w:rsidRDefault="00703D2E">
            <w:pPr>
              <w:numPr>
                <w:ilvl w:val="1"/>
                <w:numId w:val="13"/>
              </w:numPr>
              <w:spacing w:before="100" w:beforeAutospacing="1" w:after="100" w:afterAutospacing="1"/>
              <w:jc w:val="both"/>
              <w:rPr>
                <w:rFonts w:eastAsia="Times New Roman"/>
              </w:rPr>
            </w:pPr>
            <w:r>
              <w:rPr>
                <w:rFonts w:eastAsia="Times New Roman"/>
              </w:rPr>
              <w:t xml:space="preserve">Konstruksi dalam Pengerjaan (KDP) </w:t>
            </w:r>
          </w:p>
          <w:p w:rsidR="00000000" w:rsidRDefault="00703D2E">
            <w:pPr>
              <w:numPr>
                <w:ilvl w:val="1"/>
                <w:numId w:val="13"/>
              </w:numPr>
              <w:spacing w:before="100" w:beforeAutospacing="1" w:after="100" w:afterAutospacing="1"/>
              <w:jc w:val="both"/>
              <w:rPr>
                <w:rFonts w:eastAsia="Times New Roman"/>
              </w:rPr>
            </w:pPr>
            <w:r>
              <w:rPr>
                <w:rFonts w:eastAsia="Times New Roman"/>
              </w:rPr>
              <w:t>Aset Tetap yang dinyatakan hilang berdasarkan dokumen sumber sah atau dalam kondisi rusak bera</w:t>
            </w:r>
            <w:r>
              <w:rPr>
                <w:rFonts w:eastAsia="Times New Roman"/>
              </w:rPr>
              <w:t xml:space="preserve">t dan/atau usang yang telah diusulkan kepada Pengelola Barang untuk dilakukan penghapusan </w:t>
            </w:r>
          </w:p>
          <w:p w:rsidR="00000000" w:rsidRDefault="00703D2E">
            <w:pPr>
              <w:numPr>
                <w:ilvl w:val="0"/>
                <w:numId w:val="13"/>
              </w:numPr>
              <w:spacing w:before="100" w:beforeAutospacing="1" w:after="100" w:afterAutospacing="1"/>
              <w:jc w:val="both"/>
              <w:rPr>
                <w:rFonts w:eastAsia="Times New Roman"/>
              </w:rPr>
            </w:pPr>
            <w:r>
              <w:rPr>
                <w:rFonts w:eastAsia="Times New Roman"/>
              </w:rPr>
              <w:t xml:space="preserve">Penghitungan dan pencatatan Penyusutan Aset Tetap dilakukan setiap akhir semester tanpa memperhitungkan adanya nilai residu. </w:t>
            </w:r>
          </w:p>
          <w:p w:rsidR="00000000" w:rsidRDefault="00703D2E">
            <w:pPr>
              <w:numPr>
                <w:ilvl w:val="0"/>
                <w:numId w:val="13"/>
              </w:numPr>
              <w:spacing w:before="100" w:beforeAutospacing="1" w:after="100" w:afterAutospacing="1"/>
              <w:jc w:val="both"/>
              <w:rPr>
                <w:rFonts w:eastAsia="Times New Roman"/>
              </w:rPr>
            </w:pPr>
            <w:r>
              <w:rPr>
                <w:rFonts w:eastAsia="Times New Roman"/>
              </w:rPr>
              <w:t xml:space="preserve">Penyusutan Aset Tetap dilakukan dengan </w:t>
            </w:r>
            <w:r>
              <w:rPr>
                <w:rFonts w:eastAsia="Times New Roman"/>
              </w:rPr>
              <w:t xml:space="preserve">menggunakan metode garis lurus yaitu dengan mengalokasikan nilai yang dapat disusutkan dari Aset Tetap secara merata setiap semester selama Masa Manfaat. </w:t>
            </w:r>
          </w:p>
          <w:p w:rsidR="00000000" w:rsidRDefault="00703D2E">
            <w:pPr>
              <w:numPr>
                <w:ilvl w:val="0"/>
                <w:numId w:val="13"/>
              </w:numPr>
              <w:spacing w:before="100" w:beforeAutospacing="1" w:after="100" w:afterAutospacing="1"/>
              <w:jc w:val="both"/>
              <w:rPr>
                <w:rFonts w:eastAsia="Times New Roman"/>
              </w:rPr>
            </w:pPr>
            <w:r>
              <w:rPr>
                <w:rFonts w:eastAsia="Times New Roman"/>
              </w:rPr>
              <w:t>Masa Manfaat Aset Tetap ditentukan dengan berpedoman Keputusan Menteri Keuangan Nomor: 59/KMK.06/2013</w:t>
            </w:r>
            <w:r>
              <w:rPr>
                <w:rFonts w:eastAsia="Times New Roman"/>
              </w:rPr>
              <w:t xml:space="preserve"> tentang Tabel Masa Manfaat Dalam Rangka Penyusutan Barang Milik Negara berupa Aset Tetap pada Entitas Pemerintah Pusat. Secara umum tabel masa manfaat adalah sebagai berikut: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66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Tabel 3</w:t>
                  </w:r>
                  <w:r>
                    <w:rPr>
                      <w:rFonts w:eastAsia="Times New Roman"/>
                      <w:i/>
                      <w:iCs/>
                    </w:rPr>
                    <w:br/>
                    <w:t>Penggolongan Masa Manfaat Aset Tetap</w:t>
                  </w:r>
                </w:p>
              </w:tc>
            </w:tr>
          </w:tbl>
          <w:p w:rsidR="00000000" w:rsidRDefault="00703D2E">
            <w:pPr>
              <w:numPr>
                <w:ilvl w:val="0"/>
                <w:numId w:val="13"/>
              </w:numPr>
              <w:jc w:val="both"/>
              <w:rPr>
                <w:rFonts w:eastAsia="Times New Roman"/>
                <w:vanish/>
              </w:rPr>
            </w:pP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49"/>
              <w:gridCol w:w="1557"/>
            </w:tblGrid>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center"/>
                    <w:rPr>
                      <w:rFonts w:eastAsia="Times New Roman"/>
                      <w:b/>
                      <w:bCs/>
                    </w:rPr>
                  </w:pPr>
                  <w:r>
                    <w:rPr>
                      <w:rFonts w:eastAsia="Times New Roman"/>
                      <w:b/>
                      <w:bCs/>
                    </w:rPr>
                    <w:t>Kelompok Aset Tetap</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center"/>
                    <w:rPr>
                      <w:rFonts w:eastAsia="Times New Roman"/>
                      <w:b/>
                      <w:bCs/>
                    </w:rPr>
                  </w:pPr>
                  <w:r>
                    <w:rPr>
                      <w:rFonts w:eastAsia="Times New Roman"/>
                      <w:b/>
                      <w:bCs/>
                    </w:rPr>
                    <w:t>Masa Manfaa</w:t>
                  </w:r>
                  <w:r>
                    <w:rPr>
                      <w:rFonts w:eastAsia="Times New Roman"/>
                      <w:b/>
                      <w:bCs/>
                    </w:rPr>
                    <w:t>t</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Peralatan dan Mesin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2 s.d. 20 tahun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Gedung dan Bangunan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10 s.d. 50 tahun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Jalan, Jaringan, dan Irigasi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5 s.d. 40 tahun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Aset Tetap Lainnya (Alat Musik Modern)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4 tahun </w:t>
                  </w:r>
                </w:p>
              </w:tc>
            </w:tr>
          </w:tbl>
          <w:p w:rsidR="00000000" w:rsidRDefault="00703D2E">
            <w:pPr>
              <w:numPr>
                <w:ilvl w:val="0"/>
                <w:numId w:val="13"/>
              </w:numPr>
              <w:spacing w:before="100" w:beforeAutospacing="1" w:after="100" w:afterAutospacing="1"/>
              <w:jc w:val="both"/>
              <w:rPr>
                <w:rFonts w:eastAsia="Times New Roman"/>
              </w:rPr>
            </w:pP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t>Piutang Jangka Panjan</w:t>
            </w:r>
            <w:r>
              <w:rPr>
                <w:rFonts w:eastAsia="Times New Roman"/>
              </w:rPr>
              <w:t>g</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 xml:space="preserve">d. Piutang Jangka Panjang </w:t>
            </w:r>
          </w:p>
          <w:p w:rsidR="00000000" w:rsidRDefault="00703D2E">
            <w:pPr>
              <w:numPr>
                <w:ilvl w:val="0"/>
                <w:numId w:val="14"/>
              </w:numPr>
              <w:spacing w:before="100" w:beforeAutospacing="1" w:after="100" w:afterAutospacing="1"/>
              <w:jc w:val="both"/>
              <w:rPr>
                <w:rFonts w:eastAsia="Times New Roman"/>
              </w:rPr>
            </w:pPr>
            <w:r>
              <w:rPr>
                <w:rFonts w:eastAsia="Times New Roman"/>
              </w:rPr>
              <w:t xml:space="preserve">Piutang Jangka Panjang adalah piutang yang diharapkan/dijadwalkan akan diterima dalam jangka waktu lebih dari 12 (dua belas ) bulan setelah tanggal pelaporan. </w:t>
            </w:r>
          </w:p>
          <w:p w:rsidR="00000000" w:rsidRDefault="00703D2E">
            <w:pPr>
              <w:numPr>
                <w:ilvl w:val="0"/>
                <w:numId w:val="14"/>
              </w:numPr>
              <w:spacing w:before="100" w:beforeAutospacing="1" w:after="100" w:afterAutospacing="1"/>
              <w:jc w:val="both"/>
              <w:rPr>
                <w:rFonts w:eastAsia="Times New Roman"/>
              </w:rPr>
            </w:pPr>
            <w:r>
              <w:rPr>
                <w:rFonts w:eastAsia="Times New Roman"/>
              </w:rPr>
              <w:t>Tagihan Penjualan Angsuran (TPA), Tagihan Tuntutan Perbendaharaan/Tuntutan Ganti Rugi (TP/TGR) d</w:t>
            </w:r>
            <w:r>
              <w:rPr>
                <w:rFonts w:eastAsia="Times New Roman"/>
              </w:rPr>
              <w:t xml:space="preserve">inilai berdasarkan nilai nominal dan disajikan sebesar nilai yang dapat direalisasikan.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t>Aset Lainny</w:t>
            </w:r>
            <w:r>
              <w:rPr>
                <w:rFonts w:eastAsia="Times New Roman"/>
              </w:rPr>
              <w:t>a</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 xml:space="preserve">e. Aset Lainnya </w:t>
            </w:r>
          </w:p>
          <w:p w:rsidR="00000000" w:rsidRDefault="00703D2E">
            <w:pPr>
              <w:numPr>
                <w:ilvl w:val="0"/>
                <w:numId w:val="15"/>
              </w:numPr>
              <w:spacing w:before="100" w:beforeAutospacing="1" w:after="100" w:afterAutospacing="1"/>
              <w:jc w:val="both"/>
              <w:rPr>
                <w:rFonts w:eastAsia="Times New Roman"/>
              </w:rPr>
            </w:pPr>
            <w:r>
              <w:rPr>
                <w:rFonts w:eastAsia="Times New Roman"/>
              </w:rPr>
              <w:lastRenderedPageBreak/>
              <w:t>Aset Lainnya adalah aset pemerintah selain aset lancar, aset tetap, dan piutang jangka panjang. Termasuk dalam Aset Lainnya adalah aset</w:t>
            </w:r>
            <w:r>
              <w:rPr>
                <w:rFonts w:eastAsia="Times New Roman"/>
              </w:rPr>
              <w:t xml:space="preserve"> tak berwujud, tagihan penjualan angsuran yang jatuh tempo lebih dari 12 (dua belas) bulan, aset kerjasama dengan pihak ketiga (kemitraan), dan kas yang dibatasi penggunaannya. </w:t>
            </w:r>
          </w:p>
          <w:p w:rsidR="00000000" w:rsidRDefault="00703D2E">
            <w:pPr>
              <w:numPr>
                <w:ilvl w:val="0"/>
                <w:numId w:val="15"/>
              </w:numPr>
              <w:spacing w:before="100" w:beforeAutospacing="1" w:after="100" w:afterAutospacing="1"/>
              <w:jc w:val="both"/>
              <w:rPr>
                <w:rFonts w:eastAsia="Times New Roman"/>
              </w:rPr>
            </w:pPr>
            <w:r>
              <w:rPr>
                <w:rFonts w:eastAsia="Times New Roman"/>
              </w:rPr>
              <w:t>Aset Tak Berwujud (ATB) disajikan sebesar nilai tercatat neto yaitu sebesar ha</w:t>
            </w:r>
            <w:r>
              <w:rPr>
                <w:rFonts w:eastAsia="Times New Roman"/>
              </w:rPr>
              <w:t xml:space="preserve">rga perolehan setelah dikurangi akumulasi amortisasi. </w:t>
            </w:r>
          </w:p>
          <w:p w:rsidR="00000000" w:rsidRDefault="00703D2E">
            <w:pPr>
              <w:numPr>
                <w:ilvl w:val="0"/>
                <w:numId w:val="15"/>
              </w:numPr>
              <w:spacing w:before="100" w:beforeAutospacing="1" w:after="100" w:afterAutospacing="1"/>
              <w:jc w:val="both"/>
              <w:rPr>
                <w:rFonts w:eastAsia="Times New Roman"/>
              </w:rPr>
            </w:pPr>
            <w:r>
              <w:rPr>
                <w:rFonts w:eastAsia="Times New Roman"/>
              </w:rPr>
              <w:t xml:space="preserve">Amortisasi ATB dengan masa manfaat terbatas dilakukan dengan metode garis lurus dan nilai sisa nihil. Sedangkan atas ATB dengan masa manfaat tidak terbatas tidak dilakukan amortisasi. </w:t>
            </w:r>
          </w:p>
          <w:p w:rsidR="00000000" w:rsidRDefault="00703D2E">
            <w:pPr>
              <w:numPr>
                <w:ilvl w:val="0"/>
                <w:numId w:val="15"/>
              </w:numPr>
              <w:spacing w:before="100" w:beforeAutospacing="1" w:after="100" w:afterAutospacing="1"/>
              <w:jc w:val="both"/>
              <w:rPr>
                <w:rFonts w:eastAsia="Times New Roman"/>
              </w:rPr>
            </w:pPr>
            <w:r>
              <w:rPr>
                <w:rFonts w:eastAsia="Times New Roman"/>
              </w:rPr>
              <w:t>Masa Manfaat Ase</w:t>
            </w:r>
            <w:r>
              <w:rPr>
                <w:rFonts w:eastAsia="Times New Roman"/>
              </w:rPr>
              <w:t>t Tak Berwujud ditentukan dengan berpedoman Keputusan Menteri Keuangan Nomor: 620/KM.6/2015 tentang Masa Manfaat Dalam Rangka Amortisasi Barang Milik Negara berupa Aset Tak Berwujud pada Entitas Pemerintah Pusat. Secara umum tabel masa manfaat adalah sebag</w:t>
            </w:r>
            <w:r>
              <w:rPr>
                <w:rFonts w:eastAsia="Times New Roman"/>
              </w:rPr>
              <w:t xml:space="preserve">ai berikut: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66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Tabel 4</w:t>
                  </w:r>
                  <w:r>
                    <w:rPr>
                      <w:rFonts w:eastAsia="Times New Roman"/>
                      <w:i/>
                      <w:iCs/>
                    </w:rPr>
                    <w:br/>
                    <w:t>Penggolongan Masa Manfaat Aset Tak Berwujud</w:t>
                  </w:r>
                </w:p>
              </w:tc>
            </w:tr>
          </w:tbl>
          <w:p w:rsidR="00000000" w:rsidRDefault="00703D2E">
            <w:pPr>
              <w:numPr>
                <w:ilvl w:val="0"/>
                <w:numId w:val="15"/>
              </w:numPr>
              <w:jc w:val="both"/>
              <w:rPr>
                <w:rFonts w:eastAsia="Times New Roman"/>
                <w:vanish/>
              </w:rPr>
            </w:pP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95"/>
              <w:gridCol w:w="1549"/>
            </w:tblGrid>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center"/>
                    <w:rPr>
                      <w:rFonts w:eastAsia="Times New Roman"/>
                      <w:b/>
                      <w:bCs/>
                    </w:rPr>
                  </w:pPr>
                  <w:r>
                    <w:rPr>
                      <w:rFonts w:eastAsia="Times New Roman"/>
                      <w:b/>
                      <w:bCs/>
                    </w:rPr>
                    <w:t xml:space="preserve">Kelompok Aset Tak Berwujud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center"/>
                    <w:rPr>
                      <w:rFonts w:eastAsia="Times New Roman"/>
                      <w:b/>
                      <w:bCs/>
                    </w:rPr>
                  </w:pPr>
                  <w:r>
                    <w:rPr>
                      <w:rFonts w:eastAsia="Times New Roman"/>
                      <w:b/>
                      <w:bCs/>
                    </w:rPr>
                    <w:t>Masa Manfaat</w:t>
                  </w:r>
                  <w:r>
                    <w:rPr>
                      <w:rFonts w:eastAsia="Times New Roman"/>
                      <w:b/>
                      <w:bCs/>
                    </w:rPr>
                    <w:t xml:space="preserve"> </w:t>
                  </w:r>
                  <w:r>
                    <w:rPr>
                      <w:rFonts w:eastAsia="Times New Roman"/>
                      <w:b/>
                      <w:bCs/>
                    </w:rPr>
                    <w:t xml:space="preserve">(Tahun)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i/>
                      <w:iCs/>
                    </w:rPr>
                    <w:t>Software</w:t>
                  </w:r>
                  <w:r>
                    <w:rPr>
                      <w:rFonts w:eastAsia="Times New Roman"/>
                    </w:rPr>
                    <w:t xml:space="preserve"> Komputer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4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i/>
                      <w:iCs/>
                    </w:rPr>
                    <w:t>Franchise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5</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Lisensi, Hak Paten Sederhana, Merk, Desain Industri, Rahasia Dagang, Desain Tata Letak Sirkuit Terpadu.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10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Hak Ekonomi Lembaga Penyiaran, Paten Biasa, Perlindungan Varietas Tanaman Semusim.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20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Hak Cipta Karya Seni Terapan, Perlindungan Varietas Tanam</w:t>
                  </w:r>
                  <w:r>
                    <w:rPr>
                      <w:rFonts w:eastAsia="Times New Roman"/>
                    </w:rPr>
                    <w:t xml:space="preserve">an Tahunan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25</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Hak Cipta atas Ciptaan Gol.II, Hak Ekonomi Pelaku Pertunjukan, Hak Ekonomi Produser Fonogram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50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Hak Cipta atas Ciptaan Gol.I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70</w:t>
                  </w:r>
                </w:p>
              </w:tc>
            </w:tr>
          </w:tbl>
          <w:p w:rsidR="00000000" w:rsidRDefault="00703D2E">
            <w:pPr>
              <w:numPr>
                <w:ilvl w:val="0"/>
                <w:numId w:val="15"/>
              </w:numPr>
              <w:spacing w:before="100" w:beforeAutospacing="1" w:after="100" w:afterAutospacing="1"/>
              <w:jc w:val="both"/>
              <w:rPr>
                <w:rFonts w:eastAsia="Times New Roman"/>
              </w:rPr>
            </w:pPr>
            <w:r>
              <w:rPr>
                <w:rFonts w:eastAsia="Times New Roman"/>
              </w:rPr>
              <w:t xml:space="preserve">Aset </w:t>
            </w:r>
            <w:r>
              <w:rPr>
                <w:rFonts w:eastAsia="Times New Roman"/>
              </w:rPr>
              <w:t xml:space="preserve">Lain-lain berupa aset tetap pemerintah disajikan sebesar nilai buku yaitu harga perolehan dikurangi akumulasi penyusutan.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lastRenderedPageBreak/>
              <w:t>Kewajiba</w:t>
            </w:r>
            <w:r>
              <w:rPr>
                <w:rFonts w:eastAsia="Times New Roman"/>
              </w:rPr>
              <w:t>n</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 xml:space="preserve">(6) Kewajiban </w:t>
            </w:r>
          </w:p>
          <w:p w:rsidR="00000000" w:rsidRDefault="00703D2E">
            <w:pPr>
              <w:numPr>
                <w:ilvl w:val="0"/>
                <w:numId w:val="16"/>
              </w:numPr>
              <w:spacing w:before="100" w:beforeAutospacing="1" w:after="100" w:afterAutospacing="1"/>
              <w:jc w:val="both"/>
              <w:rPr>
                <w:rFonts w:eastAsia="Times New Roman"/>
              </w:rPr>
            </w:pPr>
            <w:r>
              <w:rPr>
                <w:rFonts w:eastAsia="Times New Roman"/>
              </w:rPr>
              <w:t>Kewajiban adalah utang yang timbul dari peristiwa masa lalu yang penyelesaiannya mengakibatkan aliran kelu</w:t>
            </w:r>
            <w:r>
              <w:rPr>
                <w:rFonts w:eastAsia="Times New Roman"/>
              </w:rPr>
              <w:t xml:space="preserve">ar sumber daya ekonomi pemerintah. </w:t>
            </w:r>
          </w:p>
          <w:p w:rsidR="00000000" w:rsidRDefault="00703D2E">
            <w:pPr>
              <w:numPr>
                <w:ilvl w:val="0"/>
                <w:numId w:val="16"/>
              </w:numPr>
              <w:spacing w:before="100" w:beforeAutospacing="1" w:after="100" w:afterAutospacing="1"/>
              <w:jc w:val="both"/>
              <w:rPr>
                <w:rFonts w:eastAsia="Times New Roman"/>
              </w:rPr>
            </w:pPr>
            <w:r>
              <w:rPr>
                <w:rFonts w:eastAsia="Times New Roman"/>
              </w:rPr>
              <w:t xml:space="preserve">Kewajiban pemerintah diklasifikasikan kedalam kewajiban jangka pendek dan kewajiban jangka panjang. </w:t>
            </w:r>
          </w:p>
          <w:p w:rsidR="00000000" w:rsidRDefault="00703D2E">
            <w:pPr>
              <w:numPr>
                <w:ilvl w:val="1"/>
                <w:numId w:val="16"/>
              </w:numPr>
              <w:spacing w:before="100" w:beforeAutospacing="1" w:after="100" w:afterAutospacing="1"/>
              <w:jc w:val="both"/>
              <w:rPr>
                <w:rFonts w:eastAsia="Times New Roman"/>
              </w:rPr>
            </w:pPr>
            <w:r>
              <w:rPr>
                <w:rFonts w:eastAsia="Times New Roman"/>
              </w:rPr>
              <w:lastRenderedPageBreak/>
              <w:t>Kewajiban Jangka Pendek</w:t>
            </w:r>
            <w:r>
              <w:rPr>
                <w:rFonts w:eastAsia="Times New Roman"/>
              </w:rPr>
              <w:t xml:space="preserve"> </w:t>
            </w:r>
            <w:r>
              <w:rPr>
                <w:rFonts w:eastAsia="Times New Roman"/>
              </w:rPr>
              <w:t xml:space="preserve">Suatu kewajiban diklasifikasikan sebagai kewajiban jangka pendek jika diharapkan untuk dibayar </w:t>
            </w:r>
            <w:r>
              <w:rPr>
                <w:rFonts w:eastAsia="Times New Roman"/>
              </w:rPr>
              <w:t>atau jatuh tempo dalam waktu dua belas bulan setelah tanggal pelaporan</w:t>
            </w:r>
            <w:r>
              <w:rPr>
                <w:rFonts w:eastAsia="Times New Roman"/>
              </w:rPr>
              <w:t>.</w:t>
            </w:r>
            <w:r>
              <w:rPr>
                <w:rFonts w:eastAsia="Times New Roman"/>
              </w:rPr>
              <w:t xml:space="preserve"> Kewajiban jangka pendek meliputi Utang Kepada Pihak Ketiga, Belanja yang Masih Harus Dibayar, Pendapatan Diterima di Muka, Bagian Lancar Utang Jangka Panjang, dan Utang Jangka Pendek L</w:t>
            </w:r>
            <w:r>
              <w:rPr>
                <w:rFonts w:eastAsia="Times New Roman"/>
              </w:rPr>
              <w:t xml:space="preserve">ainnya. </w:t>
            </w:r>
          </w:p>
          <w:p w:rsidR="00000000" w:rsidRDefault="00703D2E">
            <w:pPr>
              <w:numPr>
                <w:ilvl w:val="1"/>
                <w:numId w:val="16"/>
              </w:numPr>
              <w:spacing w:before="100" w:beforeAutospacing="1" w:after="100" w:afterAutospacing="1"/>
              <w:jc w:val="both"/>
              <w:rPr>
                <w:rFonts w:eastAsia="Times New Roman"/>
              </w:rPr>
            </w:pPr>
            <w:r>
              <w:rPr>
                <w:rFonts w:eastAsia="Times New Roman"/>
              </w:rPr>
              <w:t>Kewajiban Jangka Panjang</w:t>
            </w:r>
            <w:r>
              <w:rPr>
                <w:rFonts w:eastAsia="Times New Roman"/>
              </w:rPr>
              <w:t xml:space="preserve"> </w:t>
            </w:r>
            <w:r>
              <w:rPr>
                <w:rFonts w:eastAsia="Times New Roman"/>
              </w:rPr>
              <w:t xml:space="preserve">Kewajiban diklasifikasikan sebagai kewajiban jangka panjang jika diharapkan untuk dibayar atau jatuh tempo dalam waktu lebih dari dua belas bulan setelah tanggal pelaporan. </w:t>
            </w:r>
          </w:p>
          <w:p w:rsidR="00000000" w:rsidRDefault="00703D2E">
            <w:pPr>
              <w:numPr>
                <w:ilvl w:val="0"/>
                <w:numId w:val="16"/>
              </w:numPr>
              <w:spacing w:before="100" w:beforeAutospacing="1" w:after="100" w:afterAutospacing="1"/>
              <w:jc w:val="both"/>
              <w:rPr>
                <w:rFonts w:eastAsia="Times New Roman"/>
              </w:rPr>
            </w:pPr>
            <w:r>
              <w:rPr>
                <w:rFonts w:eastAsia="Times New Roman"/>
              </w:rPr>
              <w:t>Kewajiban dicatat sebesar nilai nominal, yaitu s</w:t>
            </w:r>
            <w:r>
              <w:rPr>
                <w:rFonts w:eastAsia="Times New Roman"/>
              </w:rPr>
              <w:t xml:space="preserve">ebesar nilai kewajiban pemerintah pada saat pertama kali transaksi berlangsung. </w:t>
            </w:r>
          </w:p>
        </w:tc>
      </w:tr>
      <w:tr w:rsidR="00000000">
        <w:trPr>
          <w:divId w:val="1057515049"/>
          <w:tblCellSpacing w:w="15" w:type="dxa"/>
        </w:trPr>
        <w:tc>
          <w:tcPr>
            <w:tcW w:w="1500" w:type="dxa"/>
            <w:hideMark/>
          </w:tcPr>
          <w:p w:rsidR="00000000" w:rsidRDefault="00703D2E">
            <w:pPr>
              <w:jc w:val="both"/>
              <w:rPr>
                <w:rFonts w:eastAsia="Times New Roman"/>
              </w:rPr>
            </w:pPr>
            <w:r>
              <w:rPr>
                <w:rFonts w:eastAsia="Times New Roman"/>
              </w:rPr>
              <w:lastRenderedPageBreak/>
              <w:t>Ekuita</w:t>
            </w:r>
            <w:r>
              <w:rPr>
                <w:rFonts w:eastAsia="Times New Roman"/>
              </w:rPr>
              <w:t>s</w:t>
            </w:r>
            <w:r>
              <w:rPr>
                <w:rFonts w:eastAsia="Times New Roman"/>
              </w:rPr>
              <w:t xml:space="preserve"> </w:t>
            </w:r>
          </w:p>
        </w:tc>
        <w:tc>
          <w:tcPr>
            <w:tcW w:w="0" w:type="auto"/>
            <w:vAlign w:val="center"/>
            <w:hideMark/>
          </w:tcPr>
          <w:p w:rsidR="00000000" w:rsidRDefault="00703D2E">
            <w:pPr>
              <w:pStyle w:val="Heading5"/>
              <w:jc w:val="both"/>
              <w:rPr>
                <w:rFonts w:eastAsia="Times New Roman"/>
                <w:color w:val="00008B"/>
              </w:rPr>
            </w:pPr>
            <w:r>
              <w:rPr>
                <w:rFonts w:eastAsia="Times New Roman"/>
                <w:color w:val="00008B"/>
              </w:rPr>
              <w:t xml:space="preserve">(7) Ekuitas </w:t>
            </w:r>
          </w:p>
          <w:p w:rsidR="00000000" w:rsidRDefault="00703D2E">
            <w:pPr>
              <w:pStyle w:val="NormalWeb"/>
              <w:jc w:val="both"/>
            </w:pPr>
            <w:r>
              <w:t>Ekuitas merupakan merupakan selisih antara aset dengan kewajiban dalam satu periode. Pengungkapan lebih lanjut dari ekuitas disajikan dalam Laporan Peru</w:t>
            </w:r>
            <w:r>
              <w:t xml:space="preserve">bahan Ekuitas. </w:t>
            </w:r>
          </w:p>
        </w:tc>
      </w:tr>
    </w:tbl>
    <w:p w:rsidR="00000000" w:rsidRDefault="00703D2E">
      <w:pPr>
        <w:spacing w:after="240"/>
        <w:divId w:val="1057515049"/>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000000" w:rsidRDefault="00703D2E">
      <w:pPr>
        <w:pageBreakBefore/>
        <w:divId w:val="1748262374"/>
        <w:rPr>
          <w:rFonts w:eastAsia="Times New Roman"/>
        </w:rPr>
      </w:pPr>
      <w:r>
        <w:rPr>
          <w:rFonts w:eastAsia="Times New Roman"/>
        </w:rPr>
        <w:lastRenderedPageBreak/>
        <w:t> </w:t>
      </w: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1995"/>
        <w:gridCol w:w="7005"/>
      </w:tblGrid>
      <w:tr w:rsidR="00000000">
        <w:trPr>
          <w:divId w:val="534586153"/>
          <w:tblCellSpacing w:w="15" w:type="dxa"/>
        </w:trPr>
        <w:tc>
          <w:tcPr>
            <w:tcW w:w="1950" w:type="dxa"/>
            <w:tcMar>
              <w:top w:w="15" w:type="dxa"/>
              <w:left w:w="15" w:type="dxa"/>
              <w:bottom w:w="180" w:type="dxa"/>
              <w:right w:w="120" w:type="dxa"/>
            </w:tcMar>
            <w:hideMark/>
          </w:tcPr>
          <w:p w:rsidR="00000000" w:rsidRDefault="00703D2E">
            <w:pPr>
              <w:pageBreakBefore/>
              <w:rPr>
                <w:rFonts w:eastAsia="Times New Roman"/>
              </w:rPr>
            </w:pPr>
          </w:p>
        </w:tc>
        <w:tc>
          <w:tcPr>
            <w:tcW w:w="0" w:type="auto"/>
            <w:vAlign w:val="center"/>
            <w:hideMark/>
          </w:tcPr>
          <w:p w:rsidR="00000000" w:rsidRDefault="00703D2E">
            <w:pPr>
              <w:pStyle w:val="Heading4"/>
              <w:jc w:val="both"/>
              <w:rPr>
                <w:rFonts w:eastAsia="Times New Roman"/>
                <w:color w:val="00008B"/>
              </w:rPr>
            </w:pPr>
            <w:r>
              <w:rPr>
                <w:rFonts w:eastAsia="Times New Roman"/>
                <w:color w:val="00008B"/>
              </w:rPr>
              <w:t>B. PENJELASAN ATAS POS-POS LAPORAN REALISASI ANGGARAN</w:t>
            </w:r>
          </w:p>
          <w:p w:rsidR="00000000" w:rsidRDefault="00703D2E">
            <w:pPr>
              <w:pStyle w:val="NormalWeb"/>
              <w:jc w:val="both"/>
            </w:pPr>
            <w:r>
              <w:t xml:space="preserve">Selama periode berjalan, Badan Pusat Statistik Wilayah Jambi telah mengadakan revisi Daftar Isian Pelaksanaan Anggaran (DIPA) dari DIPA awal.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Anggaran</w:t>
                  </w:r>
                  <w:r>
                    <w:rPr>
                      <w:rFonts w:eastAsia="Times New Roman"/>
                      <w:i/>
                      <w:iCs/>
                    </w:rPr>
                    <w:t xml:space="preserve"> </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14"/>
              <w:gridCol w:w="1800"/>
              <w:gridCol w:w="1800"/>
            </w:tblGrid>
            <w:tr w:rsidR="00000000">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2022</w:t>
                  </w:r>
                </w:p>
              </w:tc>
            </w:tr>
            <w:tr w:rsidR="00000000">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b/>
                      <w:bCs/>
                    </w:rPr>
                  </w:pP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ANGGARAN AWAL </w:t>
                  </w:r>
                  <w:r>
                    <w:rPr>
                      <w:rFonts w:eastAsia="Times New Roman"/>
                      <w:b/>
                      <w:bCs/>
                    </w:rPr>
                    <w:br/>
                    <w:t xml:space="preserve">(Rp) </w:t>
                  </w: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ANGGARAN </w:t>
                  </w:r>
                  <w:r>
                    <w:rPr>
                      <w:rFonts w:eastAsia="Times New Roman"/>
                      <w:b/>
                      <w:bCs/>
                    </w:rPr>
                    <w:br/>
                    <w:t xml:space="preserve">SETELAH REVISI </w:t>
                  </w:r>
                  <w:r>
                    <w:rPr>
                      <w:rFonts w:eastAsia="Times New Roman"/>
                      <w:b/>
                      <w:bCs/>
                    </w:rPr>
                    <w:br/>
                    <w:t>(Rp)</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Pendapatan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0"/>
                      <w:szCs w:val="20"/>
                    </w:rPr>
                  </w:pP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Pendapatan Dari Penjualan, Pengelolaan BMN, Iuran Badan Usaha dan Penerimaan Klaim Asuransi BMN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Pendapatan Lain-Lain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b/>
                      <w:bCs/>
                    </w:rPr>
                    <w:t>Jumlah Anggaran Pendapatan</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0"/>
                      <w:szCs w:val="20"/>
                    </w:rPr>
                  </w:pP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BELANJA PEGAWAI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BELANJA BARANG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BELANJA MODAL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b/>
                      <w:bCs/>
                    </w:rPr>
                    <w:t>Jumlah Anggaran Belanja</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p>
              </w:tc>
              <w:tc>
                <w:tcPr>
                  <w:tcW w:w="0" w:type="auto"/>
                  <w:vAlign w:val="center"/>
                  <w:hideMark/>
                </w:tcPr>
                <w:p w:rsidR="00000000" w:rsidRDefault="00703D2E">
                  <w:pPr>
                    <w:rPr>
                      <w:rFonts w:eastAsia="Times New Roman"/>
                      <w:sz w:val="20"/>
                      <w:szCs w:val="20"/>
                    </w:rPr>
                  </w:pPr>
                </w:p>
              </w:tc>
              <w:tc>
                <w:tcPr>
                  <w:tcW w:w="0" w:type="auto"/>
                  <w:vAlign w:val="center"/>
                  <w:hideMark/>
                </w:tcPr>
                <w:p w:rsidR="00000000" w:rsidRDefault="00703D2E">
                  <w:pPr>
                    <w:rPr>
                      <w:rFonts w:eastAsia="Times New Roman"/>
                      <w:sz w:val="20"/>
                      <w:szCs w:val="20"/>
                    </w:rPr>
                  </w:pPr>
                </w:p>
              </w:tc>
            </w:tr>
          </w:tbl>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 xml:space="preserve">Rincian Anggaran Berdasarkan Program dan Jenis Belanja </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1"/>
              <w:gridCol w:w="1800"/>
              <w:gridCol w:w="1800"/>
            </w:tblGrid>
            <w:tr w:rsidR="00000000">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2022</w:t>
                  </w:r>
                </w:p>
              </w:tc>
            </w:tr>
            <w:tr w:rsidR="00000000">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b/>
                      <w:bCs/>
                    </w:rPr>
                  </w:pP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ANGGARAN AWAL </w:t>
                  </w:r>
                  <w:r>
                    <w:rPr>
                      <w:rFonts w:eastAsia="Times New Roman"/>
                      <w:b/>
                      <w:bCs/>
                    </w:rPr>
                    <w:br/>
                    <w:t xml:space="preserve">(Rp) </w:t>
                  </w: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ANGGARAN </w:t>
                  </w:r>
                  <w:r>
                    <w:rPr>
                      <w:rFonts w:eastAsia="Times New Roman"/>
                      <w:b/>
                      <w:bCs/>
                    </w:rPr>
                    <w:br/>
                    <w:t xml:space="preserve">SETELAH REVISI </w:t>
                  </w:r>
                  <w:r>
                    <w:rPr>
                      <w:rFonts w:eastAsia="Times New Roman"/>
                      <w:b/>
                      <w:bCs/>
                    </w:rPr>
                    <w:br/>
                    <w:t>(Rp)</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b/>
                      <w:bCs/>
                    </w:rPr>
                    <w:t>Jumlah Anggaran</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p>
              </w:tc>
              <w:tc>
                <w:tcPr>
                  <w:tcW w:w="0" w:type="auto"/>
                  <w:vAlign w:val="center"/>
                  <w:hideMark/>
                </w:tcPr>
                <w:p w:rsidR="00000000" w:rsidRDefault="00703D2E">
                  <w:pPr>
                    <w:rPr>
                      <w:rFonts w:eastAsia="Times New Roman"/>
                      <w:sz w:val="20"/>
                      <w:szCs w:val="20"/>
                    </w:rPr>
                  </w:pPr>
                </w:p>
              </w:tc>
              <w:tc>
                <w:tcPr>
                  <w:tcW w:w="0" w:type="auto"/>
                  <w:vAlign w:val="center"/>
                  <w:hideMark/>
                </w:tcPr>
                <w:p w:rsidR="00000000" w:rsidRDefault="00703D2E">
                  <w:pPr>
                    <w:rPr>
                      <w:rFonts w:eastAsia="Times New Roman"/>
                      <w:sz w:val="20"/>
                      <w:szCs w:val="20"/>
                    </w:rPr>
                  </w:pPr>
                </w:p>
              </w:tc>
            </w:tr>
          </w:tbl>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 xml:space="preserve">Rincian Anggaran Berdasarkan Satuan Kerja </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14"/>
              <w:gridCol w:w="1800"/>
              <w:gridCol w:w="1800"/>
            </w:tblGrid>
            <w:tr w:rsidR="00000000">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Satuan Kerja</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2022</w:t>
                  </w:r>
                </w:p>
              </w:tc>
            </w:tr>
            <w:tr w:rsidR="00000000">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b/>
                      <w:bCs/>
                    </w:rPr>
                  </w:pP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ANGGARAN AWAL </w:t>
                  </w:r>
                  <w:r>
                    <w:rPr>
                      <w:rFonts w:eastAsia="Times New Roman"/>
                      <w:b/>
                      <w:bCs/>
                    </w:rPr>
                    <w:br/>
                    <w:t xml:space="preserve">(Rp) </w:t>
                  </w: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ANGGARAN </w:t>
                  </w:r>
                  <w:r>
                    <w:rPr>
                      <w:rFonts w:eastAsia="Times New Roman"/>
                      <w:b/>
                      <w:bCs/>
                    </w:rPr>
                    <w:br/>
                    <w:t xml:space="preserve">SETELAH REVISI </w:t>
                  </w:r>
                  <w:r>
                    <w:rPr>
                      <w:rFonts w:eastAsia="Times New Roman"/>
                      <w:b/>
                      <w:bCs/>
                    </w:rPr>
                    <w:br/>
                    <w:t>(Rp)</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Bungo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13.111.882.000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Tanjung Jabung Timur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6.786.119.000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6.259.732.000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Tebo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5.882.079.000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6.587.716.000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Merangin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7.870.157.000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8.270.093.000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Kerinci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6.536.403.000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7.165.237.000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Sarolangun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6.010.661.000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Tanjung Jabung Barat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5.242.585.000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6.184.575.000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Muaro Jambi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5.145.403.000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6.053.076.000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Kota Sungai Penuh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4.054.445.000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4.473.020.000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Kota Jambi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15.478.130.000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8.608.009.000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Provinsi Jambi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21.258.684.000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16.606.503.000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Batanghari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4.542.706.000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5.175.955.000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b/>
                      <w:bCs/>
                    </w:rPr>
                    <w:t>Jumlah Anggaran Belanja</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p>
              </w:tc>
              <w:tc>
                <w:tcPr>
                  <w:tcW w:w="0" w:type="auto"/>
                  <w:vAlign w:val="center"/>
                  <w:hideMark/>
                </w:tcPr>
                <w:p w:rsidR="00000000" w:rsidRDefault="00703D2E">
                  <w:pPr>
                    <w:rPr>
                      <w:rFonts w:eastAsia="Times New Roman"/>
                      <w:sz w:val="20"/>
                      <w:szCs w:val="20"/>
                    </w:rPr>
                  </w:pPr>
                </w:p>
              </w:tc>
              <w:tc>
                <w:tcPr>
                  <w:tcW w:w="0" w:type="auto"/>
                  <w:vAlign w:val="center"/>
                  <w:hideMark/>
                </w:tcPr>
                <w:p w:rsidR="00000000" w:rsidRDefault="00703D2E">
                  <w:pPr>
                    <w:rPr>
                      <w:rFonts w:eastAsia="Times New Roman"/>
                      <w:sz w:val="20"/>
                      <w:szCs w:val="20"/>
                    </w:rPr>
                  </w:pPr>
                </w:p>
              </w:tc>
            </w:tr>
          </w:tbl>
          <w:p w:rsidR="00000000" w:rsidRDefault="00703D2E">
            <w:pPr>
              <w:jc w:val="both"/>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Realisasi PNBP Rp26.365.595 </w:t>
            </w:r>
          </w:p>
        </w:tc>
        <w:tc>
          <w:tcPr>
            <w:tcW w:w="0" w:type="auto"/>
            <w:hideMark/>
          </w:tcPr>
          <w:p w:rsidR="00000000" w:rsidRDefault="00703D2E">
            <w:pPr>
              <w:pStyle w:val="Heading5"/>
              <w:jc w:val="both"/>
              <w:rPr>
                <w:rFonts w:eastAsia="Times New Roman"/>
                <w:color w:val="00008B"/>
              </w:rPr>
            </w:pPr>
            <w:r>
              <w:rPr>
                <w:rFonts w:eastAsia="Times New Roman"/>
                <w:color w:val="00008B"/>
              </w:rPr>
              <w:t>B.1 Pendapatan Negara Bukan Pajak</w:t>
            </w:r>
          </w:p>
          <w:p w:rsidR="00000000" w:rsidRDefault="00703D2E">
            <w:pPr>
              <w:pStyle w:val="NormalWeb"/>
              <w:jc w:val="both"/>
            </w:pPr>
            <w:r>
              <w:t xml:space="preserve">Realisasi Pendapatan untuk periode yang berakhir pada 30 Juni 2022 adalah sebesar Rp26.365.595 atau mencapai 0,00 persen dari estimasi pendapatan </w:t>
            </w:r>
            <w:r>
              <w:t xml:space="preserve">yang ditetapkan sebesar Rp0. Rincian Pendapatan Badan Pusat Statistik Wilayah Jambi sebagai berikut: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Estimasi dan Realisasi Pendapatan</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9"/>
              <w:gridCol w:w="1500"/>
              <w:gridCol w:w="1500"/>
              <w:gridCol w:w="1125"/>
            </w:tblGrid>
            <w:tr w:rsidR="00000000">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2022</w:t>
                  </w:r>
                </w:p>
              </w:tc>
            </w:tr>
            <w:tr w:rsidR="00000000">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b/>
                      <w:bCs/>
                    </w:rPr>
                  </w:pP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Anggaran (Rp)</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Realisasi(Rp)</w:t>
                  </w:r>
                </w:p>
              </w:tc>
              <w:tc>
                <w:tcPr>
                  <w:tcW w:w="112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Real Anggaran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Pendapatan Dari Penjualan, Pengelolaan BMN, Iuran Badan Usaha dan Penerimaan Klaim Asuransi BMN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25.810.179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Pendapatan Lain-Lain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555.416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26.365.595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0,00</w:t>
                  </w:r>
                </w:p>
              </w:tc>
            </w:tr>
          </w:tbl>
          <w:p w:rsidR="00000000" w:rsidRDefault="00703D2E">
            <w:pPr>
              <w:jc w:val="both"/>
              <w:rPr>
                <w:rFonts w:eastAsia="Times New Roman"/>
              </w:rPr>
            </w:pP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Realisasi Pendapatan 30 Juni 2022 dan 30 Juni 2021</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9"/>
              <w:gridCol w:w="1500"/>
              <w:gridCol w:w="1500"/>
              <w:gridCol w:w="1125"/>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Realisasi 30 Juni 2022 (Rp)</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Realisasi 30 Juni 2021(Rp)</w:t>
                  </w:r>
                </w:p>
              </w:tc>
              <w:tc>
                <w:tcPr>
                  <w:tcW w:w="112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 (Turun)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Pendapatan Dari Penjualan, Pengelolaan BMN, Iuran Badan Usaha dan Penerimaan Klaim Asuransi BMN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25.810.179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41.128.008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(37,24)</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Pendapatan Lain-Lain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555.416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255.712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117,20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26.365.595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41.383.720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(36,29)</w:t>
                  </w:r>
                </w:p>
              </w:tc>
            </w:tr>
          </w:tbl>
          <w:p w:rsidR="00000000" w:rsidRDefault="00703D2E">
            <w:pPr>
              <w:jc w:val="both"/>
              <w:rPr>
                <w:rFonts w:eastAsia="Times New Roman"/>
              </w:rPr>
            </w:pPr>
          </w:p>
          <w:p w:rsidR="00000000" w:rsidRDefault="00703D2E">
            <w:pPr>
              <w:pStyle w:val="NormalWeb"/>
              <w:jc w:val="both"/>
            </w:pPr>
            <w:r>
              <w:t xml:space="preserve">Realisasi pendapatan 30 Juni 2022 mengalami penurunan sebesar 36,29 persen dibandingkan realisasi pendapatan pada 30 Juni 2021.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 xml:space="preserve">Rincian Pendapatan Berdasarkan Satuan Kerja </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2"/>
              <w:gridCol w:w="1257"/>
              <w:gridCol w:w="1656"/>
              <w:gridCol w:w="1659"/>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Satuan Kerja</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Estimasi Pendapatan</w:t>
                  </w: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Realisasi </w:t>
                  </w:r>
                  <w:r>
                    <w:rPr>
                      <w:rFonts w:eastAsia="Times New Roman"/>
                      <w:b/>
                      <w:bCs/>
                    </w:rPr>
                    <w:br/>
                  </w:r>
                  <w:r>
                    <w:rPr>
                      <w:rFonts w:eastAsia="Times New Roman"/>
                      <w:b/>
                      <w:bCs/>
                    </w:rPr>
                    <w:t xml:space="preserve">(Rp) </w:t>
                  </w: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Persentase </w:t>
                  </w:r>
                  <w:r>
                    <w:rPr>
                      <w:rFonts w:eastAsia="Times New Roman"/>
                      <w:b/>
                      <w:bCs/>
                    </w:rPr>
                    <w:br/>
                    <w:t>(%)</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Provinsi Jambi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12.651.187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Batanghari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590.435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Bungo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1.434.840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Tanjung Jabung Timur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746.706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Tebo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902.734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Merangin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1.504.024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Kerinci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1.677.804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Sarolangun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1.274.130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lastRenderedPageBreak/>
                    <w:t> </w:t>
                  </w:r>
                  <w:r>
                    <w:rPr>
                      <w:rFonts w:eastAsia="Times New Roman"/>
                    </w:rPr>
                    <w:t>BPS Kabupaten Tanjung Jabung Barat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456.585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Kabupaten Muaro Jambi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2.053.218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Kota Sungai Penuh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990.078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2250" w:type="dxa"/>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w:t>
                  </w:r>
                  <w:r>
                    <w:rPr>
                      <w:rFonts w:eastAsia="Times New Roman"/>
                    </w:rPr>
                    <w:t>BPS Kota Jambi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2.083.854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b/>
                      <w:bCs/>
                    </w:rPr>
                    <w:t>Jumlah Pendapatan</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26.365.595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b/>
                      <w:bCs/>
                    </w:rPr>
                    <w:t>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p>
              </w:tc>
              <w:tc>
                <w:tcPr>
                  <w:tcW w:w="0" w:type="auto"/>
                  <w:vAlign w:val="center"/>
                  <w:hideMark/>
                </w:tcPr>
                <w:p w:rsidR="00000000" w:rsidRDefault="00703D2E">
                  <w:pPr>
                    <w:rPr>
                      <w:rFonts w:eastAsia="Times New Roman"/>
                      <w:sz w:val="20"/>
                      <w:szCs w:val="20"/>
                    </w:rPr>
                  </w:pPr>
                </w:p>
              </w:tc>
              <w:tc>
                <w:tcPr>
                  <w:tcW w:w="0" w:type="auto"/>
                  <w:vAlign w:val="center"/>
                  <w:hideMark/>
                </w:tcPr>
                <w:p w:rsidR="00000000" w:rsidRDefault="00703D2E">
                  <w:pPr>
                    <w:rPr>
                      <w:rFonts w:eastAsia="Times New Roman"/>
                      <w:sz w:val="20"/>
                      <w:szCs w:val="20"/>
                    </w:rPr>
                  </w:pPr>
                </w:p>
              </w:tc>
              <w:tc>
                <w:tcPr>
                  <w:tcW w:w="0" w:type="auto"/>
                  <w:vAlign w:val="center"/>
                  <w:hideMark/>
                </w:tcPr>
                <w:p w:rsidR="00000000" w:rsidRDefault="00703D2E">
                  <w:pPr>
                    <w:rPr>
                      <w:rFonts w:eastAsia="Times New Roman"/>
                      <w:sz w:val="20"/>
                      <w:szCs w:val="20"/>
                    </w:rPr>
                  </w:pPr>
                </w:p>
              </w:tc>
            </w:tr>
          </w:tbl>
          <w:p w:rsidR="00000000" w:rsidRDefault="00703D2E">
            <w:pPr>
              <w:jc w:val="both"/>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Realisasi Belanja Negara Rp40.527.789.393 </w:t>
            </w:r>
          </w:p>
        </w:tc>
        <w:tc>
          <w:tcPr>
            <w:tcW w:w="0" w:type="auto"/>
            <w:hideMark/>
          </w:tcPr>
          <w:p w:rsidR="00000000" w:rsidRDefault="00703D2E">
            <w:pPr>
              <w:pStyle w:val="Heading5"/>
              <w:jc w:val="both"/>
              <w:rPr>
                <w:rFonts w:eastAsia="Times New Roman"/>
                <w:color w:val="00008B"/>
              </w:rPr>
            </w:pPr>
            <w:r>
              <w:rPr>
                <w:rFonts w:eastAsia="Times New Roman"/>
                <w:color w:val="00008B"/>
              </w:rPr>
              <w:t>B.2 Belanja</w:t>
            </w:r>
          </w:p>
          <w:p w:rsidR="00000000" w:rsidRDefault="00703D2E">
            <w:pPr>
              <w:jc w:val="both"/>
              <w:rPr>
                <w:rFonts w:eastAsia="Times New Roman"/>
              </w:rPr>
            </w:pPr>
          </w:p>
          <w:p w:rsidR="00000000" w:rsidRDefault="00703D2E">
            <w:pPr>
              <w:pStyle w:val="NormalWeb"/>
              <w:jc w:val="both"/>
            </w:pPr>
            <w:r>
              <w:t xml:space="preserve">Realisasi Belanja instansi per 30 Juni 2022 adalah sebesar Rp40.527.789.393 atau 0,00 persen dari anggaran belanja sebesar Rp0. </w:t>
            </w:r>
            <w:r>
              <w:t xml:space="preserve">Rincian anggaran dan realisasi belanja 30 Juni 2022 adalah sebagai berikut: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Anggaran dan Realisasi Belanja 30 Juni 2022</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0"/>
              <w:gridCol w:w="1500"/>
              <w:gridCol w:w="1530"/>
              <w:gridCol w:w="1200"/>
            </w:tblGrid>
            <w:tr w:rsidR="00000000">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2022</w:t>
                  </w:r>
                </w:p>
              </w:tc>
            </w:tr>
            <w:tr w:rsidR="00000000">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b/>
                      <w:bCs/>
                    </w:rPr>
                  </w:pP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Anggaran (Rp)</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Realisasi(Rp)</w:t>
                  </w:r>
                </w:p>
              </w:tc>
              <w:tc>
                <w:tcPr>
                  <w:tcW w:w="12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Real Anggaran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PEGAWAI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20.524.541.198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BARANG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19.805.314.725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MODAL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 Netto</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40.361.355.923</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0,00</w:t>
                  </w:r>
                </w:p>
              </w:tc>
            </w:tr>
          </w:tbl>
          <w:p w:rsidR="00000000" w:rsidRDefault="00703D2E">
            <w:pPr>
              <w:jc w:val="both"/>
              <w:rPr>
                <w:rFonts w:eastAsia="Times New Roman"/>
              </w:rPr>
            </w:pP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Realisasi Belanja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0"/>
              <w:gridCol w:w="1530"/>
              <w:gridCol w:w="1530"/>
              <w:gridCol w:w="120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Realisasi 30 Juni 2022(Rp)</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Realisasi 30 Juni 2021(Rp)</w:t>
                  </w:r>
                </w:p>
              </w:tc>
              <w:tc>
                <w:tcPr>
                  <w:tcW w:w="12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 (Turun)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PEGAWAI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20.526.391.644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20.324.768.515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0,99</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BARANG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19.805.314.725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7.821.371.705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153,22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MODAL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rPr>
                      <w:rFonts w:eastAsia="Times New Roman"/>
                    </w:rPr>
                  </w:pPr>
                  <w:r>
                    <w:rPr>
                      <w:rFonts w:eastAsia="Times New Roman"/>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rPr>
                  </w:pPr>
                  <w:r>
                    <w:rPr>
                      <w:rFonts w:eastAsia="Times New Roman"/>
                    </w:rPr>
                    <w:t>40.363.206.369</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rPr>
                  </w:pPr>
                  <w:r>
                    <w:rPr>
                      <w:rFonts w:eastAsia="Times New Roman"/>
                    </w:rPr>
                    <w:t>28.146.140.220</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rPr>
                  </w:pPr>
                  <w:r>
                    <w:rPr>
                      <w:rFonts w:eastAsia="Times New Roman"/>
                    </w:rPr>
                    <w:t>43,41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Pengembalian Belanja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1.850.446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15.476.198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(88,04)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40.361.355.923</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28.130.664.022</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43,48</w:t>
                  </w:r>
                </w:p>
              </w:tc>
            </w:tr>
          </w:tbl>
          <w:p w:rsidR="00000000" w:rsidRDefault="00703D2E">
            <w:pPr>
              <w:jc w:val="both"/>
              <w:rPr>
                <w:rFonts w:eastAsia="Times New Roman"/>
              </w:rPr>
            </w:pPr>
          </w:p>
          <w:p w:rsidR="00000000" w:rsidRDefault="00703D2E">
            <w:pPr>
              <w:pStyle w:val="NormalWeb"/>
              <w:jc w:val="both"/>
            </w:pPr>
            <w:r>
              <w:lastRenderedPageBreak/>
              <w:t xml:space="preserve">Realisasi Belanja 30 Juni 2022 mengalami kenaikan sebesar 44,07 dibandingkan realisasi belanja pada 30 Juni 2021. </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Belanja Pegawai Rp20.524.541.198 </w:t>
            </w:r>
          </w:p>
        </w:tc>
        <w:tc>
          <w:tcPr>
            <w:tcW w:w="0" w:type="auto"/>
            <w:hideMark/>
          </w:tcPr>
          <w:p w:rsidR="00000000" w:rsidRDefault="00703D2E">
            <w:pPr>
              <w:pStyle w:val="Heading5"/>
              <w:jc w:val="both"/>
              <w:rPr>
                <w:rFonts w:eastAsia="Times New Roman"/>
                <w:color w:val="00008B"/>
              </w:rPr>
            </w:pPr>
            <w:r>
              <w:rPr>
                <w:rFonts w:eastAsia="Times New Roman"/>
                <w:color w:val="00008B"/>
              </w:rPr>
              <w:t>B.3 Belanja Pegawai</w:t>
            </w:r>
          </w:p>
          <w:p w:rsidR="00000000" w:rsidRDefault="00703D2E">
            <w:pPr>
              <w:pStyle w:val="NormalWeb"/>
              <w:jc w:val="both"/>
            </w:pPr>
            <w:r>
              <w:t xml:space="preserve">Realisasi Belanja Pegawai per 30 Juni 2022 dan 30 Juni 2021 </w:t>
            </w:r>
            <w:r>
              <w:t xml:space="preserve">adalah masing-masing sebesar Rp20.524.541.198 dan Rp20.309.662.317. Belanja Pegawai adalah belanja atas kompensasi, baik dalam bentuk uang maupun barang yang ditetapkan berdasarkan peraturan perundang-undangan yang diberikan kepada pejabat negara, Pegawai </w:t>
            </w:r>
            <w:r>
              <w:t xml:space="preserve">Negeri Sipil (PNS), dan pegawai yang dipekerjakan oleh pemerintahyang belum berstatus PNS sebagai imbalan atas pekerjaan yang telah dilaksanakan kecuali pekerjaan yang berkaitan dengan pembentukan modal.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trPr>
                <w:tblCellSpacing w:w="15" w:type="dxa"/>
              </w:trPr>
              <w:tc>
                <w:tcPr>
                  <w:tcW w:w="6600" w:type="dxa"/>
                  <w:vAlign w:val="center"/>
                  <w:hideMark/>
                </w:tcPr>
                <w:p w:rsidR="00000000" w:rsidRDefault="00703D2E">
                  <w:pPr>
                    <w:jc w:val="center"/>
                    <w:rPr>
                      <w:rFonts w:eastAsia="Times New Roman"/>
                      <w:i/>
                      <w:iCs/>
                    </w:rPr>
                  </w:pPr>
                  <w:r>
                    <w:rPr>
                      <w:rFonts w:eastAsia="Times New Roman"/>
                      <w:i/>
                      <w:iCs/>
                    </w:rPr>
                    <w:t xml:space="preserve">Perbandingan Belanja Pegawai 30 Juni 2022 dan 30 </w:t>
                  </w:r>
                  <w:r>
                    <w:rPr>
                      <w:rFonts w:eastAsia="Times New Roman"/>
                      <w:i/>
                      <w:iCs/>
                    </w:rPr>
                    <w:t xml:space="preserve">Juni 2021 </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4"/>
              <w:gridCol w:w="1500"/>
              <w:gridCol w:w="1500"/>
              <w:gridCol w:w="120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sz w:val="22"/>
                      <w:szCs w:val="22"/>
                    </w:rPr>
                  </w:pPr>
                  <w:r>
                    <w:rPr>
                      <w:rFonts w:eastAsia="Times New Roman"/>
                      <w:b/>
                      <w:bCs/>
                      <w:sz w:val="22"/>
                      <w:szCs w:val="22"/>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sz w:val="22"/>
                      <w:szCs w:val="22"/>
                    </w:rPr>
                  </w:pPr>
                  <w:r>
                    <w:rPr>
                      <w:rFonts w:eastAsia="Times New Roman"/>
                      <w:b/>
                      <w:bCs/>
                      <w:sz w:val="22"/>
                      <w:szCs w:val="22"/>
                    </w:rPr>
                    <w:t>Realisasi 30 Juni 2022 (Rp)</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sz w:val="22"/>
                      <w:szCs w:val="22"/>
                    </w:rPr>
                  </w:pPr>
                  <w:r>
                    <w:rPr>
                      <w:rFonts w:eastAsia="Times New Roman"/>
                      <w:b/>
                      <w:bCs/>
                      <w:sz w:val="22"/>
                      <w:szCs w:val="22"/>
                    </w:rPr>
                    <w:t>Realisasi 30 Juni 2021(Rp)</w:t>
                  </w:r>
                </w:p>
              </w:tc>
              <w:tc>
                <w:tcPr>
                  <w:tcW w:w="12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sz w:val="22"/>
                      <w:szCs w:val="22"/>
                    </w:rPr>
                  </w:pPr>
                  <w:r>
                    <w:rPr>
                      <w:rFonts w:eastAsia="Times New Roman"/>
                      <w:b/>
                      <w:bCs/>
                      <w:sz w:val="22"/>
                      <w:szCs w:val="22"/>
                    </w:rPr>
                    <w:t>Naik (Turun)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Belanja Gaji dan Tunjangan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10.320.597.836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11.277.234.819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(8,48)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Belanja Lembur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320.602.000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238.894.000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34,20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Belanja Tunj. Khusus &amp; Belanja Pegawai Transito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9.885.191.808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8.808.639.696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12,22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rPr>
                      <w:rFonts w:eastAsia="Times New Roman"/>
                      <w:sz w:val="22"/>
                      <w:szCs w:val="22"/>
                    </w:rPr>
                  </w:pPr>
                  <w:r>
                    <w:rPr>
                      <w:rFonts w:eastAsia="Times New Roman"/>
                      <w:sz w:val="22"/>
                      <w:szCs w:val="22"/>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sz w:val="22"/>
                      <w:szCs w:val="22"/>
                    </w:rPr>
                  </w:pPr>
                  <w:r>
                    <w:rPr>
                      <w:rFonts w:eastAsia="Times New Roman"/>
                      <w:sz w:val="22"/>
                      <w:szCs w:val="22"/>
                    </w:rPr>
                    <w:t>20.526.391.644</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sz w:val="22"/>
                      <w:szCs w:val="22"/>
                    </w:rPr>
                  </w:pPr>
                  <w:r>
                    <w:rPr>
                      <w:rFonts w:eastAsia="Times New Roman"/>
                      <w:sz w:val="22"/>
                      <w:szCs w:val="22"/>
                    </w:rPr>
                    <w:t>20.324.768.515</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sz w:val="22"/>
                      <w:szCs w:val="22"/>
                    </w:rPr>
                  </w:pPr>
                  <w:r>
                    <w:rPr>
                      <w:rFonts w:eastAsia="Times New Roman"/>
                      <w:sz w:val="22"/>
                      <w:szCs w:val="22"/>
                    </w:rPr>
                    <w:t>0,99</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Pengembalian Belanja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1.850.446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15.106.198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(87,75)</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sz w:val="22"/>
                      <w:szCs w:val="22"/>
                    </w:rPr>
                  </w:pPr>
                  <w:r>
                    <w:rPr>
                      <w:rFonts w:eastAsia="Times New Roman"/>
                      <w:sz w:val="22"/>
                      <w:szCs w:val="22"/>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sz w:val="22"/>
                      <w:szCs w:val="22"/>
                    </w:rPr>
                  </w:pPr>
                  <w:r>
                    <w:rPr>
                      <w:rFonts w:eastAsia="Times New Roman"/>
                      <w:sz w:val="22"/>
                      <w:szCs w:val="22"/>
                    </w:rPr>
                    <w:t>20.524.541.198</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sz w:val="22"/>
                      <w:szCs w:val="22"/>
                    </w:rPr>
                  </w:pPr>
                  <w:r>
                    <w:rPr>
                      <w:rFonts w:eastAsia="Times New Roman"/>
                      <w:sz w:val="22"/>
                      <w:szCs w:val="22"/>
                    </w:rPr>
                    <w:t>20.309.662.317</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sz w:val="22"/>
                      <w:szCs w:val="22"/>
                    </w:rPr>
                  </w:pPr>
                  <w:r>
                    <w:rPr>
                      <w:rFonts w:eastAsia="Times New Roman"/>
                      <w:sz w:val="22"/>
                      <w:szCs w:val="22"/>
                    </w:rPr>
                    <w:t>1,06</w:t>
                  </w:r>
                </w:p>
              </w:tc>
            </w:tr>
          </w:tbl>
          <w:p w:rsidR="00000000" w:rsidRDefault="00703D2E">
            <w:pPr>
              <w:jc w:val="both"/>
              <w:rPr>
                <w:rFonts w:eastAsia="Times New Roman"/>
              </w:rPr>
            </w:pPr>
          </w:p>
          <w:p w:rsidR="00000000" w:rsidRDefault="00703D2E">
            <w:pPr>
              <w:pStyle w:val="NormalWeb"/>
              <w:jc w:val="both"/>
            </w:pPr>
            <w:r>
              <w:t xml:space="preserve">Realisasi belanja 30 Juni 2022 </w:t>
            </w:r>
            <w:r>
              <w:t>mengalami kenaikan sebesar 1,06 persen dari 30 Juni 2021. Hal ini disebabkan antara lain oleh:</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Belanja Barang Rp19.805.314.725 </w:t>
            </w:r>
          </w:p>
        </w:tc>
        <w:tc>
          <w:tcPr>
            <w:tcW w:w="0" w:type="auto"/>
            <w:hideMark/>
          </w:tcPr>
          <w:p w:rsidR="00000000" w:rsidRDefault="00703D2E">
            <w:pPr>
              <w:pStyle w:val="Heading5"/>
              <w:jc w:val="both"/>
              <w:rPr>
                <w:rFonts w:eastAsia="Times New Roman"/>
                <w:color w:val="00008B"/>
              </w:rPr>
            </w:pPr>
            <w:r>
              <w:rPr>
                <w:rFonts w:eastAsia="Times New Roman"/>
                <w:color w:val="00008B"/>
              </w:rPr>
              <w:t>B.4 Belanja Barang</w:t>
            </w:r>
          </w:p>
          <w:p w:rsidR="00000000" w:rsidRDefault="00703D2E">
            <w:pPr>
              <w:pStyle w:val="NormalWeb"/>
              <w:jc w:val="both"/>
            </w:pPr>
            <w:r>
              <w:t>Realisasi Belanja Barang per 30 Juni 2022 dan 30 Juni 2021 adalah masing-masing sebesar Rp19.805.314.725 d</w:t>
            </w:r>
            <w:r>
              <w:t xml:space="preserve">an Rp7.821.001.705.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Belanja Barang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0"/>
              <w:gridCol w:w="1500"/>
              <w:gridCol w:w="1500"/>
              <w:gridCol w:w="120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sz w:val="22"/>
                      <w:szCs w:val="22"/>
                    </w:rPr>
                  </w:pPr>
                  <w:r>
                    <w:rPr>
                      <w:rFonts w:eastAsia="Times New Roman"/>
                      <w:b/>
                      <w:bCs/>
                      <w:sz w:val="22"/>
                      <w:szCs w:val="22"/>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sz w:val="22"/>
                      <w:szCs w:val="22"/>
                    </w:rPr>
                  </w:pPr>
                  <w:r>
                    <w:rPr>
                      <w:rFonts w:eastAsia="Times New Roman"/>
                      <w:b/>
                      <w:bCs/>
                      <w:sz w:val="22"/>
                      <w:szCs w:val="22"/>
                    </w:rPr>
                    <w:t>Realisasi 30 Juni 2022(Rp)</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sz w:val="22"/>
                      <w:szCs w:val="22"/>
                    </w:rPr>
                  </w:pPr>
                  <w:r>
                    <w:rPr>
                      <w:rFonts w:eastAsia="Times New Roman"/>
                      <w:b/>
                      <w:bCs/>
                      <w:sz w:val="22"/>
                      <w:szCs w:val="22"/>
                    </w:rPr>
                    <w:t>Realisasi 30 Juni 2021(Rp)</w:t>
                  </w:r>
                </w:p>
              </w:tc>
              <w:tc>
                <w:tcPr>
                  <w:tcW w:w="12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sz w:val="22"/>
                      <w:szCs w:val="22"/>
                    </w:rPr>
                  </w:pPr>
                  <w:r>
                    <w:rPr>
                      <w:rFonts w:eastAsia="Times New Roman"/>
                      <w:b/>
                      <w:bCs/>
                      <w:sz w:val="22"/>
                      <w:szCs w:val="22"/>
                    </w:rPr>
                    <w:t>Naik (Turun)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Belanja Barang Operasional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1.963.637.526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1.898.733.385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3,42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lastRenderedPageBreak/>
                    <w:t>Belanja Barang Non Operasional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8.423.227.757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3.000.878.635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180,69</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Belanja Barang Persediaan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491.746.333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294.102.440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67,20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Belanja Jasa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400.675.962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603.534.732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(33,61)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Belanja Pemeliharaan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967.419.395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870.662.976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11,11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Belanja Perjalanan Dalam Negeri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7.558.607.752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1.153.459.537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555,30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rPr>
                      <w:rFonts w:eastAsia="Times New Roman"/>
                      <w:sz w:val="22"/>
                      <w:szCs w:val="22"/>
                    </w:rPr>
                  </w:pPr>
                  <w:r>
                    <w:rPr>
                      <w:rFonts w:eastAsia="Times New Roman"/>
                      <w:sz w:val="22"/>
                      <w:szCs w:val="22"/>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sz w:val="22"/>
                      <w:szCs w:val="22"/>
                    </w:rPr>
                  </w:pPr>
                  <w:r>
                    <w:rPr>
                      <w:rFonts w:eastAsia="Times New Roman"/>
                      <w:sz w:val="22"/>
                      <w:szCs w:val="22"/>
                    </w:rPr>
                    <w:t>19.805.314.725</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sz w:val="22"/>
                      <w:szCs w:val="22"/>
                    </w:rPr>
                  </w:pPr>
                  <w:r>
                    <w:rPr>
                      <w:rFonts w:eastAsia="Times New Roman"/>
                      <w:sz w:val="22"/>
                      <w:szCs w:val="22"/>
                    </w:rPr>
                    <w:t>7.821.371.705</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sz w:val="22"/>
                      <w:szCs w:val="22"/>
                    </w:rPr>
                  </w:pPr>
                  <w:r>
                    <w:rPr>
                      <w:rFonts w:eastAsia="Times New Roman"/>
                      <w:sz w:val="22"/>
                      <w:szCs w:val="22"/>
                    </w:rPr>
                    <w:t>153,22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sz w:val="22"/>
                      <w:szCs w:val="22"/>
                    </w:rPr>
                  </w:pPr>
                  <w:r>
                    <w:rPr>
                      <w:rFonts w:eastAsia="Times New Roman"/>
                      <w:sz w:val="22"/>
                      <w:szCs w:val="22"/>
                    </w:rPr>
                    <w:t>Pengembalian Belanja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370.000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sz w:val="22"/>
                      <w:szCs w:val="22"/>
                    </w:rPr>
                  </w:pPr>
                  <w:r>
                    <w:rPr>
                      <w:rFonts w:eastAsia="Times New Roman"/>
                      <w:sz w:val="22"/>
                      <w:szCs w:val="22"/>
                    </w:rPr>
                    <w:t>(100,00)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sz w:val="22"/>
                      <w:szCs w:val="22"/>
                    </w:rPr>
                  </w:pPr>
                  <w:r>
                    <w:rPr>
                      <w:rFonts w:eastAsia="Times New Roman"/>
                      <w:sz w:val="22"/>
                      <w:szCs w:val="22"/>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sz w:val="22"/>
                      <w:szCs w:val="22"/>
                    </w:rPr>
                  </w:pPr>
                  <w:r>
                    <w:rPr>
                      <w:rFonts w:eastAsia="Times New Roman"/>
                      <w:sz w:val="22"/>
                      <w:szCs w:val="22"/>
                    </w:rPr>
                    <w:t>19.805.314.725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sz w:val="22"/>
                      <w:szCs w:val="22"/>
                    </w:rPr>
                  </w:pPr>
                  <w:r>
                    <w:rPr>
                      <w:rFonts w:eastAsia="Times New Roman"/>
                      <w:sz w:val="22"/>
                      <w:szCs w:val="22"/>
                    </w:rPr>
                    <w:t>7.821.001.705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sz w:val="22"/>
                      <w:szCs w:val="22"/>
                    </w:rPr>
                  </w:pPr>
                  <w:r>
                    <w:rPr>
                      <w:rFonts w:eastAsia="Times New Roman"/>
                      <w:sz w:val="22"/>
                      <w:szCs w:val="22"/>
                    </w:rPr>
                    <w:t>153,23</w:t>
                  </w:r>
                </w:p>
              </w:tc>
            </w:tr>
          </w:tbl>
          <w:p w:rsidR="00000000" w:rsidRDefault="00703D2E">
            <w:pPr>
              <w:jc w:val="both"/>
              <w:rPr>
                <w:rFonts w:eastAsia="Times New Roman"/>
              </w:rPr>
            </w:pPr>
          </w:p>
          <w:p w:rsidR="00000000" w:rsidRDefault="00703D2E">
            <w:pPr>
              <w:pStyle w:val="NormalWeb"/>
              <w:jc w:val="both"/>
            </w:pPr>
            <w:r>
              <w:t>Realisasi Belanja Barang 30 Juni 2022 mengalami kenaikan sebesar 153,23 dari Realisasi Belanja Barang 30 Juni 2</w:t>
            </w:r>
            <w:r>
              <w:t xml:space="preserve">021. </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Belanja Modal Rp31.500.000 </w:t>
            </w:r>
          </w:p>
        </w:tc>
        <w:tc>
          <w:tcPr>
            <w:tcW w:w="0" w:type="auto"/>
            <w:hideMark/>
          </w:tcPr>
          <w:p w:rsidR="00000000" w:rsidRDefault="00703D2E">
            <w:pPr>
              <w:pStyle w:val="Heading5"/>
              <w:jc w:val="both"/>
              <w:rPr>
                <w:rFonts w:eastAsia="Times New Roman"/>
                <w:color w:val="00008B"/>
              </w:rPr>
            </w:pPr>
            <w:r>
              <w:rPr>
                <w:rFonts w:eastAsia="Times New Roman"/>
                <w:color w:val="00008B"/>
              </w:rPr>
              <w:t>B.5 Belanja Modal</w:t>
            </w:r>
          </w:p>
          <w:p w:rsidR="00000000" w:rsidRDefault="00703D2E">
            <w:pPr>
              <w:pStyle w:val="NormalWeb"/>
              <w:jc w:val="both"/>
            </w:pPr>
            <w:r>
              <w:t xml:space="preserve">Realisasi Belanja Modal per 30 Juni 2022 dan 30 Juni 2021 adalah masing-masing sebesar Rp31.500.000 dan Rp0. </w:t>
            </w:r>
            <w:r>
              <w:t xml:space="preserve">Belanja modal merupakan pengeluaran anggaran untuk perolehan aset tetap dan aset lainnya yang memberi manfaat lebih dari satu periode akuntansi.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Realisasi Belanja Modal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0"/>
              <w:gridCol w:w="1500"/>
              <w:gridCol w:w="1500"/>
              <w:gridCol w:w="120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Realisasi 30 Juni 2022(Rp)</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w:t>
                  </w:r>
                  <w:r>
                    <w:rPr>
                      <w:rFonts w:eastAsia="Times New Roman"/>
                      <w:b/>
                      <w:bCs/>
                    </w:rPr>
                    <w:t>sasi 30 Juni 2021(Rp)</w:t>
                  </w:r>
                </w:p>
              </w:tc>
              <w:tc>
                <w:tcPr>
                  <w:tcW w:w="12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 (Turun)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Modal Peralatan dan Mesin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rPr>
                      <w:rFonts w:eastAsia="Times New Roman"/>
                    </w:rPr>
                  </w:pPr>
                  <w:r>
                    <w:rPr>
                      <w:rFonts w:eastAsia="Times New Roman"/>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Pengembalian Belanja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0,00</w:t>
                  </w:r>
                </w:p>
              </w:tc>
            </w:tr>
          </w:tbl>
          <w:p w:rsidR="00000000" w:rsidRDefault="00703D2E">
            <w:pPr>
              <w:jc w:val="both"/>
              <w:rPr>
                <w:rFonts w:eastAsia="Times New Roman"/>
              </w:rPr>
            </w:pPr>
          </w:p>
          <w:p w:rsidR="00000000" w:rsidRDefault="00703D2E">
            <w:pPr>
              <w:pStyle w:val="NormalWeb"/>
              <w:jc w:val="both"/>
            </w:pPr>
            <w:r>
              <w:t xml:space="preserve">Realisasi Belanja Modal 30 Juni 2022 mengalami kenaikan sebesar 0,00 dibandingkan 30 Juni 2021 disebabkan oleh </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1995"/>
        <w:gridCol w:w="7005"/>
      </w:tblGrid>
      <w:tr w:rsidR="00000000">
        <w:trPr>
          <w:divId w:val="534586153"/>
          <w:tblCellSpacing w:w="15" w:type="dxa"/>
        </w:trPr>
        <w:tc>
          <w:tcPr>
            <w:tcW w:w="1950" w:type="dxa"/>
            <w:tcMar>
              <w:top w:w="15" w:type="dxa"/>
              <w:left w:w="15" w:type="dxa"/>
              <w:bottom w:w="180" w:type="dxa"/>
              <w:right w:w="120" w:type="dxa"/>
            </w:tcMar>
            <w:hideMark/>
          </w:tcPr>
          <w:p w:rsidR="00000000" w:rsidRDefault="00703D2E">
            <w:pPr>
              <w:rPr>
                <w:rFonts w:eastAsia="Times New Roman"/>
              </w:rPr>
            </w:pPr>
          </w:p>
        </w:tc>
        <w:tc>
          <w:tcPr>
            <w:tcW w:w="0" w:type="auto"/>
            <w:hideMark/>
          </w:tcPr>
          <w:p w:rsidR="00000000" w:rsidRDefault="00703D2E">
            <w:pPr>
              <w:pStyle w:val="Heading5"/>
              <w:jc w:val="both"/>
              <w:rPr>
                <w:rFonts w:eastAsia="Times New Roman"/>
                <w:color w:val="00008B"/>
              </w:rPr>
            </w:pPr>
            <w:r>
              <w:rPr>
                <w:rFonts w:eastAsia="Times New Roman"/>
                <w:color w:val="00008B"/>
              </w:rPr>
              <w:t>B.5.1 Belanja Modal Peralatan dan Mesin</w:t>
            </w:r>
          </w:p>
          <w:p w:rsidR="00000000" w:rsidRDefault="00703D2E">
            <w:pPr>
              <w:pStyle w:val="NormalWeb"/>
              <w:jc w:val="both"/>
            </w:pPr>
            <w:r>
              <w:t xml:space="preserve">Realisasi Belanja Modal Peralatan dan Mesinper 30 Juni 2022 dan 30 Juni 2021 </w:t>
            </w:r>
            <w:r>
              <w:t xml:space="preserve">adalah masing-masing sebesar Rp31.500.000 dan Rp0. , </w:t>
            </w:r>
            <w:r>
              <w:lastRenderedPageBreak/>
              <w:t xml:space="preserve">mengalami kenaikan sebesar 0,00 persen bila dibandingkan dengan realisasi 30 Juni 2021 sebesar Rp0.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Realisasi Belanja Modal Peralatan dan Mesin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0"/>
              <w:gridCol w:w="1875"/>
              <w:gridCol w:w="1875"/>
              <w:gridCol w:w="105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 Jeni</w:t>
                  </w:r>
                  <w:r>
                    <w:rPr>
                      <w:rFonts w:eastAsia="Times New Roman"/>
                      <w:b/>
                      <w:bCs/>
                    </w:rPr>
                    <w:t>s Belanja</w:t>
                  </w:r>
                </w:p>
              </w:tc>
              <w:tc>
                <w:tcPr>
                  <w:tcW w:w="187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Realisasi 30 Juni 2022 (Rp)</w:t>
                  </w:r>
                </w:p>
              </w:tc>
              <w:tc>
                <w:tcPr>
                  <w:tcW w:w="187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Realisasi 30 Juni 2021 (Rp)</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 (Turun)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Modal Peralatan dan Mesin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rPr>
                      <w:rFonts w:eastAsia="Times New Roman"/>
                    </w:rPr>
                  </w:pPr>
                  <w:r>
                    <w:rPr>
                      <w:rFonts w:eastAsia="Times New Roman"/>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CF89C"/>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Pengembalian Belanja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0,00</w:t>
                  </w:r>
                </w:p>
              </w:tc>
            </w:tr>
          </w:tbl>
          <w:p w:rsidR="00000000" w:rsidRDefault="00703D2E">
            <w:pPr>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1995"/>
        <w:gridCol w:w="7005"/>
      </w:tblGrid>
      <w:tr w:rsidR="00000000">
        <w:trPr>
          <w:divId w:val="534586153"/>
          <w:tblCellSpacing w:w="15" w:type="dxa"/>
        </w:trPr>
        <w:tc>
          <w:tcPr>
            <w:tcW w:w="1950" w:type="dxa"/>
            <w:tcMar>
              <w:top w:w="15" w:type="dxa"/>
              <w:left w:w="15" w:type="dxa"/>
              <w:bottom w:w="180" w:type="dxa"/>
              <w:right w:w="120" w:type="dxa"/>
            </w:tcMar>
            <w:hideMark/>
          </w:tcPr>
          <w:p w:rsidR="00000000" w:rsidRDefault="00703D2E">
            <w:pPr>
              <w:rPr>
                <w:rFonts w:eastAsia="Times New Roman"/>
              </w:rPr>
            </w:pPr>
          </w:p>
        </w:tc>
        <w:tc>
          <w:tcPr>
            <w:tcW w:w="0" w:type="auto"/>
            <w:hideMark/>
          </w:tcPr>
          <w:p w:rsidR="00000000" w:rsidRDefault="00703D2E">
            <w:pPr>
              <w:pStyle w:val="Heading5"/>
              <w:jc w:val="both"/>
              <w:rPr>
                <w:rFonts w:eastAsia="Times New Roman"/>
                <w:color w:val="00008B"/>
              </w:rPr>
            </w:pPr>
            <w:r>
              <w:rPr>
                <w:rFonts w:eastAsia="Times New Roman"/>
                <w:color w:val="00008B"/>
              </w:rPr>
              <w:t>C.PENJELASAN ATAS POS-POS NERACA</w:t>
            </w: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Kas di Bendahara Pengeluaran Rp1.158.100.000 </w:t>
            </w:r>
          </w:p>
        </w:tc>
        <w:tc>
          <w:tcPr>
            <w:tcW w:w="0" w:type="auto"/>
            <w:hideMark/>
          </w:tcPr>
          <w:p w:rsidR="00000000" w:rsidRDefault="00703D2E">
            <w:pPr>
              <w:pStyle w:val="Heading5"/>
              <w:jc w:val="both"/>
              <w:rPr>
                <w:rFonts w:eastAsia="Times New Roman"/>
                <w:color w:val="00008B"/>
              </w:rPr>
            </w:pPr>
            <w:r>
              <w:rPr>
                <w:rFonts w:eastAsia="Times New Roman"/>
                <w:color w:val="00008B"/>
              </w:rPr>
              <w:t>C.1 Kas di Bendahara Pengeluaran</w:t>
            </w:r>
          </w:p>
          <w:p w:rsidR="00000000" w:rsidRDefault="00703D2E">
            <w:pPr>
              <w:pStyle w:val="NormalWeb"/>
              <w:jc w:val="both"/>
            </w:pPr>
            <w:r>
              <w:t>Saldo Kas di Bendahara Pengeluaran per 30 Juni 2022 dan 31 Desember 2021 adalah masing-masing sebesar Rp1.158.100.000 dan Rp0 yang merupakan k</w:t>
            </w:r>
            <w:r>
              <w:t>as yang dikuasai, dikelola dan berada di bawah tanggung jawab Bendahara Pengeluaran yang berasal dari sisa UP/TUP yang belum dipertanggung-jawabkan atau belum disetorkan ke Rekening Kas Negara per tanggal neraca. Rincian Kas di Bendahara Pengeluaran adalah</w:t>
            </w:r>
            <w:r>
              <w:t xml:space="preserve"> sebagai berikut: </w:t>
            </w: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Kas Lainnya dan Setara Kas Rp509.900 </w:t>
            </w:r>
          </w:p>
        </w:tc>
        <w:tc>
          <w:tcPr>
            <w:tcW w:w="0" w:type="auto"/>
            <w:hideMark/>
          </w:tcPr>
          <w:p w:rsidR="00000000" w:rsidRDefault="00703D2E">
            <w:pPr>
              <w:pStyle w:val="Heading5"/>
              <w:jc w:val="both"/>
              <w:rPr>
                <w:rFonts w:eastAsia="Times New Roman"/>
                <w:color w:val="00008B"/>
              </w:rPr>
            </w:pPr>
            <w:r>
              <w:rPr>
                <w:rFonts w:eastAsia="Times New Roman"/>
                <w:color w:val="00008B"/>
              </w:rPr>
              <w:t>C.2 Kas Lainnya dan Setara Kas</w:t>
            </w:r>
          </w:p>
          <w:p w:rsidR="00000000" w:rsidRDefault="00703D2E">
            <w:pPr>
              <w:pStyle w:val="NormalWeb"/>
              <w:jc w:val="both"/>
            </w:pPr>
            <w:r>
              <w:t>Saldo Kas Lainnya dan Setara Kas per tanggal 30 Juni 2022 dan 31 Desember 2021 masing-masing sebesar Rp509.900 dan Rp592.150. Kas Lainnya dan Setara Kas merupakan kas</w:t>
            </w:r>
            <w:r>
              <w:t xml:space="preserve"> pada bendahara pengeluaran yang bukan berasal dari UP/TUP, kas lainnya dan setara kas. Setara kas yaitu investasi jangka pendek yang siap dicairkan menjadi kas dalam jangka waktu 3 bulan atau kurang sejak tanggal pelaporan. Rincian sumber Kas Lainnya dan </w:t>
            </w:r>
            <w:r>
              <w:t xml:space="preserve">Setara Kas pada tanggal pelaporan adalah sebagai berikut: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Kas Lainnya dan Setara Kas TA 2022 dan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4"/>
              <w:gridCol w:w="1485"/>
              <w:gridCol w:w="1491"/>
            </w:tblGrid>
            <w:tr w:rsidR="00000000">
              <w:tc>
                <w:tcPr>
                  <w:tcW w:w="30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Jenis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 (Rp)</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31 Desember 2021 (Rp)</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lastRenderedPageBreak/>
                    <w:t>Kas Lainnya di Bendahara Pengeluaran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509.900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592.150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Jumlah Netto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509.900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592.150</w:t>
                  </w:r>
                </w:p>
              </w:tc>
            </w:tr>
          </w:tbl>
          <w:p w:rsidR="00000000" w:rsidRDefault="00703D2E">
            <w:pPr>
              <w:jc w:val="both"/>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Belanja Dibayar di Muka Rp14.440.437 </w:t>
            </w:r>
          </w:p>
        </w:tc>
        <w:tc>
          <w:tcPr>
            <w:tcW w:w="0" w:type="auto"/>
            <w:hideMark/>
          </w:tcPr>
          <w:p w:rsidR="00000000" w:rsidRDefault="00703D2E">
            <w:pPr>
              <w:pStyle w:val="Heading5"/>
              <w:jc w:val="both"/>
              <w:rPr>
                <w:rFonts w:eastAsia="Times New Roman"/>
                <w:color w:val="00008B"/>
              </w:rPr>
            </w:pPr>
            <w:r>
              <w:rPr>
                <w:rFonts w:eastAsia="Times New Roman"/>
                <w:color w:val="00008B"/>
              </w:rPr>
              <w:t>C.3 Belanja Dibayar di Muka</w:t>
            </w:r>
          </w:p>
          <w:p w:rsidR="00000000" w:rsidRDefault="00703D2E">
            <w:pPr>
              <w:pStyle w:val="NormalWeb"/>
              <w:jc w:val="both"/>
            </w:pPr>
            <w:r>
              <w:t>Saldo Belanja Dibayar di Muka per tanggal 30 Juni 2022 dan 31 Desember 2021 masing-masing sebesar Rp14.440.437 dan Rp24.138.494. Belanja dibayar di muka merupakan hak yang masih harus diteri</w:t>
            </w:r>
            <w:r>
              <w:t xml:space="preserve">ma setelah tanggal neraca sebagai akibat dari barang/jasa telah dibayarkan secara penuh namun barang atau jasa belum diterima seluruhnya. Rincian Belanja Dibayar di Muka adalah sebagai berikut: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 xml:space="preserve">Rincian Belanja Dibayar di Muka 30 Juni 2022 dan 31 Desember </w:t>
                  </w:r>
                  <w:r>
                    <w:rPr>
                      <w:rFonts w:eastAsia="Times New Roman"/>
                      <w:i/>
                      <w:iCs/>
                    </w:rPr>
                    <w:t>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0"/>
              <w:gridCol w:w="2250"/>
              <w:gridCol w:w="225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Jenis </w:t>
                  </w:r>
                </w:p>
              </w:tc>
              <w:tc>
                <w:tcPr>
                  <w:tcW w:w="22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 (Rp)</w:t>
                  </w:r>
                </w:p>
              </w:tc>
              <w:tc>
                <w:tcPr>
                  <w:tcW w:w="22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31 Desember 2021 (Rp)</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Barang yang Dibayar Dimuka (prepaid)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14.440.437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24.138.494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14.440.437</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24.138.494</w:t>
                  </w:r>
                </w:p>
              </w:tc>
            </w:tr>
          </w:tbl>
          <w:p w:rsidR="00000000" w:rsidRDefault="00703D2E">
            <w:pPr>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Piutang Bukan Pajak Rp4.267.794 </w:t>
            </w:r>
          </w:p>
        </w:tc>
        <w:tc>
          <w:tcPr>
            <w:tcW w:w="0" w:type="auto"/>
            <w:hideMark/>
          </w:tcPr>
          <w:p w:rsidR="00000000" w:rsidRDefault="00703D2E">
            <w:pPr>
              <w:pStyle w:val="Heading5"/>
              <w:jc w:val="both"/>
              <w:rPr>
                <w:rFonts w:eastAsia="Times New Roman"/>
                <w:color w:val="00008B"/>
              </w:rPr>
            </w:pPr>
            <w:r>
              <w:rPr>
                <w:rFonts w:eastAsia="Times New Roman"/>
                <w:color w:val="00008B"/>
              </w:rPr>
              <w:t>C.4 Piutang Bukan Pajak</w:t>
            </w:r>
          </w:p>
          <w:p w:rsidR="00000000" w:rsidRDefault="00703D2E">
            <w:pPr>
              <w:pStyle w:val="NormalWeb"/>
              <w:jc w:val="both"/>
            </w:pPr>
            <w:r>
              <w:t>Saldo Piutang Bukan Pajak per tanggal 30 Juni 2022 dan 31 Desember 2021 masing-masing sebesar Rp4.267.794 dan Rp0. Piutang Bukan Pajak merupakan semua hak atau pengakuan/klaim pemerintah atas uang atau jasa terhadap pelayanan yang telah diberikan dan belum</w:t>
            </w:r>
            <w:r>
              <w:t xml:space="preserve"> diselesaikan pembayaran atau serah terimanya pada akhir tahun anggaran per tanggal neraca. Piutang Bukan Pajak dicatat sebesar nilai nominal yang ditetapkan dalam surat ketetapan/surat tagihan.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Piutang Bukan Pajak 30 Juni 2022 dan 31 Desember 202</w:t>
                  </w:r>
                  <w:r>
                    <w:rPr>
                      <w:rFonts w:eastAsia="Times New Roman"/>
                      <w:i/>
                      <w:iCs/>
                    </w:rPr>
                    <w:t>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0"/>
              <w:gridCol w:w="2250"/>
              <w:gridCol w:w="225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Jenis </w:t>
                  </w:r>
                </w:p>
              </w:tc>
              <w:tc>
                <w:tcPr>
                  <w:tcW w:w="22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 (Rp)</w:t>
                  </w:r>
                </w:p>
              </w:tc>
              <w:tc>
                <w:tcPr>
                  <w:tcW w:w="22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31 Desember 2021(Rp)</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Piutang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4.267.794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4.267.794</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r>
          </w:tbl>
          <w:p w:rsidR="00000000" w:rsidRDefault="00703D2E">
            <w:pPr>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4"/>
        <w:gridCol w:w="6706"/>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Persediaan 268.028.035 </w:t>
            </w:r>
          </w:p>
        </w:tc>
        <w:tc>
          <w:tcPr>
            <w:tcW w:w="0" w:type="auto"/>
            <w:hideMark/>
          </w:tcPr>
          <w:p w:rsidR="00000000" w:rsidRDefault="00703D2E">
            <w:pPr>
              <w:pStyle w:val="Heading5"/>
              <w:jc w:val="both"/>
              <w:rPr>
                <w:rFonts w:eastAsia="Times New Roman"/>
                <w:color w:val="00008B"/>
              </w:rPr>
            </w:pPr>
            <w:r>
              <w:rPr>
                <w:rFonts w:eastAsia="Times New Roman"/>
                <w:color w:val="00008B"/>
              </w:rPr>
              <w:t>C.5 Persediaan</w:t>
            </w:r>
          </w:p>
          <w:p w:rsidR="00000000" w:rsidRDefault="00703D2E">
            <w:pPr>
              <w:pStyle w:val="NormalWeb"/>
              <w:jc w:val="both"/>
            </w:pPr>
            <w:r>
              <w:lastRenderedPageBreak/>
              <w:t xml:space="preserve">Nilai Persediaan per 30 Juni 2022 dan 31 Desember 2021 masing-masing sebesar Rp268.028.035 </w:t>
            </w:r>
            <w:r>
              <w:t xml:space="preserve">dan Rp682.651.113. Persediaan adalah aset lancar dalam bentuk barang atau perlengkapan yang dimaksudkan untuk mendukung kegiatan operasional pemerintah, dan/atau untuk dijual, dan/atau diserahkan dalam rangka pelayanan kepada masyarakat.Rincian Persediaan </w:t>
            </w:r>
            <w:r>
              <w:t xml:space="preserve">per 30 Juni 2022 dan 31 Desember 2021 adalah sebagai berikut: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1"/>
            </w:tblGrid>
            <w:tr w:rsidR="00000000">
              <w:trPr>
                <w:tblCellSpacing w:w="15" w:type="dxa"/>
              </w:trPr>
              <w:tc>
                <w:tcPr>
                  <w:tcW w:w="6615" w:type="dxa"/>
                  <w:vAlign w:val="center"/>
                  <w:hideMark/>
                </w:tcPr>
                <w:p w:rsidR="00000000" w:rsidRDefault="00703D2E">
                  <w:pPr>
                    <w:jc w:val="center"/>
                    <w:rPr>
                      <w:rFonts w:eastAsia="Times New Roman"/>
                      <w:i/>
                      <w:iCs/>
                    </w:rPr>
                  </w:pPr>
                  <w:r>
                    <w:rPr>
                      <w:rFonts w:eastAsia="Times New Roman"/>
                      <w:i/>
                      <w:iCs/>
                    </w:rPr>
                    <w:t xml:space="preserve">Rincian Persediaan 30 Juni 2022 dan 31 Desember 2021 </w:t>
                  </w:r>
                </w:p>
              </w:tc>
            </w:tr>
          </w:tbl>
          <w:p w:rsidR="00000000" w:rsidRDefault="00703D2E">
            <w:pPr>
              <w:jc w:val="both"/>
              <w:rPr>
                <w:rFonts w:eastAsia="Times New Roman"/>
                <w:vanish/>
              </w:rPr>
            </w:pPr>
          </w:p>
          <w:tbl>
            <w:tblPr>
              <w:tblW w:w="66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5"/>
              <w:gridCol w:w="1800"/>
              <w:gridCol w:w="180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Jenis </w:t>
                  </w: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 (Rp)</w:t>
                  </w:r>
                </w:p>
              </w:tc>
              <w:tc>
                <w:tcPr>
                  <w:tcW w:w="18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31 Desember 2021 (Rp)</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Barang Konsumsi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266.721.635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681.061.863</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Bahan untuk Pemeliharaan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1.306.400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1.589.250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268.028.035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682.651.113</w:t>
                  </w:r>
                </w:p>
              </w:tc>
            </w:tr>
          </w:tbl>
          <w:p w:rsidR="00000000" w:rsidRDefault="00703D2E">
            <w:pPr>
              <w:jc w:val="both"/>
              <w:rPr>
                <w:rFonts w:eastAsia="Times New Roman"/>
              </w:rPr>
            </w:pPr>
          </w:p>
          <w:p w:rsidR="00000000" w:rsidRDefault="00703D2E">
            <w:pPr>
              <w:jc w:val="both"/>
              <w:rPr>
                <w:rFonts w:eastAsia="Times New Roman"/>
              </w:rPr>
            </w:pPr>
          </w:p>
          <w:p w:rsidR="00000000" w:rsidRDefault="00703D2E">
            <w:pPr>
              <w:pStyle w:val="NormalWeb"/>
              <w:jc w:val="both"/>
            </w:pPr>
            <w:r>
              <w:t>Mutasi Nilai Persediaan 30 Juni 2022 dijelaskan sebagai berikut :</w:t>
            </w:r>
          </w:p>
          <w:p w:rsidR="00000000" w:rsidRDefault="00703D2E">
            <w:pPr>
              <w:jc w:val="both"/>
              <w:rPr>
                <w:rFonts w:eastAsia="Times New Roman"/>
              </w:rPr>
            </w:pP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3045"/>
              <w:gridCol w:w="180"/>
              <w:gridCol w:w="1275"/>
            </w:tblGrid>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Per 31 Desember 2021</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682.651.113</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Tambah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Tambah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Kurang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Kurang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Kenaikan(Penurunan)</w:t>
                  </w:r>
                </w:p>
              </w:tc>
              <w:tc>
                <w:tcPr>
                  <w:tcW w:w="0" w:type="auto"/>
                  <w:vAlign w:val="center"/>
                  <w:hideMark/>
                </w:tcPr>
                <w:p w:rsidR="00000000" w:rsidRDefault="00703D2E">
                  <w:pPr>
                    <w:rPr>
                      <w:rFonts w:eastAsia="Times New Roman"/>
                    </w:rPr>
                  </w:pPr>
                </w:p>
              </w:tc>
              <w:tc>
                <w:tcPr>
                  <w:tcW w:w="0" w:type="auto"/>
                  <w:tcBorders>
                    <w:bottom w:val="single" w:sz="6" w:space="0" w:color="auto"/>
                  </w:tcBorders>
                  <w:vAlign w:val="center"/>
                  <w:hideMark/>
                </w:tcPr>
                <w:p w:rsidR="00000000" w:rsidRDefault="00703D2E">
                  <w:pPr>
                    <w:jc w:val="right"/>
                    <w:rPr>
                      <w:rFonts w:eastAsia="Times New Roman"/>
                    </w:rPr>
                  </w:pPr>
                  <w:r>
                    <w:rPr>
                      <w:rFonts w:eastAsia="Times New Roman"/>
                      <w:b/>
                      <w:bCs/>
                    </w:rPr>
                    <w:t>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682.651.113</w:t>
                  </w:r>
                </w:p>
              </w:tc>
            </w:tr>
          </w:tbl>
          <w:p w:rsidR="00000000" w:rsidRDefault="00703D2E">
            <w:pPr>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Persediaan Belum Diregister Rp9.334.500 </w:t>
            </w:r>
          </w:p>
        </w:tc>
        <w:tc>
          <w:tcPr>
            <w:tcW w:w="0" w:type="auto"/>
            <w:hideMark/>
          </w:tcPr>
          <w:p w:rsidR="00000000" w:rsidRDefault="00703D2E">
            <w:pPr>
              <w:pStyle w:val="Heading5"/>
              <w:jc w:val="both"/>
              <w:rPr>
                <w:rFonts w:eastAsia="Times New Roman"/>
                <w:color w:val="00008B"/>
              </w:rPr>
            </w:pPr>
            <w:r>
              <w:rPr>
                <w:rFonts w:eastAsia="Times New Roman"/>
                <w:color w:val="00008B"/>
              </w:rPr>
              <w:t>C.6 Persediaan Belum Diregister</w:t>
            </w:r>
          </w:p>
          <w:p w:rsidR="00000000" w:rsidRDefault="00703D2E">
            <w:pPr>
              <w:pStyle w:val="NormalWeb"/>
              <w:jc w:val="both"/>
            </w:pPr>
            <w:r>
              <w:t>Persediaan Belum Diregister per 30 Juni 2022 dan 31 Desember 2021 masing-masing sebesar Rp9.334.500 dan Rp</w:t>
            </w:r>
            <w:r>
              <w:t>0. Persediaan Belum Diregister merupakan akun perolehan persediaan yang tidak melalui belanja persediaan atau belanja barang persediaan untuk memperoleh barang yang bukan persediaan.</w:t>
            </w:r>
            <w:r>
              <w:t xml:space="preserve"> </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Tanah Rp40.531.295.035 </w:t>
            </w:r>
          </w:p>
        </w:tc>
        <w:tc>
          <w:tcPr>
            <w:tcW w:w="0" w:type="auto"/>
            <w:hideMark/>
          </w:tcPr>
          <w:p w:rsidR="00000000" w:rsidRDefault="00703D2E">
            <w:pPr>
              <w:pStyle w:val="Heading5"/>
              <w:jc w:val="both"/>
              <w:rPr>
                <w:rFonts w:eastAsia="Times New Roman"/>
                <w:color w:val="00008B"/>
              </w:rPr>
            </w:pPr>
            <w:r>
              <w:rPr>
                <w:rFonts w:eastAsia="Times New Roman"/>
                <w:color w:val="00008B"/>
              </w:rPr>
              <w:t>C.7 Tanah</w:t>
            </w:r>
          </w:p>
          <w:p w:rsidR="00000000" w:rsidRDefault="00703D2E">
            <w:pPr>
              <w:pStyle w:val="NormalWeb"/>
              <w:jc w:val="both"/>
            </w:pPr>
            <w:r>
              <w:lastRenderedPageBreak/>
              <w:t xml:space="preserve">Nilai aset tetap berupa tanah yang dimiliki 30 Juni 2022 dan 31 Desember 2021 adalah sebesar Rp40.531.295.035 dan Rp40.531.295.035. Mutasi nilai tanah tersebut dapat dijelaskan sebagai berikut: </w:t>
            </w:r>
          </w:p>
          <w:p w:rsidR="00000000" w:rsidRDefault="00703D2E">
            <w:pPr>
              <w:jc w:val="both"/>
              <w:rPr>
                <w:rFonts w:eastAsia="Times New Roman"/>
              </w:rPr>
            </w:pP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2745"/>
              <w:gridCol w:w="180"/>
              <w:gridCol w:w="1575"/>
            </w:tblGrid>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Per 31 Desember 2021</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40.531.295.035</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Tambah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Tambah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Kurang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Kurang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Kenaikan(Penurunan)</w:t>
                  </w:r>
                </w:p>
              </w:tc>
              <w:tc>
                <w:tcPr>
                  <w:tcW w:w="0" w:type="auto"/>
                  <w:vAlign w:val="center"/>
                  <w:hideMark/>
                </w:tcPr>
                <w:p w:rsidR="00000000" w:rsidRDefault="00703D2E">
                  <w:pPr>
                    <w:rPr>
                      <w:rFonts w:eastAsia="Times New Roman"/>
                    </w:rPr>
                  </w:pPr>
                </w:p>
              </w:tc>
              <w:tc>
                <w:tcPr>
                  <w:tcW w:w="0" w:type="auto"/>
                  <w:tcBorders>
                    <w:bottom w:val="single" w:sz="6" w:space="0" w:color="auto"/>
                  </w:tcBorders>
                  <w:vAlign w:val="center"/>
                  <w:hideMark/>
                </w:tcPr>
                <w:p w:rsidR="00000000" w:rsidRDefault="00703D2E">
                  <w:pPr>
                    <w:jc w:val="right"/>
                    <w:rPr>
                      <w:rFonts w:eastAsia="Times New Roman"/>
                    </w:rPr>
                  </w:pPr>
                  <w:r>
                    <w:rPr>
                      <w:rFonts w:eastAsia="Times New Roman"/>
                      <w:b/>
                      <w:bCs/>
                    </w:rPr>
                    <w:t>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40.531.295.035</w:t>
                  </w:r>
                </w:p>
              </w:tc>
            </w:tr>
          </w:tbl>
          <w:p w:rsidR="00000000" w:rsidRDefault="00703D2E">
            <w:pPr>
              <w:jc w:val="both"/>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Peralatan dan Mesin Rp33.431.625.930 </w:t>
            </w:r>
          </w:p>
        </w:tc>
        <w:tc>
          <w:tcPr>
            <w:tcW w:w="0" w:type="auto"/>
            <w:hideMark/>
          </w:tcPr>
          <w:p w:rsidR="00000000" w:rsidRDefault="00703D2E">
            <w:pPr>
              <w:pStyle w:val="Heading5"/>
              <w:jc w:val="both"/>
              <w:rPr>
                <w:rFonts w:eastAsia="Times New Roman"/>
                <w:color w:val="00008B"/>
              </w:rPr>
            </w:pPr>
            <w:r>
              <w:rPr>
                <w:rFonts w:eastAsia="Times New Roman"/>
                <w:color w:val="00008B"/>
              </w:rPr>
              <w:t>C.8 Peralatan dan Mesin</w:t>
            </w:r>
          </w:p>
          <w:p w:rsidR="00000000" w:rsidRDefault="00703D2E">
            <w:pPr>
              <w:pStyle w:val="NormalWeb"/>
              <w:jc w:val="both"/>
            </w:pPr>
            <w:r>
              <w:t xml:space="preserve">Saldo aset tetap berupa Peralatan dan Mesin per 30 Juni 2022 dan 31 Desember 2021 adalah Rp33.431.625.930 dan Rp33.400.125.930. Mutasi nilai Peralatan dan Mesin tersebut dapat dijelaskan sebagai berikut: </w:t>
            </w:r>
          </w:p>
          <w:p w:rsidR="00000000" w:rsidRDefault="00703D2E">
            <w:pPr>
              <w:jc w:val="both"/>
              <w:rPr>
                <w:rFonts w:eastAsia="Times New Roman"/>
              </w:rPr>
            </w:pP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2585"/>
              <w:gridCol w:w="180"/>
              <w:gridCol w:w="1735"/>
            </w:tblGrid>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Per 31 Desember 2021</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33.400.125.930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Tambah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Tambah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Kurang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Kurang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Kenaikan(Penurunan)</w:t>
                  </w:r>
                </w:p>
              </w:tc>
              <w:tc>
                <w:tcPr>
                  <w:tcW w:w="0" w:type="auto"/>
                  <w:vAlign w:val="center"/>
                  <w:hideMark/>
                </w:tcPr>
                <w:p w:rsidR="00000000" w:rsidRDefault="00703D2E">
                  <w:pPr>
                    <w:rPr>
                      <w:rFonts w:eastAsia="Times New Roman"/>
                    </w:rPr>
                  </w:pPr>
                </w:p>
              </w:tc>
              <w:tc>
                <w:tcPr>
                  <w:tcW w:w="0" w:type="auto"/>
                  <w:tcBorders>
                    <w:bottom w:val="single" w:sz="6" w:space="0" w:color="auto"/>
                  </w:tcBorders>
                  <w:vAlign w:val="center"/>
                  <w:hideMark/>
                </w:tcPr>
                <w:p w:rsidR="00000000" w:rsidRDefault="00703D2E">
                  <w:pPr>
                    <w:jc w:val="right"/>
                    <w:rPr>
                      <w:rFonts w:eastAsia="Times New Roman"/>
                    </w:rPr>
                  </w:pPr>
                  <w:r>
                    <w:rPr>
                      <w:rFonts w:eastAsia="Times New Roman"/>
                      <w:b/>
                      <w:bCs/>
                    </w:rPr>
                    <w:t>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33.400.125.930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Akumulasi Penyusutan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(30.457.018.878)</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Nilai Buku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2.943.107.052</w:t>
                  </w:r>
                </w:p>
              </w:tc>
            </w:tr>
          </w:tbl>
          <w:p w:rsidR="00000000" w:rsidRDefault="00703D2E">
            <w:pPr>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lastRenderedPageBreak/>
              <w:t xml:space="preserve">Gedung dan Bangunan Rp26.814.967.893 </w:t>
            </w:r>
          </w:p>
        </w:tc>
        <w:tc>
          <w:tcPr>
            <w:tcW w:w="0" w:type="auto"/>
            <w:hideMark/>
          </w:tcPr>
          <w:p w:rsidR="00000000" w:rsidRDefault="00703D2E">
            <w:pPr>
              <w:pStyle w:val="Heading5"/>
              <w:jc w:val="both"/>
              <w:rPr>
                <w:rFonts w:eastAsia="Times New Roman"/>
                <w:color w:val="00008B"/>
              </w:rPr>
            </w:pPr>
            <w:r>
              <w:rPr>
                <w:rFonts w:eastAsia="Times New Roman"/>
                <w:color w:val="00008B"/>
              </w:rPr>
              <w:t>C.9 Gedung dan Bangunan</w:t>
            </w:r>
          </w:p>
          <w:p w:rsidR="00000000" w:rsidRDefault="00703D2E">
            <w:pPr>
              <w:pStyle w:val="NormalWeb"/>
              <w:jc w:val="both"/>
            </w:pPr>
            <w:r>
              <w:t xml:space="preserve">Nilai Gedung dan Bangunan per 30 Juni 2022 dan 31 Desember 2021 adalah Rp26.814.967.893 </w:t>
            </w:r>
            <w:r>
              <w:t xml:space="preserve">dan Rp26.814.967.893. Mutasi transaksi terhadap Gedung dan Bangunan pada tanggal pelaporan adalah sebagai berikut: </w:t>
            </w:r>
          </w:p>
          <w:p w:rsidR="00000000" w:rsidRDefault="00703D2E">
            <w:pPr>
              <w:jc w:val="both"/>
              <w:rPr>
                <w:rFonts w:eastAsia="Times New Roman"/>
              </w:rPr>
            </w:pP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2705"/>
              <w:gridCol w:w="180"/>
              <w:gridCol w:w="1615"/>
            </w:tblGrid>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Per 31 Desember 2021</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26.814.967.893</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Tambah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Tambah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Kurang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Kurang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Kenaikan(Penurunan)</w:t>
                  </w:r>
                </w:p>
              </w:tc>
              <w:tc>
                <w:tcPr>
                  <w:tcW w:w="0" w:type="auto"/>
                  <w:vAlign w:val="center"/>
                  <w:hideMark/>
                </w:tcPr>
                <w:p w:rsidR="00000000" w:rsidRDefault="00703D2E">
                  <w:pPr>
                    <w:rPr>
                      <w:rFonts w:eastAsia="Times New Roman"/>
                    </w:rPr>
                  </w:pPr>
                </w:p>
              </w:tc>
              <w:tc>
                <w:tcPr>
                  <w:tcW w:w="0" w:type="auto"/>
                  <w:tcBorders>
                    <w:bottom w:val="single" w:sz="6" w:space="0" w:color="auto"/>
                  </w:tcBorders>
                  <w:vAlign w:val="center"/>
                  <w:hideMark/>
                </w:tcPr>
                <w:p w:rsidR="00000000" w:rsidRDefault="00703D2E">
                  <w:pPr>
                    <w:jc w:val="right"/>
                    <w:rPr>
                      <w:rFonts w:eastAsia="Times New Roman"/>
                    </w:rPr>
                  </w:pPr>
                  <w:r>
                    <w:rPr>
                      <w:rFonts w:eastAsia="Times New Roman"/>
                      <w:b/>
                      <w:bCs/>
                    </w:rPr>
                    <w:t>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26.814.967.893</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Akumulasi Penyusutan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(4.766.404.281)</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Nilai Buku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22.048.563.612</w:t>
                  </w:r>
                </w:p>
              </w:tc>
            </w:tr>
          </w:tbl>
          <w:p w:rsidR="00000000" w:rsidRDefault="00703D2E">
            <w:pPr>
              <w:jc w:val="both"/>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Aset Tetap Lainnya Rp1.045.126.969 </w:t>
            </w:r>
          </w:p>
        </w:tc>
        <w:tc>
          <w:tcPr>
            <w:tcW w:w="0" w:type="auto"/>
            <w:tcMar>
              <w:top w:w="15" w:type="dxa"/>
              <w:left w:w="300" w:type="dxa"/>
              <w:bottom w:w="180" w:type="dxa"/>
              <w:right w:w="15" w:type="dxa"/>
            </w:tcMar>
            <w:hideMark/>
          </w:tcPr>
          <w:p w:rsidR="00000000" w:rsidRDefault="00703D2E">
            <w:pPr>
              <w:pStyle w:val="Heading5"/>
              <w:jc w:val="both"/>
              <w:rPr>
                <w:rFonts w:eastAsia="Times New Roman"/>
                <w:color w:val="00008B"/>
              </w:rPr>
            </w:pPr>
            <w:r>
              <w:rPr>
                <w:rFonts w:eastAsia="Times New Roman"/>
                <w:color w:val="00008B"/>
              </w:rPr>
              <w:t>C.10 Aset Tetap Lainnya</w:t>
            </w:r>
          </w:p>
          <w:p w:rsidR="00000000" w:rsidRDefault="00703D2E">
            <w:pPr>
              <w:pStyle w:val="NormalWeb"/>
              <w:jc w:val="both"/>
            </w:pPr>
            <w:r>
              <w:t>Aset Tetap Lainnya merupakan aset tetap yang tidak dapat dikelompokkan dalam tanah, peralatan dan mesin, gedung dan bangunan, jalan, irigasi dan jaringan. Saldo Aset Tetap Lainnya per 30 Juni 2022</w:t>
            </w:r>
            <w:r>
              <w:t xml:space="preserve"> dan 31 Desember 2021 adalah Rp1.045.126.969 dan Rp1.045.126.969. Nilai mutasi atas aset tetap per 30 Juni 2022 disajikan pada tabel berikut: </w:t>
            </w:r>
          </w:p>
          <w:p w:rsidR="00000000" w:rsidRDefault="00703D2E">
            <w:pPr>
              <w:jc w:val="both"/>
              <w:rPr>
                <w:rFonts w:eastAsia="Times New Roman"/>
              </w:rPr>
            </w:pP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2865"/>
              <w:gridCol w:w="180"/>
              <w:gridCol w:w="1455"/>
            </w:tblGrid>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Per 31 Desember 2021</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1.045.126.969</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Tambah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Tambah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Kurang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Kurang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Kenaikan(Penurunan)</w:t>
                  </w:r>
                </w:p>
              </w:tc>
              <w:tc>
                <w:tcPr>
                  <w:tcW w:w="0" w:type="auto"/>
                  <w:vAlign w:val="center"/>
                  <w:hideMark/>
                </w:tcPr>
                <w:p w:rsidR="00000000" w:rsidRDefault="00703D2E">
                  <w:pPr>
                    <w:rPr>
                      <w:rFonts w:eastAsia="Times New Roman"/>
                    </w:rPr>
                  </w:pPr>
                </w:p>
              </w:tc>
              <w:tc>
                <w:tcPr>
                  <w:tcW w:w="0" w:type="auto"/>
                  <w:tcBorders>
                    <w:bottom w:val="single" w:sz="6" w:space="0" w:color="auto"/>
                  </w:tcBorders>
                  <w:vAlign w:val="center"/>
                  <w:hideMark/>
                </w:tcPr>
                <w:p w:rsidR="00000000" w:rsidRDefault="00703D2E">
                  <w:pPr>
                    <w:jc w:val="right"/>
                    <w:rPr>
                      <w:rFonts w:eastAsia="Times New Roman"/>
                    </w:rPr>
                  </w:pPr>
                  <w:r>
                    <w:rPr>
                      <w:rFonts w:eastAsia="Times New Roman"/>
                      <w:b/>
                      <w:bCs/>
                    </w:rPr>
                    <w:t>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lastRenderedPageBreak/>
                    <w:t>Saldo Nilai Perolehan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1.045.126.969</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Akumulasi Penyusutan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Nilai Buku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1.045.126.969</w:t>
                  </w:r>
                </w:p>
              </w:tc>
            </w:tr>
          </w:tbl>
          <w:p w:rsidR="00000000" w:rsidRDefault="00703D2E">
            <w:pPr>
              <w:jc w:val="both"/>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Akumulasi Penyusutan Aset Tetap Rp35.223.423.159 </w:t>
            </w:r>
          </w:p>
        </w:tc>
        <w:tc>
          <w:tcPr>
            <w:tcW w:w="0" w:type="auto"/>
            <w:hideMark/>
          </w:tcPr>
          <w:p w:rsidR="00000000" w:rsidRDefault="00703D2E">
            <w:pPr>
              <w:pStyle w:val="Heading5"/>
              <w:jc w:val="both"/>
              <w:rPr>
                <w:rFonts w:eastAsia="Times New Roman"/>
                <w:color w:val="00008B"/>
              </w:rPr>
            </w:pPr>
            <w:r>
              <w:rPr>
                <w:rFonts w:eastAsia="Times New Roman"/>
                <w:color w:val="00008B"/>
              </w:rPr>
              <w:t>C.11 Akumulasi Penyusutan Aset Tetap</w:t>
            </w:r>
          </w:p>
          <w:p w:rsidR="00000000" w:rsidRDefault="00703D2E">
            <w:pPr>
              <w:pStyle w:val="NormalWeb"/>
              <w:jc w:val="both"/>
            </w:pPr>
            <w:r>
              <w:t>Saldo Akumulasi Penyusutan Aset Tetap per 30 Juni 2022 dan 31 Desember 2021 adalah masing-masing Rp35.223.423.159 dan Rp33.809.722.270. Akumulasi Penyusutan Aset Tetap m</w:t>
            </w:r>
            <w:r>
              <w:t xml:space="preserve">erupakan alokasi sistematis atas nilai suatu aset tetap yang disusutkan selama masa manfaat aset yang bersangkutan selain untuk Tanah dan Konstruksi dalam Pengerjaan (KDP). Rincian Akumulasi Penyusutan Aset Tetap per 30 Juni 2022 adalah sebagai berikut: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w:t>
                  </w:r>
                  <w:r>
                    <w:rPr>
                      <w:rFonts w:eastAsia="Times New Roman"/>
                      <w:i/>
                      <w:iCs/>
                    </w:rPr>
                    <w:t xml:space="preserve">incian Akumulasi Penyusutan Aset Tetap 30 Juni 2022 </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
              <w:gridCol w:w="1915"/>
              <w:gridCol w:w="1915"/>
              <w:gridCol w:w="1915"/>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Aset Tetap</w:t>
                  </w:r>
                </w:p>
              </w:tc>
              <w:tc>
                <w:tcPr>
                  <w:tcW w:w="19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Perolehan</w:t>
                  </w:r>
                </w:p>
              </w:tc>
              <w:tc>
                <w:tcPr>
                  <w:tcW w:w="19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Akumulasi Penyusutan</w:t>
                  </w:r>
                </w:p>
              </w:tc>
              <w:tc>
                <w:tcPr>
                  <w:tcW w:w="19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Buku</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Peralatan dan Mesin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33.431.625.930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30.457.018.878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2.974.607.052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Gedung dan Bangunan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26.814.967.893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4.766.404.281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22.048.563.612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Aset Tetap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1.045.126.969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1.045.126.969</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61.291.720.792</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35.223.423.159</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26.068.297.633</w:t>
                  </w:r>
                </w:p>
              </w:tc>
            </w:tr>
          </w:tbl>
          <w:p w:rsidR="00000000" w:rsidRDefault="00703D2E">
            <w:pPr>
              <w:pStyle w:val="NormalWeb"/>
              <w:jc w:val="both"/>
            </w:pPr>
            <w:r>
              <w:t>Rincian Akumulasi Penyusutan Aset Tetap disajikan pada Lampiran Laporan Keuangan ini.</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Aset Tak Berwujud Rp1.892.297.500 </w:t>
            </w:r>
          </w:p>
        </w:tc>
        <w:tc>
          <w:tcPr>
            <w:tcW w:w="0" w:type="auto"/>
            <w:hideMark/>
          </w:tcPr>
          <w:p w:rsidR="00000000" w:rsidRDefault="00703D2E">
            <w:pPr>
              <w:pStyle w:val="Heading5"/>
              <w:jc w:val="both"/>
              <w:rPr>
                <w:rFonts w:eastAsia="Times New Roman"/>
                <w:color w:val="00008B"/>
              </w:rPr>
            </w:pPr>
            <w:r>
              <w:rPr>
                <w:rFonts w:eastAsia="Times New Roman"/>
                <w:color w:val="00008B"/>
              </w:rPr>
              <w:t>C.12 Aset Tak Berwujud</w:t>
            </w:r>
          </w:p>
          <w:p w:rsidR="00000000" w:rsidRDefault="00703D2E">
            <w:pPr>
              <w:pStyle w:val="NormalWeb"/>
              <w:jc w:val="both"/>
            </w:pPr>
            <w:r>
              <w:t xml:space="preserve">Saldo Aset Tak Berwujud (ATB) per 30 Juni 2022 dan 31 Desember 2021 adalah Rp1.892.297.500 dan Rp1.892.297.500. Aset Tak Berwujud merupakan aset yang dapat diidentifikasi dan dimiliki, tetapi </w:t>
            </w:r>
            <w:r>
              <w:lastRenderedPageBreak/>
              <w:t>tidak mempunyai wujud fisik. Aset Tak Berwujud pada berupa softw</w:t>
            </w:r>
            <w:r>
              <w:t xml:space="preserve">are yang digunakan untuk menunjang operasional kantor.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0000">
              <w:trPr>
                <w:tblCellSpacing w:w="15" w:type="dxa"/>
              </w:trPr>
              <w:tc>
                <w:tcPr>
                  <w:tcW w:w="0" w:type="auto"/>
                  <w:vAlign w:val="center"/>
                  <w:hideMark/>
                </w:tcPr>
                <w:p w:rsidR="00000000" w:rsidRDefault="00703D2E"/>
              </w:tc>
            </w:tr>
          </w:tbl>
          <w:p w:rsidR="00000000" w:rsidRDefault="00703D2E">
            <w:pPr>
              <w:pStyle w:val="NormalWeb"/>
              <w:jc w:val="both"/>
            </w:pPr>
            <w:r>
              <w:t xml:space="preserve">Rincian Aset Tak Berwujud per 30 Juni 2022 adalah sebagai berikut: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Aset Tak berwujud 30 Juni 2022</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0"/>
              <w:gridCol w:w="3000"/>
            </w:tblGrid>
            <w:tr w:rsidR="00000000">
              <w:tc>
                <w:tcPr>
                  <w:tcW w:w="37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w:t>
                  </w:r>
                </w:p>
              </w:tc>
              <w:tc>
                <w:tcPr>
                  <w:tcW w:w="30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Perolehan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1.842.753.500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Lisensi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49.544.000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1.892.297.500</w:t>
                  </w:r>
                </w:p>
              </w:tc>
            </w:tr>
          </w:tbl>
          <w:p w:rsidR="00000000" w:rsidRDefault="00703D2E">
            <w:pPr>
              <w:jc w:val="both"/>
              <w:rPr>
                <w:rFonts w:eastAsia="Times New Roman"/>
              </w:rPr>
            </w:pPr>
          </w:p>
          <w:p w:rsidR="00000000" w:rsidRDefault="00703D2E">
            <w:pPr>
              <w:pStyle w:val="NormalWeb"/>
              <w:jc w:val="both"/>
            </w:pPr>
            <w:r>
              <w:t>Mutasi transaksi terhadap Aset Tak Berwujud pada tanggal pelaporan adalah sebagai berikut:</w:t>
            </w:r>
          </w:p>
          <w:p w:rsidR="00000000" w:rsidRDefault="00703D2E">
            <w:pPr>
              <w:jc w:val="both"/>
              <w:rPr>
                <w:rFonts w:eastAsia="Times New Roman"/>
              </w:rPr>
            </w:pP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2705"/>
              <w:gridCol w:w="180"/>
              <w:gridCol w:w="1615"/>
            </w:tblGrid>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Per 31 Desember 2021</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1.892.297.500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Tambah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Tambah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Kurang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Kurang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Kenaikan(Penurunan)</w:t>
                  </w:r>
                </w:p>
              </w:tc>
              <w:tc>
                <w:tcPr>
                  <w:tcW w:w="0" w:type="auto"/>
                  <w:vAlign w:val="center"/>
                  <w:hideMark/>
                </w:tcPr>
                <w:p w:rsidR="00000000" w:rsidRDefault="00703D2E">
                  <w:pPr>
                    <w:rPr>
                      <w:rFonts w:eastAsia="Times New Roman"/>
                    </w:rPr>
                  </w:pPr>
                </w:p>
              </w:tc>
              <w:tc>
                <w:tcPr>
                  <w:tcW w:w="0" w:type="auto"/>
                  <w:tcBorders>
                    <w:bottom w:val="single" w:sz="6" w:space="0" w:color="auto"/>
                  </w:tcBorders>
                  <w:vAlign w:val="center"/>
                  <w:hideMark/>
                </w:tcPr>
                <w:p w:rsidR="00000000" w:rsidRDefault="00703D2E">
                  <w:pPr>
                    <w:jc w:val="right"/>
                    <w:rPr>
                      <w:rFonts w:eastAsia="Times New Roman"/>
                    </w:rPr>
                  </w:pPr>
                  <w:r>
                    <w:rPr>
                      <w:rFonts w:eastAsia="Times New Roman"/>
                      <w:b/>
                      <w:bCs/>
                    </w:rPr>
                    <w:t>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Per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1.892.297.500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Akumulasi Penyusutan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(1.652.756.175)</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Nilai Buku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239.541.325</w:t>
                  </w:r>
                </w:p>
              </w:tc>
            </w:tr>
          </w:tbl>
          <w:p w:rsidR="00000000" w:rsidRDefault="00703D2E">
            <w:pPr>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Aset Lain-lain Rp4.043.663.041 </w:t>
            </w:r>
          </w:p>
        </w:tc>
        <w:tc>
          <w:tcPr>
            <w:tcW w:w="0" w:type="auto"/>
            <w:hideMark/>
          </w:tcPr>
          <w:p w:rsidR="00000000" w:rsidRDefault="00703D2E">
            <w:pPr>
              <w:pStyle w:val="Heading5"/>
              <w:jc w:val="both"/>
              <w:rPr>
                <w:rFonts w:eastAsia="Times New Roman"/>
                <w:color w:val="00008B"/>
              </w:rPr>
            </w:pPr>
            <w:r>
              <w:rPr>
                <w:rFonts w:eastAsia="Times New Roman"/>
                <w:color w:val="00008B"/>
              </w:rPr>
              <w:t>C.13 Aset Lain-lain</w:t>
            </w:r>
          </w:p>
          <w:p w:rsidR="00000000" w:rsidRDefault="00703D2E">
            <w:pPr>
              <w:pStyle w:val="NormalWeb"/>
              <w:jc w:val="both"/>
            </w:pPr>
            <w:r>
              <w:t xml:space="preserve">Saldo Aset Lain-lain per 30 Juni 2022 dan 31 Desember 2021 adalah Rp4.043.663.041 dan Rp4.425.154.341. Aset Lain-lain merupakan Barang Milik Negara (BMN) yang berada dalam kondisi rusak berat </w:t>
            </w:r>
            <w:r>
              <w:lastRenderedPageBreak/>
              <w:t>dan tidak lagi digunakan dalam operasional entitas. Adapun mutas</w:t>
            </w:r>
            <w:r>
              <w:t xml:space="preserve">i aset lain-lain adalah sebagai berikut: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0000">
              <w:trPr>
                <w:tblCellSpacing w:w="15" w:type="dxa"/>
              </w:trPr>
              <w:tc>
                <w:tcPr>
                  <w:tcW w:w="0" w:type="auto"/>
                  <w:vAlign w:val="center"/>
                  <w:hideMark/>
                </w:tcPr>
                <w:p w:rsidR="00000000" w:rsidRDefault="00703D2E"/>
              </w:tc>
            </w:tr>
          </w:tbl>
          <w:p w:rsidR="00000000" w:rsidRDefault="00703D2E">
            <w:pPr>
              <w:jc w:val="both"/>
              <w:rPr>
                <w:rFonts w:eastAsia="Times New Roman"/>
                <w:vanish/>
              </w:rPr>
            </w:pP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2705"/>
              <w:gridCol w:w="180"/>
              <w:gridCol w:w="1615"/>
            </w:tblGrid>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Per 31 Desember 2021</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4.425.154.341</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Tambah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Tambah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Mutasi Kurang :</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sz w:val="20"/>
                      <w:szCs w:val="20"/>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Total Mutasi Kurang :</w:t>
                  </w:r>
                </w:p>
              </w:tc>
              <w:tc>
                <w:tcPr>
                  <w:tcW w:w="0" w:type="auto"/>
                  <w:tcBorders>
                    <w:top w:val="single" w:sz="6" w:space="0" w:color="auto"/>
                  </w:tcBorders>
                  <w:vAlign w:val="center"/>
                  <w:hideMark/>
                </w:tcPr>
                <w:p w:rsidR="00000000" w:rsidRDefault="00703D2E">
                  <w:pPr>
                    <w:jc w:val="right"/>
                    <w:rPr>
                      <w:rFonts w:eastAsia="Times New Roman"/>
                    </w:rPr>
                  </w:pPr>
                  <w:r>
                    <w:rPr>
                      <w:rFonts w:eastAsia="Times New Roman"/>
                      <w:b/>
                      <w:bCs/>
                    </w:rPr>
                    <w:t>0</w:t>
                  </w:r>
                </w:p>
              </w:tc>
              <w:tc>
                <w:tcPr>
                  <w:tcW w:w="0" w:type="auto"/>
                  <w:vAlign w:val="center"/>
                  <w:hideMark/>
                </w:tcPr>
                <w:p w:rsidR="00000000" w:rsidRDefault="00703D2E">
                  <w:pPr>
                    <w:jc w:val="right"/>
                    <w:rPr>
                      <w:rFonts w:eastAsia="Times New Roman"/>
                    </w:rPr>
                  </w:pP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Kenaikan(Penurunan)</w:t>
                  </w:r>
                </w:p>
              </w:tc>
              <w:tc>
                <w:tcPr>
                  <w:tcW w:w="0" w:type="auto"/>
                  <w:vAlign w:val="center"/>
                  <w:hideMark/>
                </w:tcPr>
                <w:p w:rsidR="00000000" w:rsidRDefault="00703D2E">
                  <w:pPr>
                    <w:rPr>
                      <w:rFonts w:eastAsia="Times New Roman"/>
                    </w:rPr>
                  </w:pPr>
                </w:p>
              </w:tc>
              <w:tc>
                <w:tcPr>
                  <w:tcW w:w="0" w:type="auto"/>
                  <w:tcBorders>
                    <w:bottom w:val="single" w:sz="6" w:space="0" w:color="auto"/>
                  </w:tcBorders>
                  <w:vAlign w:val="center"/>
                  <w:hideMark/>
                </w:tcPr>
                <w:p w:rsidR="00000000" w:rsidRDefault="00703D2E">
                  <w:pPr>
                    <w:jc w:val="right"/>
                    <w:rPr>
                      <w:rFonts w:eastAsia="Times New Roman"/>
                    </w:rPr>
                  </w:pPr>
                  <w:r>
                    <w:rPr>
                      <w:rFonts w:eastAsia="Times New Roman"/>
                      <w:b/>
                      <w:bCs/>
                    </w:rPr>
                    <w:t>0</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Saldo Nilai Perolehan Per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4.425.154.341</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Akumulasi Penyusutan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(3.710.461.117)</w:t>
                  </w:r>
                </w:p>
              </w:tc>
            </w:tr>
            <w:tr w:rsidR="00000000">
              <w:trPr>
                <w:tblCellSpacing w:w="15" w:type="dxa"/>
              </w:trPr>
              <w:tc>
                <w:tcPr>
                  <w:tcW w:w="0" w:type="auto"/>
                  <w:vAlign w:val="center"/>
                  <w:hideMark/>
                </w:tcPr>
                <w:p w:rsidR="00000000" w:rsidRDefault="00703D2E">
                  <w:pPr>
                    <w:rPr>
                      <w:rFonts w:eastAsia="Times New Roman"/>
                    </w:rPr>
                  </w:pPr>
                  <w:r>
                    <w:rPr>
                      <w:rFonts w:eastAsia="Times New Roman"/>
                      <w:b/>
                      <w:bCs/>
                    </w:rPr>
                    <w:t>Nilai Buku sampai dengan 30 Juni 2022</w:t>
                  </w:r>
                </w:p>
              </w:tc>
              <w:tc>
                <w:tcPr>
                  <w:tcW w:w="0" w:type="auto"/>
                  <w:vAlign w:val="center"/>
                  <w:hideMark/>
                </w:tcPr>
                <w:p w:rsidR="00000000" w:rsidRDefault="00703D2E">
                  <w:pPr>
                    <w:rPr>
                      <w:rFonts w:eastAsia="Times New Roman"/>
                    </w:rPr>
                  </w:pPr>
                </w:p>
              </w:tc>
              <w:tc>
                <w:tcPr>
                  <w:tcW w:w="0" w:type="auto"/>
                  <w:vAlign w:val="center"/>
                  <w:hideMark/>
                </w:tcPr>
                <w:p w:rsidR="00000000" w:rsidRDefault="00703D2E">
                  <w:pPr>
                    <w:jc w:val="right"/>
                    <w:rPr>
                      <w:rFonts w:eastAsia="Times New Roman"/>
                    </w:rPr>
                  </w:pPr>
                  <w:r>
                    <w:rPr>
                      <w:rFonts w:eastAsia="Times New Roman"/>
                      <w:b/>
                      <w:bCs/>
                    </w:rPr>
                    <w:t>714.693.224</w:t>
                  </w:r>
                </w:p>
              </w:tc>
            </w:tr>
          </w:tbl>
          <w:p w:rsidR="00000000" w:rsidRDefault="00703D2E">
            <w:pPr>
              <w:pStyle w:val="NormalWeb"/>
              <w:jc w:val="both"/>
            </w:pPr>
            <w:r>
              <w:t>Rincian Aset Lain-lain berdasarkan nilai perolehan, akumulasi penyusutan dan nilai buku tersaji pada Lampiran Laporan Keuangan ini.</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Akumulasi Penyusutan dan Amortisasi Aset Lainnya Rp5.363.217.292 </w:t>
            </w:r>
          </w:p>
        </w:tc>
        <w:tc>
          <w:tcPr>
            <w:tcW w:w="0" w:type="auto"/>
            <w:hideMark/>
          </w:tcPr>
          <w:p w:rsidR="00000000" w:rsidRDefault="00703D2E">
            <w:pPr>
              <w:pStyle w:val="Heading5"/>
              <w:jc w:val="both"/>
              <w:rPr>
                <w:rFonts w:eastAsia="Times New Roman"/>
                <w:color w:val="00008B"/>
              </w:rPr>
            </w:pPr>
            <w:r>
              <w:rPr>
                <w:rFonts w:eastAsia="Times New Roman"/>
                <w:color w:val="00008B"/>
              </w:rPr>
              <w:t>C.14 Akumulasi Penyusutan dan Amortisasi Aset Lainnya</w:t>
            </w:r>
          </w:p>
          <w:p w:rsidR="00000000" w:rsidRDefault="00703D2E">
            <w:pPr>
              <w:pStyle w:val="NormalWeb"/>
              <w:jc w:val="both"/>
            </w:pPr>
            <w:r>
              <w:t>S</w:t>
            </w:r>
            <w:r>
              <w:t>aldo Akumulasi Penyusutan Aset Lainnya per 30 Juni 2022 dan 31 Desember 2021 adalah masing-masing Rp5.363.217.292 dan Rp5.428.556.078. Akumulasi Penyusutan Aset Lainnya merupakan kontra akun Aset Lainnya yang disajikan berdasarkan pengakumulasian atas peny</w:t>
            </w:r>
            <w:r>
              <w:t xml:space="preserve">esuaian nilai sehubungan dengan penurunan kapasitas dan manfaat Aset Lainnya. Rincian Akumulasi Penyusutan Aset Lainnya per 30 Juni 2022 adalah sebagai berikut: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Akumulasi Penyusutan dan Amortisasi Aset Lainnya</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0"/>
              <w:gridCol w:w="1462"/>
              <w:gridCol w:w="2417"/>
              <w:gridCol w:w="1385"/>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Aset Tetap</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Perolehan</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Akumul</w:t>
                  </w:r>
                  <w:r>
                    <w:rPr>
                      <w:rFonts w:eastAsia="Times New Roman"/>
                      <w:b/>
                      <w:bCs/>
                    </w:rPr>
                    <w:t>asi Penyusutan/Amortisasi</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Buku</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1.842.753.500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1.618.075.375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224.678.125</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Lisensi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49.544.000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34.680.800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14.863.200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Aset Tetap yang tidak </w:t>
                  </w:r>
                  <w:r>
                    <w:rPr>
                      <w:rFonts w:eastAsia="Times New Roman"/>
                    </w:rPr>
                    <w:lastRenderedPageBreak/>
                    <w:t>digunakan dalam Operasi Pemerintahan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lastRenderedPageBreak/>
                    <w:t>4.043.663.041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3.710.461.117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333.201.924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lastRenderedPageBreak/>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5.935.960.541</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5.363.217.292</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572.743.249</w:t>
                  </w:r>
                </w:p>
              </w:tc>
            </w:tr>
          </w:tbl>
          <w:p w:rsidR="00000000" w:rsidRDefault="00703D2E">
            <w:pPr>
              <w:jc w:val="both"/>
              <w:rPr>
                <w:rFonts w:eastAsia="Times New Roman"/>
              </w:rPr>
            </w:pPr>
          </w:p>
          <w:p w:rsidR="00000000" w:rsidRDefault="00703D2E">
            <w:pPr>
              <w:pStyle w:val="NormalWeb"/>
              <w:jc w:val="both"/>
            </w:pPr>
            <w:r>
              <w:t>Amortisasi ATB dengan masa manfaat terbatas dilakukan dengan metode garis lurus dan nilai sisa nihil. Sedangkan atas ATB dengan masa manfaat tidak terbatas tidak dilakukan amortisasi.</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Utang kepada Pihak Ketiga Rp4.234.018.913 </w:t>
            </w:r>
          </w:p>
        </w:tc>
        <w:tc>
          <w:tcPr>
            <w:tcW w:w="0" w:type="auto"/>
            <w:hideMark/>
          </w:tcPr>
          <w:p w:rsidR="00000000" w:rsidRDefault="00703D2E">
            <w:pPr>
              <w:pStyle w:val="Heading5"/>
              <w:jc w:val="both"/>
              <w:rPr>
                <w:rFonts w:eastAsia="Times New Roman"/>
                <w:color w:val="00008B"/>
              </w:rPr>
            </w:pPr>
            <w:r>
              <w:rPr>
                <w:rFonts w:eastAsia="Times New Roman"/>
                <w:color w:val="00008B"/>
              </w:rPr>
              <w:t>C.15 Utang kepada Pihak Ketiga</w:t>
            </w:r>
          </w:p>
          <w:p w:rsidR="00000000" w:rsidRDefault="00703D2E">
            <w:pPr>
              <w:pStyle w:val="NormalWeb"/>
              <w:jc w:val="both"/>
            </w:pPr>
            <w:r>
              <w:t>Nilai Utang kepada Pihak Ketiga per 30 Juni 2022 dan 31 Desember 2021 masing-masing sebesar Rp4.234.018.913 dan Rp1.550.099.130. Utang kepada Pihak Ketiga merupakan kewajiban yang ma</w:t>
            </w:r>
            <w:r>
              <w:t>sih harus dibayar dan segera diselesaikan kepada pihak ketiga lainnya dalam waktu kurang dari 12 (dua belas bulan) sejak tanggal pelaporan. Adapun rincian Utang Pihak Ketiga pada Badan Pusat Statistik Wilayah Jambi per tanggal pelaporan adalah sebagai beri</w:t>
            </w:r>
            <w:r>
              <w:t xml:space="preserve">kut: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Utang Pada Pihak Ketiga 2022 dan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0"/>
              <w:gridCol w:w="2250"/>
              <w:gridCol w:w="225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Jenis </w:t>
                  </w:r>
                </w:p>
              </w:tc>
              <w:tc>
                <w:tcPr>
                  <w:tcW w:w="22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 (Rp)</w:t>
                  </w:r>
                </w:p>
              </w:tc>
              <w:tc>
                <w:tcPr>
                  <w:tcW w:w="22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31 Desember 2021 (Rp)</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Pegawai yang Masih Harus Dibayar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3.342.231.192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1.477.215.449</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Belanja Barang yang Masih Harus Dibayar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891.777.721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72.883.681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Pengeluaran Transito yang Masih Harus Dibayar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375.755.556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Utang kepada Pihak Ketiga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(375.745.556)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4.234.018.913</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1.550.099.130</w:t>
                  </w:r>
                </w:p>
              </w:tc>
            </w:tr>
          </w:tbl>
          <w:p w:rsidR="00000000" w:rsidRDefault="00703D2E">
            <w:pPr>
              <w:jc w:val="both"/>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Uang Muka dari KPPN Rp1.158.100.000 </w:t>
            </w:r>
          </w:p>
        </w:tc>
        <w:tc>
          <w:tcPr>
            <w:tcW w:w="0" w:type="auto"/>
            <w:hideMark/>
          </w:tcPr>
          <w:p w:rsidR="00000000" w:rsidRDefault="00703D2E">
            <w:pPr>
              <w:pStyle w:val="Heading5"/>
              <w:jc w:val="both"/>
              <w:rPr>
                <w:rFonts w:eastAsia="Times New Roman"/>
                <w:color w:val="00008B"/>
              </w:rPr>
            </w:pPr>
            <w:r>
              <w:rPr>
                <w:rFonts w:eastAsia="Times New Roman"/>
                <w:color w:val="00008B"/>
              </w:rPr>
              <w:t>C.17 Uang Muka dari KPPN</w:t>
            </w:r>
          </w:p>
          <w:p w:rsidR="00000000" w:rsidRDefault="00703D2E">
            <w:pPr>
              <w:pStyle w:val="NormalWeb"/>
              <w:jc w:val="both"/>
            </w:pPr>
            <w:r>
              <w:t xml:space="preserve">Saldo Uang Muka dari KPPN per per 30 Juni 2022 dan 31 Desember 2021 masing-masing sebesar Rp1.158.100.000 dan Rp0. Uang Muka dari KPPN merupakan Uang Persediaan (UP) atu Tambahan Uang Persediaan (TUP) yang diberikan KPPN sebagai uang muka kerja dan </w:t>
            </w:r>
            <w:r>
              <w:lastRenderedPageBreak/>
              <w:t>masih b</w:t>
            </w:r>
            <w:r>
              <w:t xml:space="preserve">erada pada atau dikuasai oleh Bendahara Pengeluaran pada tanggal pelaporan. </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jc w:val="both"/>
              <w:rPr>
                <w:rFonts w:eastAsia="Times New Roman"/>
                <w:i/>
                <w:iCs/>
                <w:color w:val="00008B"/>
              </w:rPr>
            </w:pPr>
            <w:r>
              <w:rPr>
                <w:rFonts w:eastAsia="Times New Roman"/>
                <w:i/>
                <w:iCs/>
                <w:color w:val="00008B"/>
              </w:rPr>
              <w:t xml:space="preserve">Utang Jangka Pendek Lainnya Rp499.900 </w:t>
            </w:r>
          </w:p>
        </w:tc>
        <w:tc>
          <w:tcPr>
            <w:tcW w:w="0" w:type="auto"/>
            <w:hideMark/>
          </w:tcPr>
          <w:p w:rsidR="00000000" w:rsidRDefault="00703D2E">
            <w:pPr>
              <w:pStyle w:val="Heading5"/>
              <w:jc w:val="both"/>
              <w:rPr>
                <w:rFonts w:eastAsia="Times New Roman"/>
                <w:color w:val="00008B"/>
              </w:rPr>
            </w:pPr>
            <w:r>
              <w:rPr>
                <w:rFonts w:eastAsia="Times New Roman"/>
                <w:color w:val="00008B"/>
              </w:rPr>
              <w:t>C.18 Utang Jangka Pendek Lainnya</w:t>
            </w:r>
          </w:p>
          <w:p w:rsidR="00000000" w:rsidRDefault="00703D2E">
            <w:pPr>
              <w:pStyle w:val="NormalWeb"/>
              <w:jc w:val="both"/>
            </w:pPr>
            <w:r>
              <w:t xml:space="preserve">Nilai Utang Jangka Pendek Lainnya per 30 Juni 2022 dan 31 Desember 2021 adalah masing-masing sebesar Rp499.900 dan Rp592.150. Utang Jangka Pendek Lainnya digunakan untuk mencatat potongan pajak yang dipotong oleh bendahara Pengeluaran dan belum disetor ke </w:t>
            </w:r>
            <w:r>
              <w:t>Kas Negara sampai tanggal pelaporan.</w:t>
            </w: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Ekuitas Rp63.054.823.093 </w:t>
            </w:r>
          </w:p>
        </w:tc>
        <w:tc>
          <w:tcPr>
            <w:tcW w:w="0" w:type="auto"/>
            <w:hideMark/>
          </w:tcPr>
          <w:p w:rsidR="00000000" w:rsidRDefault="00703D2E">
            <w:pPr>
              <w:pStyle w:val="Heading5"/>
              <w:jc w:val="both"/>
              <w:rPr>
                <w:rFonts w:eastAsia="Times New Roman"/>
                <w:color w:val="00008B"/>
              </w:rPr>
            </w:pPr>
            <w:r>
              <w:rPr>
                <w:rFonts w:eastAsia="Times New Roman"/>
                <w:color w:val="00008B"/>
              </w:rPr>
              <w:t>C.19 Ekuitas</w:t>
            </w:r>
          </w:p>
          <w:p w:rsidR="00000000" w:rsidRDefault="00703D2E">
            <w:pPr>
              <w:pStyle w:val="NormalWeb"/>
              <w:jc w:val="both"/>
            </w:pPr>
            <w:r>
              <w:t>Ekuitas per 30 Juni 2022 dan 31 Desember 2021 adalah masing-masing sebesar Rp63.054.823.093 dan Rp68.027.379.797. Ekuitas adalah kekayaan bersih entitas yang merupakan selisih an</w:t>
            </w:r>
            <w:r>
              <w:t xml:space="preserve">tara aset dan kewajiban. Rincian lebih lanjut tentang ekuitas disajikan dalam Laporan Perubahan Ekuitas. </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rPr>
            </w:pPr>
          </w:p>
        </w:tc>
        <w:tc>
          <w:tcPr>
            <w:tcW w:w="0" w:type="auto"/>
            <w:vAlign w:val="center"/>
            <w:hideMark/>
          </w:tcPr>
          <w:p w:rsidR="00000000" w:rsidRDefault="00703D2E">
            <w:pPr>
              <w:pStyle w:val="Heading4"/>
              <w:jc w:val="both"/>
              <w:rPr>
                <w:rFonts w:eastAsia="Times New Roman"/>
                <w:color w:val="00008B"/>
              </w:rPr>
            </w:pPr>
            <w:r>
              <w:rPr>
                <w:rFonts w:eastAsia="Times New Roman"/>
                <w:color w:val="00008B"/>
              </w:rPr>
              <w:t>D.PENJELASAN ATAS POS-POS LAPORAN OPERASIONAL</w:t>
            </w: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Pendapatan PNBP Rp27.461.552 </w:t>
            </w:r>
          </w:p>
        </w:tc>
        <w:tc>
          <w:tcPr>
            <w:tcW w:w="0" w:type="auto"/>
            <w:hideMark/>
          </w:tcPr>
          <w:p w:rsidR="00000000" w:rsidRDefault="00703D2E">
            <w:pPr>
              <w:pStyle w:val="Heading5"/>
              <w:jc w:val="both"/>
              <w:rPr>
                <w:rFonts w:eastAsia="Times New Roman"/>
                <w:color w:val="00008B"/>
              </w:rPr>
            </w:pPr>
            <w:r>
              <w:rPr>
                <w:rFonts w:eastAsia="Times New Roman"/>
                <w:color w:val="00008B"/>
              </w:rPr>
              <w:t>D.1 Pendapatan Penerimaan Negara Bukan Pajak Lainnya</w:t>
            </w:r>
          </w:p>
          <w:p w:rsidR="00000000" w:rsidRDefault="00703D2E">
            <w:pPr>
              <w:pStyle w:val="NormalWeb"/>
              <w:jc w:val="both"/>
            </w:pPr>
            <w:r>
              <w:t>Jumlah Pendapat</w:t>
            </w:r>
            <w:r>
              <w:t xml:space="preserve">an untuk periode yang berakhir pada 30 Juni 2022 dan 30 Juni 2021 adalah sebesar Rp27.461.552 dan Rp25.884.025. Pendapatan tersebut terdiri dari: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Pendapatan Negara Bukan Pajak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9"/>
              <w:gridCol w:w="1500"/>
              <w:gridCol w:w="1500"/>
              <w:gridCol w:w="1591"/>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w:t>
                  </w:r>
                </w:p>
              </w:tc>
              <w:tc>
                <w:tcPr>
                  <w:tcW w:w="7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Naik(Turun)%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Pendapatan Sewa Tanah, Gedung, dan Bangunan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27.461.552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25.884.025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6,09</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27.461.552</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25.884.025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6,09</w:t>
                  </w:r>
                </w:p>
              </w:tc>
            </w:tr>
          </w:tbl>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Nilai LO dan LRA Pendapatan Negara Bukan Pajak 30 Juni 2022</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0"/>
              <w:gridCol w:w="1500"/>
              <w:gridCol w:w="1500"/>
              <w:gridCol w:w="115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LO</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LRA</w:t>
                  </w:r>
                </w:p>
              </w:tc>
              <w:tc>
                <w:tcPr>
                  <w:tcW w:w="7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Selisih</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Pendapatan Sewa Tanah, Gedung, dan Bangunan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27.461.552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23.295.179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(4.166.373)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27.461.552</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23.295.179</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(4.166.373)</w:t>
                  </w:r>
                </w:p>
              </w:tc>
            </w:tr>
          </w:tbl>
          <w:p w:rsidR="00000000" w:rsidRDefault="00703D2E">
            <w:pPr>
              <w:rPr>
                <w:rFonts w:eastAsia="Times New Roman"/>
              </w:rPr>
            </w:pP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lastRenderedPageBreak/>
              <w:t xml:space="preserve">Beban Pegawai Rp22.236.567.916 </w:t>
            </w:r>
          </w:p>
        </w:tc>
        <w:tc>
          <w:tcPr>
            <w:tcW w:w="0" w:type="auto"/>
            <w:hideMark/>
          </w:tcPr>
          <w:p w:rsidR="00000000" w:rsidRDefault="00703D2E">
            <w:pPr>
              <w:pStyle w:val="Heading5"/>
              <w:jc w:val="both"/>
              <w:rPr>
                <w:rFonts w:eastAsia="Times New Roman"/>
                <w:color w:val="00008B"/>
              </w:rPr>
            </w:pPr>
            <w:r>
              <w:rPr>
                <w:rFonts w:eastAsia="Times New Roman"/>
                <w:color w:val="00008B"/>
              </w:rPr>
              <w:t>D.2 Beban Pegawai</w:t>
            </w:r>
          </w:p>
          <w:p w:rsidR="00000000" w:rsidRDefault="00703D2E">
            <w:pPr>
              <w:pStyle w:val="NormalWeb"/>
              <w:jc w:val="both"/>
            </w:pPr>
            <w:r>
              <w:t xml:space="preserve">Jumlah Beban Pegawai pada 30 Juni 2022 dan 30 Juni 2021 </w:t>
            </w:r>
            <w:r>
              <w:t>adalah masing-masing sebesar Rp22.236.567.916 dan Rp18.834.027.400. Beban Pegawai adalah beban atas kompensasi, baik dalam bentuk uang maupun barang yang ditetapkan berdasarkan peraturan perundang-undangan yang diberikan kepada pejabat negara, Pegawai Nege</w:t>
            </w:r>
            <w:r>
              <w:t xml:space="preserve">ri Sipil (PNS), dan pegawai yang dipekerjakan oleh pemerintah yang belum berstatus PNS sebagai imbalan atas pekerjaan yang telah dilaksanakan kecuali pekerjaan yang berkaitan dengan pembentukan modal.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Beban Pegawai 30 Juni 2022 dan 30 Juni 2021</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9"/>
              <w:gridCol w:w="1530"/>
              <w:gridCol w:w="1530"/>
              <w:gridCol w:w="1591"/>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w:t>
                  </w:r>
                </w:p>
              </w:tc>
              <w:tc>
                <w:tcPr>
                  <w:tcW w:w="7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Naik(Turun)%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Gaji Pokok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9.260.224.100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7.995.594.960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15,82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Pembulatan Gaji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148.488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125.713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18,12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Suami/Istri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590.553.514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534.495.340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10,49</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Anak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191.996.546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176.387.624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8,85</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Struktural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541.710.000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536.660.000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0,94</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Fungsional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634.525.000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377.120.000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68,26</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PPh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25.127.124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22.534.708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11,50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Beras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520.772.220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462.184.440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12,68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Uang Makan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860.611.000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980.433.850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(12,22)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Tunjangan Umum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168.035.000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174.794.750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(3,87)</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Uang Lembur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325.358.000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238.894.000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36,19</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Pegawai (Tunjangan Khusus/ Kegiatan)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9.117.506.924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7.334.802.015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24,30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22.236.567.916</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18.834.027.400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18,07</w:t>
                  </w:r>
                </w:p>
              </w:tc>
            </w:tr>
          </w:tbl>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Nilai LO dan LRA Beban Pegawai 30 Juni 2022</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0"/>
              <w:gridCol w:w="1530"/>
              <w:gridCol w:w="1530"/>
              <w:gridCol w:w="141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LO</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LRA</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Selisih</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lastRenderedPageBreak/>
                    <w:t>Beban Gaji Pokok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9.260.224.100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7.345.820.580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1.914.403.520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Pembulatan Gaji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148.488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116.495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31.993</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Suami/Istri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590.553.514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469.907.230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120.646.284</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Anak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191.996.546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152.915.074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39.081.472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Struktural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541.710.000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431.530.000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110.180.000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Fungsional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634.525.000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495.300.000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139.225.000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PPh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25.127.124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15.373.491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9.753.633</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 Beras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520.772.220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413.228.520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107.543.700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Uang Makan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860.611.000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860.611.000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Tunjangan Umum PNS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168.035.000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133.945.000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34.090.000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Uang Lembur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325.358.000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320.602.000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4.756.000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Pegawai (Tunjangan Khusus/ Kegiatan)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9.117.506.924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9.885.191.808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(767.684.884)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22.236.567.916</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20.524.541.198</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1.712.026.718</w:t>
                  </w:r>
                </w:p>
              </w:tc>
            </w:tr>
          </w:tbl>
          <w:p w:rsidR="00000000" w:rsidRDefault="00703D2E">
            <w:pPr>
              <w:rPr>
                <w:rFonts w:eastAsia="Times New Roman"/>
              </w:rPr>
            </w:pP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Beban Persediaan Rp1.089.817.680 </w:t>
            </w:r>
          </w:p>
        </w:tc>
        <w:tc>
          <w:tcPr>
            <w:tcW w:w="0" w:type="auto"/>
            <w:hideMark/>
          </w:tcPr>
          <w:p w:rsidR="00000000" w:rsidRDefault="00703D2E">
            <w:pPr>
              <w:pStyle w:val="Heading5"/>
              <w:jc w:val="both"/>
              <w:rPr>
                <w:rFonts w:eastAsia="Times New Roman"/>
                <w:color w:val="00008B"/>
              </w:rPr>
            </w:pPr>
            <w:r>
              <w:rPr>
                <w:rFonts w:eastAsia="Times New Roman"/>
                <w:color w:val="00008B"/>
              </w:rPr>
              <w:t>D.3 Beban Persediaan</w:t>
            </w:r>
          </w:p>
          <w:p w:rsidR="00000000" w:rsidRDefault="00703D2E">
            <w:pPr>
              <w:pStyle w:val="NormalWeb"/>
              <w:jc w:val="both"/>
            </w:pPr>
            <w:r>
              <w:t xml:space="preserve">Jumlah Beban Persediaan pada 30 Juni 2022 dan 30 Juni 2021 </w:t>
            </w:r>
            <w:r>
              <w:t xml:space="preserve">adalah masing-masing sebesar Rp1.089.817.680 dan Rp336.029.236. Beban Persediaan merupakan beban untuk mencatat konsumsi atas barang-barang yang habis pakai, termasuk barang-barang hasil produksi baik yang dipasarkan maupun tidak dipasarkan. Rincian Beban </w:t>
            </w:r>
            <w:r>
              <w:t xml:space="preserve">Persediaan untuk Tahun 2016 dan 2015 adalah sebagai berikut: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Beban Persediaan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9"/>
              <w:gridCol w:w="1950"/>
              <w:gridCol w:w="1950"/>
              <w:gridCol w:w="1591"/>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9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w:t>
                  </w:r>
                </w:p>
              </w:tc>
              <w:tc>
                <w:tcPr>
                  <w:tcW w:w="19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Naik(Turun)%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Persediaan konsumsi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1.089.817.680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336.029.236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224,32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1.089.817.680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336.029.236</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224,32</w:t>
                  </w:r>
                </w:p>
              </w:tc>
            </w:tr>
          </w:tbl>
          <w:p w:rsidR="00000000" w:rsidRDefault="00703D2E">
            <w:pPr>
              <w:jc w:val="both"/>
              <w:rPr>
                <w:rFonts w:eastAsia="Times New Roman"/>
              </w:rPr>
            </w:pPr>
          </w:p>
          <w:p w:rsidR="00000000" w:rsidRDefault="00703D2E">
            <w:pPr>
              <w:jc w:val="both"/>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Beban Barang dan Jasa Rp11.324.810.749 </w:t>
            </w:r>
          </w:p>
        </w:tc>
        <w:tc>
          <w:tcPr>
            <w:tcW w:w="0" w:type="auto"/>
            <w:hideMark/>
          </w:tcPr>
          <w:p w:rsidR="00000000" w:rsidRDefault="00703D2E">
            <w:pPr>
              <w:pStyle w:val="Heading5"/>
              <w:jc w:val="both"/>
              <w:rPr>
                <w:rFonts w:eastAsia="Times New Roman"/>
                <w:color w:val="00008B"/>
              </w:rPr>
            </w:pPr>
            <w:r>
              <w:rPr>
                <w:rFonts w:eastAsia="Times New Roman"/>
                <w:color w:val="00008B"/>
              </w:rPr>
              <w:t xml:space="preserve">D.4 Beban Barang dan Jasa </w:t>
            </w:r>
          </w:p>
          <w:p w:rsidR="00000000" w:rsidRDefault="00703D2E">
            <w:pPr>
              <w:pStyle w:val="NormalWeb"/>
              <w:jc w:val="both"/>
            </w:pPr>
            <w:r>
              <w:t>Jumlah Beban Barang dan Jasa 30 Juni 2022 dan 30 Juni 2021 adalah masing-masing sebesar Rp11.324.810.749 dan Rp5.461.914.315. Beban Barang dan Jasa terdiri dari b</w:t>
            </w:r>
            <w:r>
              <w:t>eban barang dan jasa berupa konsumsi atas barang dan/atau jasa dalam rangka penyelenggaraan kegiatan entitas serta beban lain-lain berupa beban yang timbul karena penggunaan alokasi belanja modal yang tidak menghasilkan aset tetap.</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Beban Barang d</w:t>
                  </w:r>
                  <w:r>
                    <w:rPr>
                      <w:rFonts w:eastAsia="Times New Roman"/>
                      <w:i/>
                      <w:iCs/>
                    </w:rPr>
                    <w:t>an Jasa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9"/>
              <w:gridCol w:w="1530"/>
              <w:gridCol w:w="1500"/>
              <w:gridCol w:w="1591"/>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Naik(Turun)%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Keperluan Perkantoran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1.553.759.987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1.336.607.606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16,25</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Penambah Daya Tahan Tubuh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3.295.000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Pengiriman Surat Dinas Pos Pusat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5.323.050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8.693.000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(38,77)</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Honor Operasional Satuan Kerja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441.834.000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450.140.000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(1,85)</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Barang Operasional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83.600.000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49.525.000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68,80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Barang Operasional - Penanganan Pandemi COVID-19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41.986.375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42.075.987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(0,21)</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Bahan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1.380.795.513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645.594.135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113,88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Honor Output Kegiatan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7.280.678.500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2.158.316.500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237,33</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Barang Non Operasional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49.677.920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11.360.690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337,28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Barang Non Operasional - Penanganan Pandemi COVID-19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109.029.644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185.607.310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(41,26)</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Langganan Listrik</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271.863.997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234.357.281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16,00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Langganan Telepon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2.410.104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2.245.323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7,34</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lastRenderedPageBreak/>
                    <w:t>Beban Langganan Air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13.130.700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8.563.650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53,33</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Sewa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21.314.208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30.318.833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(29,70)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Jasa Profesi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27.250.000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14.400.000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89,24</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Jasa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36.956.751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2.363,78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Jasa - Penanganan Pandemi COVID-19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1.905.000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282.609.000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(99,33)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11.324.810.749</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5.461.914.315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107,34</w:t>
                  </w:r>
                </w:p>
              </w:tc>
            </w:tr>
          </w:tbl>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Nilai LO dan LRA Beban Barang dan Jasa 30 Juni 2022</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0"/>
              <w:gridCol w:w="1530"/>
              <w:gridCol w:w="1530"/>
              <w:gridCol w:w="127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LO</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LRA</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Selisih</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Keperluan Perkantoran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1.553.759.987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1.409.708.789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144.051.198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Penambah Daya Tahan Tubuh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3.295.000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3.295.000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Pengiriman Surat Dinas Pos Pusat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5.323.050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5.323.050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Honor Operasional Satuan Kerja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441.834.000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441.834.000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Barang Operasional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83.600.000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77.100.000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6.500.000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Barang Operasional - Penanganan Pandemi COVID-19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41.986.375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26.376.687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15.609.688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Bahan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1.380.795.513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1.263.557.193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117.238.320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Honor Output Kegiatan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7.280.678.500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7.000.963.000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279.715.500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Barang Non Operasional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49.677.920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49.677.920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Barang Non Operasional - Penanganan Pandemi COVID-19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109.029.644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109.029.644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Langganan Listrik</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271.863.997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322.329.179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(50.465.182)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w:t>
                  </w:r>
                  <w:r>
                    <w:rPr>
                      <w:rFonts w:eastAsia="Times New Roman"/>
                    </w:rPr>
                    <w:t xml:space="preserve"> Langganan Telepon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2.410.104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2.869.882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(459.778)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Langganan Air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13.130.700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14.222.150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(1.091.450)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lastRenderedPageBreak/>
                    <w:t>Beban Sewa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21.314.208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11.300.000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10.014.208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Jasa Profesi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27.250.000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25.250.000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2.000.000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Jasa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36.956.751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22.799.751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14.157.000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Jasa - Penanganan Pandemi COVID-19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1.905.000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1.905.000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11.324.810.749</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10.787.541.245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537.269.504</w:t>
                  </w:r>
                </w:p>
              </w:tc>
            </w:tr>
          </w:tbl>
          <w:p w:rsidR="00000000" w:rsidRDefault="00703D2E">
            <w:pPr>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Beban Pemeliharaan Rp1.170.417.095 </w:t>
            </w:r>
          </w:p>
        </w:tc>
        <w:tc>
          <w:tcPr>
            <w:tcW w:w="0" w:type="auto"/>
            <w:hideMark/>
          </w:tcPr>
          <w:p w:rsidR="00000000" w:rsidRDefault="00703D2E">
            <w:pPr>
              <w:pStyle w:val="Heading5"/>
              <w:jc w:val="both"/>
              <w:rPr>
                <w:rFonts w:eastAsia="Times New Roman"/>
                <w:color w:val="00008B"/>
              </w:rPr>
            </w:pPr>
            <w:r>
              <w:rPr>
                <w:rFonts w:eastAsia="Times New Roman"/>
                <w:color w:val="00008B"/>
              </w:rPr>
              <w:t>D.5 Beban Pemeliharaan</w:t>
            </w:r>
          </w:p>
          <w:p w:rsidR="00000000" w:rsidRDefault="00703D2E">
            <w:pPr>
              <w:pStyle w:val="NormalWeb"/>
              <w:jc w:val="both"/>
            </w:pPr>
            <w:r>
              <w:t xml:space="preserve">Beban Pemeliharaan 30 Juni 2022 dan 30 Juni 2021 adalah masing-masing sebesar Rp1.170.417.095 dan Rp877.911.214.Beban Pemeliharaan merupakan beban yang dimaksudkan untuk mempertahankan aset tetap atau aset lainnya yang sudah ada ke dalam kondisi normal.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Beban Pemeliharaan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9"/>
              <w:gridCol w:w="1500"/>
              <w:gridCol w:w="1500"/>
              <w:gridCol w:w="1591"/>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Naik(Turun)%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Pemeliharaan Gedung dan Bangunan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513.714.481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219.599.700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133,93</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Pemeliharaan Peralatan dan Mesin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647.799.514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639.908.576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1,23</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Persediaan bahan untuk pemeliharaan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8.903.100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18.402.938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(51,62)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1.170.417.095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877.911.214</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33,32</w:t>
                  </w:r>
                </w:p>
              </w:tc>
            </w:tr>
          </w:tbl>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Nilai LO dan LRA Beban Pemeliharaan 30 Juni 2022</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0"/>
              <w:gridCol w:w="1500"/>
              <w:gridCol w:w="1500"/>
              <w:gridCol w:w="123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LO</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LRA</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Selisih</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Pemeliharaan Gedung dan Bangunan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513.714.481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336.076.481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177.638.000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Pemeliharaan Peralatan dan Mesin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647.799.514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626.170.414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21.629.100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Persediaan bahan untuk pemeliharaan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8.903.100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8.903.100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1.170.417.095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962.246.895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208.170.200</w:t>
                  </w:r>
                </w:p>
              </w:tc>
            </w:tr>
          </w:tbl>
          <w:p w:rsidR="00000000" w:rsidRDefault="00703D2E">
            <w:pPr>
              <w:jc w:val="both"/>
              <w:rPr>
                <w:rFonts w:eastAsia="Times New Roman"/>
              </w:rPr>
            </w:pPr>
          </w:p>
          <w:p w:rsidR="00000000" w:rsidRDefault="00703D2E">
            <w:pPr>
              <w:pStyle w:val="NormalWeb"/>
              <w:jc w:val="both"/>
            </w:pPr>
            <w:r>
              <w:lastRenderedPageBreak/>
              <w:t>Beban pemeliharaan senilai Rp8.903.100 yang disajikan di Laporan Oprasional berasal dari pemakaian persediaan untuk pemeliharaan yang diperoleh dari realisasi belanja persediaan barang pemeliharaan, sedangkan nilai LRA sebesar Rp0 pada akun Beban bahan per</w:t>
            </w:r>
            <w:r>
              <w:t>sediaan untuk pemeliharaan berdasarkan akuntansi berbasis akrual tidak menimbulkan beban pemeliharaan pada Laporan Operasional.</w:t>
            </w: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Beban Perjalanan Dinas Rp7.740.406.122 </w:t>
            </w:r>
          </w:p>
        </w:tc>
        <w:tc>
          <w:tcPr>
            <w:tcW w:w="0" w:type="auto"/>
            <w:hideMark/>
          </w:tcPr>
          <w:p w:rsidR="00000000" w:rsidRDefault="00703D2E">
            <w:pPr>
              <w:pStyle w:val="Heading5"/>
              <w:jc w:val="both"/>
              <w:rPr>
                <w:rFonts w:eastAsia="Times New Roman"/>
                <w:color w:val="00008B"/>
              </w:rPr>
            </w:pPr>
            <w:r>
              <w:rPr>
                <w:rFonts w:eastAsia="Times New Roman"/>
                <w:color w:val="00008B"/>
              </w:rPr>
              <w:t>D.6 Beban Perjalanan Dinas</w:t>
            </w:r>
          </w:p>
          <w:p w:rsidR="00000000" w:rsidRDefault="00703D2E">
            <w:pPr>
              <w:pStyle w:val="NormalWeb"/>
              <w:jc w:val="both"/>
            </w:pPr>
            <w:r>
              <w:t>Beban Perjalanan Dinas Tahun 30 Juni 2022 dan 30 Juni 2021</w:t>
            </w:r>
            <w:r>
              <w:t xml:space="preserve"> adalah masing-masing sebesar Rp7.740.406.122 dan Rp1.153.089.537. Beban tersebut merupakan beban yang terjadi untuk perjalanan dinas dalam rangka pelaksanaan tugas, fungsi, dan jabatan.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Perjalanan Dinas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9"/>
              <w:gridCol w:w="1950"/>
              <w:gridCol w:w="1950"/>
              <w:gridCol w:w="1591"/>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9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30 </w:t>
                  </w:r>
                  <w:r>
                    <w:rPr>
                      <w:rFonts w:eastAsia="Times New Roman"/>
                      <w:b/>
                      <w:bCs/>
                    </w:rPr>
                    <w:t>Juni 2022</w:t>
                  </w:r>
                </w:p>
              </w:tc>
              <w:tc>
                <w:tcPr>
                  <w:tcW w:w="19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Naik(Turun)%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Perjalanan Biasa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749.264.459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432.858.337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73,10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Perjalanan Dinas Dalam Kota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623.452.000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119.098.000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423,48</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Perjalanan Dinas Paket Meeting Dalam Kota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4.772.529.000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413.976.000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1.052,85</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Perjalanan Dinas Paket Meeting Luar Kota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1.595.160.663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187.157.200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752,31</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7.740.406.122</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1.153.089.537</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571,28</w:t>
                  </w:r>
                </w:p>
              </w:tc>
            </w:tr>
          </w:tbl>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Perbandingan Nilai LO dan LRA Beban Perjalanan Dinas 30 Juni 2022</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0"/>
              <w:gridCol w:w="2025"/>
              <w:gridCol w:w="2025"/>
              <w:gridCol w:w="123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202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LO</w:t>
                  </w:r>
                </w:p>
              </w:tc>
              <w:tc>
                <w:tcPr>
                  <w:tcW w:w="202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LRA</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Selisih</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Perjalanan Biasa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749.264.459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700.691.089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48.573.370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lastRenderedPageBreak/>
                    <w:t>Beban Perjalanan Dinas Dalam Kota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623.452.000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496.602.000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126.850.000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Perjalanan Dinas Paket Meeting Dalam Kota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4.772.529.000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4.766.154.000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6.375.000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Perjalanan Dinas Paket Meeting Luar Kota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1.595.160.663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1.595.160.663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7.740.406.122</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7.558.607.752</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181.798.370</w:t>
                  </w:r>
                </w:p>
              </w:tc>
            </w:tr>
          </w:tbl>
          <w:p w:rsidR="00000000" w:rsidRDefault="00703D2E">
            <w:pPr>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Beban Penyusutan dan Amortisasi Rp1.543.491.403 </w:t>
            </w:r>
          </w:p>
        </w:tc>
        <w:tc>
          <w:tcPr>
            <w:tcW w:w="0" w:type="auto"/>
            <w:hideMark/>
          </w:tcPr>
          <w:p w:rsidR="00000000" w:rsidRDefault="00703D2E">
            <w:pPr>
              <w:pStyle w:val="Heading5"/>
              <w:jc w:val="both"/>
              <w:rPr>
                <w:rFonts w:eastAsia="Times New Roman"/>
                <w:color w:val="00008B"/>
              </w:rPr>
            </w:pPr>
            <w:r>
              <w:rPr>
                <w:rFonts w:eastAsia="Times New Roman"/>
                <w:color w:val="00008B"/>
              </w:rPr>
              <w:t>D.8 Beban Penyusutan dan Amortisasi</w:t>
            </w:r>
          </w:p>
          <w:p w:rsidR="00000000" w:rsidRDefault="00703D2E">
            <w:pPr>
              <w:pStyle w:val="NormalWeb"/>
              <w:jc w:val="both"/>
            </w:pPr>
            <w:r>
              <w:t>Jumlah Beban Penyusutan dan Amortisasi untuk 30 Juni 2022 dan 30 Juni 2021 adalah masing-masing sebesa</w:t>
            </w:r>
            <w:r>
              <w:t>r Rp1.543.491.403 dan Rp1.694.967.961. Beban Penyusutan merupakan beban untuk mencatat alokasi sistematis atas nilai suatu aset tetap yang dapat disusutkan (depreciable assets) selama masa manfaat aset yang bersangkutan. Sedangkan Beban Amortisasi digunaka</w:t>
            </w:r>
            <w:r>
              <w:t xml:space="preserve">n untuk mencatat alokasi penurunan manfaat ekonomi untuk Aset Tak berwujud.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Beban Penyusutan dan Amortisasi 30 Juni 2022 dan 30 Juni 2021</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9"/>
              <w:gridCol w:w="1500"/>
              <w:gridCol w:w="1500"/>
              <w:gridCol w:w="1591"/>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Naik(Turun)%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Penyusutan Peralatan dan Mesin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941.247.051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1.064.303.259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(11,56)</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Penyusutan Gedung dan Bangunan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472.453.838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496.509.315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(4,84)</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Amortisasi 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122.696.875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123.765.625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(0,86)</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Amortisasi Lisensi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2.477.200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2.477.200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0,00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 xml:space="preserve">Beban Penyusutan Penyusutan Aset Tetap yang Tidak Digunakan dalam </w:t>
                  </w:r>
                  <w:r>
                    <w:rPr>
                      <w:rFonts w:eastAsia="Times New Roman"/>
                    </w:rPr>
                    <w:lastRenderedPageBreak/>
                    <w:t>Operasional Pemerintah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lastRenderedPageBreak/>
                    <w:t>4.616.439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7.912.562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(41,66)</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lastRenderedPageBreak/>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1.543.491.403</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1.694.967.961</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(8,94)</w:t>
                  </w:r>
                </w:p>
              </w:tc>
            </w:tr>
          </w:tbl>
          <w:p w:rsidR="00000000" w:rsidRDefault="00703D2E">
            <w:pPr>
              <w:rPr>
                <w:rFonts w:eastAsia="Times New Roman"/>
              </w:rPr>
            </w:pPr>
          </w:p>
        </w:tc>
      </w:tr>
    </w:tbl>
    <w:p w:rsidR="00000000" w:rsidRDefault="00703D2E">
      <w:pPr>
        <w:divId w:val="534586153"/>
        <w:rPr>
          <w:rFonts w:eastAsia="Times New Roman"/>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Beban Penyisihan Piutang Tak Tertagih Rp0 </w:t>
            </w:r>
          </w:p>
        </w:tc>
        <w:tc>
          <w:tcPr>
            <w:tcW w:w="0" w:type="auto"/>
            <w:hideMark/>
          </w:tcPr>
          <w:p w:rsidR="00000000" w:rsidRDefault="00703D2E">
            <w:pPr>
              <w:pStyle w:val="Heading5"/>
              <w:jc w:val="both"/>
              <w:rPr>
                <w:rFonts w:eastAsia="Times New Roman"/>
                <w:color w:val="00008B"/>
              </w:rPr>
            </w:pPr>
            <w:r>
              <w:rPr>
                <w:rFonts w:eastAsia="Times New Roman"/>
                <w:color w:val="00008B"/>
              </w:rPr>
              <w:t xml:space="preserve">D.9 Beban Penyisihan Piutang Tak Tertagih </w:t>
            </w:r>
          </w:p>
          <w:p w:rsidR="00000000" w:rsidRDefault="00703D2E">
            <w:pPr>
              <w:pStyle w:val="NormalWeb"/>
              <w:jc w:val="both"/>
            </w:pPr>
            <w:r>
              <w:t xml:space="preserve">Beban Penyisihan Piutang Tak Tertagih merupakan beban untuk mencatat estimasi ketidaktertagihan piutang dalam suatu periode. Jumlah Beban Penyisihan Piutang Tak Tertagih untuk 30 Juni 2022 dan 30 Juni 2021 adalah masing-masing sebesar Rp0 dan Rp-1.155.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w:t>
                  </w:r>
                  <w:r>
                    <w:rPr>
                      <w:rFonts w:eastAsia="Times New Roman"/>
                      <w:i/>
                      <w:iCs/>
                    </w:rPr>
                    <w:t>incian Beban Penyisihan Piutang Tak Tertagih 30 Juni 2022 dan 30 Juni 2021</w:t>
                  </w:r>
                </w:p>
              </w:tc>
            </w:tr>
          </w:tbl>
          <w:p w:rsidR="00000000" w:rsidRDefault="00703D2E">
            <w:pPr>
              <w:pStyle w:val="NormalWeb"/>
              <w:spacing w:before="0" w:beforeAutospacing="0" w:after="0" w:afterAutospacing="0"/>
              <w:jc w:val="both"/>
              <w:rPr>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9"/>
              <w:gridCol w:w="1500"/>
              <w:gridCol w:w="1500"/>
              <w:gridCol w:w="1591"/>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Naik(Turun)%</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Penyisihan Piutang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-1.155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(100,00)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-1.155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(100,00)</w:t>
                  </w:r>
                </w:p>
              </w:tc>
            </w:tr>
          </w:tbl>
          <w:p w:rsidR="00000000" w:rsidRDefault="00703D2E"/>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Surplus dari Kegiatan Non Operasional Rp3.070.416 </w:t>
            </w:r>
          </w:p>
        </w:tc>
        <w:tc>
          <w:tcPr>
            <w:tcW w:w="0" w:type="auto"/>
            <w:hideMark/>
          </w:tcPr>
          <w:p w:rsidR="00000000" w:rsidRDefault="00703D2E">
            <w:pPr>
              <w:pStyle w:val="Heading5"/>
              <w:jc w:val="both"/>
              <w:rPr>
                <w:rFonts w:eastAsia="Times New Roman"/>
                <w:color w:val="00008B"/>
              </w:rPr>
            </w:pPr>
            <w:r>
              <w:rPr>
                <w:rFonts w:eastAsia="Times New Roman"/>
                <w:color w:val="00008B"/>
              </w:rPr>
              <w:t xml:space="preserve">D.10 Kegiatan Non Operasional </w:t>
            </w:r>
          </w:p>
          <w:p w:rsidR="00000000" w:rsidRDefault="00703D2E">
            <w:pPr>
              <w:pStyle w:val="NormalWeb"/>
              <w:jc w:val="both"/>
            </w:pPr>
            <w:r>
              <w:t>Pos dari Kegiatan Non Operasional terdiri dari pendapatan dan beban yang sifatnya tidak rutin dan bukan merupakan tugas pokok dan fungsi entitas. Surplus dari Kegiatan Non Operasional sampai 30 Juni 2022 dan 30 Juni 2021 ada</w:t>
            </w:r>
            <w:r>
              <w:t>lah sebagai berikut:</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Rincian Kegiatan Non Operasional sampai 30 Juni 2022 dan 30 Juni 2021</w:t>
                  </w:r>
                </w:p>
              </w:tc>
            </w:tr>
          </w:tbl>
          <w:p w:rsidR="00000000" w:rsidRDefault="00703D2E">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3"/>
              <w:gridCol w:w="1500"/>
              <w:gridCol w:w="1500"/>
              <w:gridCol w:w="1591"/>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w:t>
                  </w:r>
                </w:p>
              </w:tc>
              <w:tc>
                <w:tcPr>
                  <w:tcW w:w="150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w:t>
                  </w:r>
                </w:p>
              </w:tc>
              <w:tc>
                <w:tcPr>
                  <w:tcW w:w="1050"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Naik(Turun)%</w:t>
                  </w:r>
                </w:p>
              </w:tc>
            </w:tr>
            <w:tr w:rsidR="00000000">
              <w:tc>
                <w:tcPr>
                  <w:tcW w:w="0" w:type="auto"/>
                  <w:gridSpan w:val="4"/>
                  <w:tcBorders>
                    <w:top w:val="outset" w:sz="6" w:space="0" w:color="auto"/>
                    <w:left w:val="outset" w:sz="6" w:space="0" w:color="auto"/>
                    <w:bottom w:val="outset" w:sz="6" w:space="0" w:color="auto"/>
                    <w:right w:val="outset" w:sz="6" w:space="0" w:color="auto"/>
                  </w:tcBorders>
                  <w:shd w:val="clear" w:color="auto" w:fill="DFF441"/>
                  <w:vAlign w:val="center"/>
                  <w:hideMark/>
                </w:tcPr>
                <w:p w:rsidR="00000000" w:rsidRDefault="00703D2E">
                  <w:pPr>
                    <w:rPr>
                      <w:rFonts w:eastAsia="Times New Roman"/>
                    </w:rPr>
                  </w:pPr>
                  <w:r>
                    <w:rPr>
                      <w:rFonts w:eastAsia="Times New Roman"/>
                    </w:rPr>
                    <w:t>Pendapatan Pelepasan Aset Non Lancar</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Pendapatan dari Pemindahtanganan BMN Lainnya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2.515.000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14.899.998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(83,12)</w:t>
                  </w:r>
                </w:p>
              </w:tc>
            </w:tr>
            <w:tr w:rsidR="00000000">
              <w:tc>
                <w:tcPr>
                  <w:tcW w:w="0" w:type="auto"/>
                  <w:gridSpan w:val="4"/>
                  <w:tcBorders>
                    <w:top w:val="outset" w:sz="6" w:space="0" w:color="auto"/>
                    <w:left w:val="outset" w:sz="6" w:space="0" w:color="auto"/>
                    <w:bottom w:val="outset" w:sz="6" w:space="0" w:color="auto"/>
                    <w:right w:val="outset" w:sz="6" w:space="0" w:color="auto"/>
                  </w:tcBorders>
                  <w:shd w:val="clear" w:color="auto" w:fill="DFF441"/>
                  <w:vAlign w:val="center"/>
                  <w:hideMark/>
                </w:tcPr>
                <w:p w:rsidR="00000000" w:rsidRDefault="00703D2E">
                  <w:pPr>
                    <w:rPr>
                      <w:rFonts w:eastAsia="Times New Roman"/>
                    </w:rPr>
                  </w:pPr>
                  <w:r>
                    <w:rPr>
                      <w:rFonts w:eastAsia="Times New Roman"/>
                    </w:rPr>
                    <w:t>Beban Pelepasan Aset Non Lancar</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Beban Kerugian Pelepasan Aset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33.196.075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(100,00)</w:t>
                  </w:r>
                </w:p>
              </w:tc>
            </w:tr>
            <w:tr w:rsidR="00000000">
              <w:tc>
                <w:tcPr>
                  <w:tcW w:w="0" w:type="auto"/>
                  <w:gridSpan w:val="4"/>
                  <w:tcBorders>
                    <w:top w:val="outset" w:sz="6" w:space="0" w:color="auto"/>
                    <w:left w:val="outset" w:sz="6" w:space="0" w:color="auto"/>
                    <w:bottom w:val="outset" w:sz="6" w:space="0" w:color="auto"/>
                    <w:right w:val="outset" w:sz="6" w:space="0" w:color="auto"/>
                  </w:tcBorders>
                  <w:shd w:val="clear" w:color="auto" w:fill="DFF441"/>
                  <w:vAlign w:val="center"/>
                  <w:hideMark/>
                </w:tcPr>
                <w:p w:rsidR="00000000" w:rsidRDefault="00703D2E">
                  <w:pPr>
                    <w:rPr>
                      <w:rFonts w:eastAsia="Times New Roman"/>
                    </w:rPr>
                  </w:pPr>
                  <w:r>
                    <w:rPr>
                      <w:rFonts w:eastAsia="Times New Roman"/>
                    </w:rPr>
                    <w:t>Pendapatan dari Kegiatan Non Operasional Lainnya</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Penerimaan Kembali Belanja Pegawai Tahun Anggaran Yang Lalu</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555.416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662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83.799,70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lastRenderedPageBreak/>
                    <w:t>Penerimaan Kembali Belanja Barang Tahun Anggaran Yang Lalu</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(100,00)</w:t>
                  </w:r>
                </w:p>
              </w:tc>
            </w:tr>
            <w:tr w:rsidR="00000000">
              <w:tc>
                <w:tcPr>
                  <w:tcW w:w="0" w:type="auto"/>
                  <w:gridSpan w:val="4"/>
                  <w:tcBorders>
                    <w:top w:val="outset" w:sz="6" w:space="0" w:color="auto"/>
                    <w:left w:val="outset" w:sz="6" w:space="0" w:color="auto"/>
                    <w:bottom w:val="outset" w:sz="6" w:space="0" w:color="auto"/>
                    <w:right w:val="outset" w:sz="6" w:space="0" w:color="auto"/>
                  </w:tcBorders>
                  <w:shd w:val="clear" w:color="auto" w:fill="DFF441"/>
                  <w:vAlign w:val="center"/>
                  <w:hideMark/>
                </w:tcPr>
                <w:p w:rsidR="00000000" w:rsidRDefault="00703D2E">
                  <w:pPr>
                    <w:rPr>
                      <w:rFonts w:eastAsia="Times New Roman"/>
                    </w:rPr>
                  </w:pPr>
                  <w:r>
                    <w:rPr>
                      <w:rFonts w:eastAsia="Times New Roman"/>
                    </w:rPr>
                    <w:t>Beban dari Kegiatan Non Operasional Lainnya</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3.070.416</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(18.271.415)</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(116,80)</w:t>
                  </w:r>
                </w:p>
              </w:tc>
            </w:tr>
          </w:tbl>
          <w:p w:rsidR="00000000" w:rsidRDefault="00703D2E">
            <w:pPr>
              <w:rPr>
                <w:rFonts w:eastAsia="Times New Roman"/>
              </w:rPr>
            </w:pP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rPr>
            </w:pPr>
          </w:p>
        </w:tc>
        <w:tc>
          <w:tcPr>
            <w:tcW w:w="0" w:type="auto"/>
            <w:vAlign w:val="center"/>
            <w:hideMark/>
          </w:tcPr>
          <w:p w:rsidR="00000000" w:rsidRDefault="00703D2E">
            <w:pPr>
              <w:pStyle w:val="Heading4"/>
              <w:jc w:val="both"/>
              <w:rPr>
                <w:rFonts w:eastAsia="Times New Roman"/>
                <w:color w:val="00008B"/>
              </w:rPr>
            </w:pPr>
            <w:r>
              <w:rPr>
                <w:rFonts w:eastAsia="Times New Roman"/>
                <w:color w:val="00008B"/>
              </w:rPr>
              <w:t xml:space="preserve">E.PENJELASAN ATAS POS-POS LAPORAN PERUBAHAN EKUITAS </w:t>
            </w: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Ekuitas Awal Rp68.027.379.797 </w:t>
            </w:r>
          </w:p>
        </w:tc>
        <w:tc>
          <w:tcPr>
            <w:tcW w:w="0" w:type="auto"/>
            <w:hideMark/>
          </w:tcPr>
          <w:p w:rsidR="00000000" w:rsidRDefault="00703D2E">
            <w:pPr>
              <w:pStyle w:val="Heading5"/>
              <w:jc w:val="both"/>
              <w:rPr>
                <w:rFonts w:eastAsia="Times New Roman"/>
                <w:color w:val="00008B"/>
              </w:rPr>
            </w:pPr>
            <w:r>
              <w:rPr>
                <w:rFonts w:eastAsia="Times New Roman"/>
                <w:color w:val="00008B"/>
              </w:rPr>
              <w:t>E.1 Ekuitas Awal</w:t>
            </w:r>
          </w:p>
          <w:p w:rsidR="00000000" w:rsidRDefault="00703D2E">
            <w:pPr>
              <w:pStyle w:val="NormalWeb"/>
              <w:jc w:val="both"/>
            </w:pPr>
            <w:r>
              <w:t>Nilai ekuitas pada tanggal 1 Januari 2022 dan 1 Januari 2021 adalah masing-masing sebesar Rp68.027.379.797 dan Rp71.131.006.161.</w:t>
            </w:r>
          </w:p>
          <w:p w:rsidR="00000000" w:rsidRDefault="00703D2E">
            <w:pPr>
              <w:jc w:val="both"/>
              <w:rPr>
                <w:rFonts w:eastAsia="Times New Roman"/>
              </w:rPr>
            </w:pP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Defisit LO Rp45.075.143.997 </w:t>
            </w:r>
          </w:p>
        </w:tc>
        <w:tc>
          <w:tcPr>
            <w:tcW w:w="0" w:type="auto"/>
            <w:hideMark/>
          </w:tcPr>
          <w:p w:rsidR="00000000" w:rsidRDefault="00703D2E">
            <w:pPr>
              <w:pStyle w:val="Heading5"/>
              <w:jc w:val="both"/>
              <w:rPr>
                <w:rFonts w:eastAsia="Times New Roman"/>
                <w:color w:val="00008B"/>
              </w:rPr>
            </w:pPr>
            <w:r>
              <w:rPr>
                <w:rFonts w:eastAsia="Times New Roman"/>
                <w:color w:val="00008B"/>
              </w:rPr>
              <w:t>E.2 Surplus (Defisit) LO</w:t>
            </w:r>
          </w:p>
          <w:p w:rsidR="00000000" w:rsidRDefault="00703D2E">
            <w:pPr>
              <w:pStyle w:val="NormalWeb"/>
              <w:jc w:val="both"/>
            </w:pPr>
            <w:r>
              <w:t>Jumlah Defisit LO unt</w:t>
            </w:r>
            <w:r>
              <w:t>uk periode yang berakhir pada 30 Juni 2022 dan 30 Juni 2021 adalah sebesar Rp45.075.143.997 dan Rp28.350.325.898. Defisit LO merupakan selisih kurang antara surplus/defisit kegiatan operasional, surplus/defisit kegiatan non operasional, dan pos luar biasa.</w:t>
            </w:r>
            <w:r>
              <w:t xml:space="preserve"> </w:t>
            </w: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rPr>
            </w:pPr>
          </w:p>
        </w:tc>
        <w:tc>
          <w:tcPr>
            <w:tcW w:w="0" w:type="auto"/>
            <w:hideMark/>
          </w:tcPr>
          <w:p w:rsidR="00000000" w:rsidRDefault="00703D2E">
            <w:pPr>
              <w:pStyle w:val="Heading5"/>
              <w:jc w:val="both"/>
              <w:rPr>
                <w:rFonts w:eastAsia="Times New Roman"/>
                <w:color w:val="00008B"/>
              </w:rPr>
            </w:pPr>
            <w:r>
              <w:rPr>
                <w:rFonts w:eastAsia="Times New Roman"/>
                <w:color w:val="00008B"/>
              </w:rPr>
              <w:t>E.3 Koreksi yang Menambah/Mengurangi Ekuitas</w:t>
            </w:r>
          </w:p>
          <w:p w:rsidR="00000000" w:rsidRDefault="00703D2E">
            <w:pPr>
              <w:pStyle w:val="NormalWeb"/>
              <w:jc w:val="both"/>
            </w:pPr>
            <w:r>
              <w:t xml:space="preserve">Nilai koreksi yang menambah/mengurangi ekuitas untuk periode yang berakhir 30 Juni 2022 dan 30 Juni 2021 adalah masing-masing sebesar minus Rp186.362.000 dan minus Rp270.192.026. Rincian saldo koreksi yang </w:t>
            </w:r>
            <w:r>
              <w:t xml:space="preserve">menambah/mengurangi ekuitas adalah sebagai berikut: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trPr>
                <w:tblCellSpacing w:w="15" w:type="dxa"/>
              </w:trPr>
              <w:tc>
                <w:tcPr>
                  <w:tcW w:w="6600" w:type="dxa"/>
                  <w:vAlign w:val="center"/>
                  <w:hideMark/>
                </w:tcPr>
                <w:p w:rsidR="00000000" w:rsidRDefault="00703D2E">
                  <w:pPr>
                    <w:jc w:val="center"/>
                    <w:rPr>
                      <w:rFonts w:eastAsia="Times New Roman"/>
                      <w:i/>
                      <w:iCs/>
                    </w:rPr>
                  </w:pPr>
                  <w:r>
                    <w:rPr>
                      <w:rFonts w:eastAsia="Times New Roman"/>
                      <w:i/>
                      <w:iCs/>
                    </w:rPr>
                    <w:t>Rincian Koreksi yang Menambah/Mengurangi Ekuitas</w:t>
                  </w:r>
                </w:p>
              </w:tc>
            </w:tr>
          </w:tbl>
          <w:p w:rsidR="00000000" w:rsidRDefault="00703D2E">
            <w:pPr>
              <w:jc w:val="both"/>
              <w:rPr>
                <w:rFonts w:eastAsia="Times New Roman"/>
                <w:vanish/>
              </w:rPr>
            </w:pPr>
          </w:p>
          <w:tbl>
            <w:tblPr>
              <w:tblW w:w="6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0"/>
              <w:gridCol w:w="1875"/>
              <w:gridCol w:w="1875"/>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Uraian</w:t>
                  </w:r>
                </w:p>
              </w:tc>
              <w:tc>
                <w:tcPr>
                  <w:tcW w:w="187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 (Rp)</w:t>
                  </w:r>
                </w:p>
              </w:tc>
              <w:tc>
                <w:tcPr>
                  <w:tcW w:w="187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2021(Rp)</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Koreksi Atas Reklasifikasi</w:t>
                  </w:r>
                </w:p>
              </w:tc>
              <w:tc>
                <w:tcPr>
                  <w:tcW w:w="0" w:type="auto"/>
                  <w:tcBorders>
                    <w:top w:val="outset" w:sz="6" w:space="0" w:color="auto"/>
                    <w:left w:val="outset" w:sz="6" w:space="0" w:color="auto"/>
                    <w:bottom w:val="outset" w:sz="6" w:space="0" w:color="auto"/>
                    <w:right w:val="single" w:sz="6" w:space="0" w:color="000000"/>
                  </w:tcBorders>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single" w:sz="6" w:space="0" w:color="000000"/>
                  </w:tcBorders>
                  <w:vAlign w:val="center"/>
                  <w:hideMark/>
                </w:tcPr>
                <w:p w:rsidR="00000000" w:rsidRDefault="00703D2E">
                  <w:pPr>
                    <w:jc w:val="right"/>
                    <w:rPr>
                      <w:rFonts w:eastAsia="Times New Roman"/>
                    </w:rPr>
                  </w:pPr>
                  <w:r>
                    <w:rPr>
                      <w:rFonts w:eastAsia="Times New Roman"/>
                    </w:rPr>
                    <w:t>14.503.370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Koreksi Nilai Aset Tetap Non Revaluasi</w:t>
                  </w:r>
                </w:p>
              </w:tc>
              <w:tc>
                <w:tcPr>
                  <w:tcW w:w="0" w:type="auto"/>
                  <w:tcBorders>
                    <w:top w:val="outset" w:sz="6" w:space="0" w:color="auto"/>
                    <w:left w:val="outset" w:sz="6" w:space="0" w:color="auto"/>
                    <w:bottom w:val="outset" w:sz="6" w:space="0" w:color="auto"/>
                    <w:right w:val="single" w:sz="6" w:space="0" w:color="000000"/>
                  </w:tcBorders>
                  <w:vAlign w:val="center"/>
                  <w:hideMark/>
                </w:tcPr>
                <w:p w:rsidR="00000000" w:rsidRDefault="00703D2E">
                  <w:pPr>
                    <w:jc w:val="right"/>
                    <w:rPr>
                      <w:rFonts w:eastAsia="Times New Roman"/>
                    </w:rPr>
                  </w:pPr>
                  <w:r>
                    <w:rPr>
                      <w:rFonts w:eastAsia="Times New Roman"/>
                    </w:rPr>
                    <w:t>(186.362.000)</w:t>
                  </w:r>
                </w:p>
              </w:tc>
              <w:tc>
                <w:tcPr>
                  <w:tcW w:w="0" w:type="auto"/>
                  <w:tcBorders>
                    <w:top w:val="outset" w:sz="6" w:space="0" w:color="auto"/>
                    <w:left w:val="outset" w:sz="6" w:space="0" w:color="auto"/>
                    <w:bottom w:val="outset" w:sz="6" w:space="0" w:color="auto"/>
                    <w:right w:val="single" w:sz="6" w:space="0" w:color="000000"/>
                  </w:tcBorders>
                  <w:vAlign w:val="center"/>
                  <w:hideMark/>
                </w:tcPr>
                <w:p w:rsidR="00000000" w:rsidRDefault="00703D2E">
                  <w:pPr>
                    <w:jc w:val="right"/>
                    <w:rPr>
                      <w:rFonts w:eastAsia="Times New Roman"/>
                    </w:rPr>
                  </w:pPr>
                  <w:r>
                    <w:rPr>
                      <w:rFonts w:eastAsia="Times New Roman"/>
                    </w:rPr>
                    <w:t>(284.695.396)</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(186.362.000)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(270.192.026)</w:t>
                  </w:r>
                </w:p>
              </w:tc>
            </w:tr>
          </w:tbl>
          <w:p w:rsidR="00000000" w:rsidRDefault="00703D2E">
            <w:pPr>
              <w:jc w:val="both"/>
              <w:rPr>
                <w:rFonts w:eastAsia="Times New Roman"/>
              </w:rPr>
            </w:pP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Koreksi Atas Reklasifikasi Rp0 </w:t>
            </w:r>
          </w:p>
        </w:tc>
        <w:tc>
          <w:tcPr>
            <w:tcW w:w="0" w:type="auto"/>
            <w:hideMark/>
          </w:tcPr>
          <w:p w:rsidR="00000000" w:rsidRDefault="00703D2E">
            <w:pPr>
              <w:pStyle w:val="Heading5"/>
              <w:jc w:val="both"/>
              <w:rPr>
                <w:rFonts w:eastAsia="Times New Roman"/>
                <w:color w:val="00008B"/>
              </w:rPr>
            </w:pPr>
            <w:r>
              <w:rPr>
                <w:rFonts w:eastAsia="Times New Roman"/>
                <w:color w:val="00008B"/>
              </w:rPr>
              <w:t>E.3.1 Koreksi Atas Reklasifikasi</w:t>
            </w:r>
          </w:p>
          <w:p w:rsidR="00000000" w:rsidRDefault="00703D2E">
            <w:pPr>
              <w:pStyle w:val="NormalWeb"/>
              <w:jc w:val="both"/>
            </w:pPr>
            <w:r>
              <w:lastRenderedPageBreak/>
              <w:t xml:space="preserve">Koreksi Atas Reklasifikasi untuk periode yang berakhir pada 30 Juni 2022 dan 30 Juni 2021 adalah masing-masing sebesar Rp0 dan Rp14.503.370. </w:t>
            </w: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Koreksi Aset Tetap Non Revaluasi minus Rp186.362.000 </w:t>
            </w:r>
          </w:p>
        </w:tc>
        <w:tc>
          <w:tcPr>
            <w:tcW w:w="0" w:type="auto"/>
            <w:hideMark/>
          </w:tcPr>
          <w:p w:rsidR="00000000" w:rsidRDefault="00703D2E">
            <w:pPr>
              <w:pStyle w:val="Heading5"/>
              <w:jc w:val="both"/>
              <w:rPr>
                <w:rFonts w:eastAsia="Times New Roman"/>
                <w:color w:val="00008B"/>
              </w:rPr>
            </w:pPr>
            <w:r>
              <w:rPr>
                <w:rFonts w:eastAsia="Times New Roman"/>
                <w:color w:val="00008B"/>
              </w:rPr>
              <w:t>E.3.2 Koreksi Aset Tetap Non Revaluasi</w:t>
            </w:r>
          </w:p>
          <w:p w:rsidR="00000000" w:rsidRDefault="00703D2E">
            <w:pPr>
              <w:pStyle w:val="NormalWeb"/>
              <w:jc w:val="both"/>
            </w:pPr>
            <w:r>
              <w:t>Koreksi Aset Tetap Non Revaluasi untuk periode yang berakhir pada 30 Juni 2022 dan 30 Juni 2021 adalah sebesar minus Rp186.362.000 dan minus Rp284.695.396. Koreksi</w:t>
            </w:r>
            <w:r>
              <w:t xml:space="preserve"> ini berasal dari transaksi koreksi nilai aset tetap dan aset lainnya yang bukan karena revaluasi nilai.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 xml:space="preserve">Rincian Koreksi Aset Tetap Non Revaluasi Tahun 2022 </w:t>
                  </w:r>
                </w:p>
              </w:tc>
            </w:tr>
          </w:tbl>
          <w:p w:rsidR="00000000" w:rsidRDefault="00703D2E">
            <w:pPr>
              <w:jc w:val="both"/>
              <w:rPr>
                <w:rFonts w:eastAsia="Times New Roman"/>
                <w:vanish/>
              </w:rPr>
            </w:pPr>
          </w:p>
          <w:tbl>
            <w:tblPr>
              <w:tblW w:w="6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25"/>
              <w:gridCol w:w="1875"/>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Jenis Aset Tetap</w:t>
                  </w:r>
                </w:p>
              </w:tc>
              <w:tc>
                <w:tcPr>
                  <w:tcW w:w="187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Koreksi(Rp)</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0</w:t>
                  </w:r>
                </w:p>
              </w:tc>
            </w:tr>
          </w:tbl>
          <w:p w:rsidR="00000000" w:rsidRDefault="00703D2E">
            <w:pPr>
              <w:pStyle w:val="NormalWeb"/>
              <w:jc w:val="both"/>
            </w:pPr>
            <w:r>
              <w:t xml:space="preserve">*) nilai minus pada tabel didefinisikan koreksi pada aset tersebut merupakan koreksi pengurangan </w:t>
            </w:r>
          </w:p>
          <w:p w:rsidR="00000000" w:rsidRDefault="00703D2E">
            <w:pPr>
              <w:jc w:val="both"/>
              <w:rPr>
                <w:rFonts w:eastAsia="Times New Roman"/>
              </w:rPr>
            </w:pP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Transaksi Antar Entitas Rp40.288.949.293 </w:t>
            </w:r>
          </w:p>
        </w:tc>
        <w:tc>
          <w:tcPr>
            <w:tcW w:w="0" w:type="auto"/>
            <w:hideMark/>
          </w:tcPr>
          <w:p w:rsidR="00000000" w:rsidRDefault="00703D2E">
            <w:pPr>
              <w:pStyle w:val="Heading5"/>
              <w:jc w:val="both"/>
              <w:rPr>
                <w:rFonts w:eastAsia="Times New Roman"/>
                <w:color w:val="00008B"/>
              </w:rPr>
            </w:pPr>
            <w:r>
              <w:rPr>
                <w:rFonts w:eastAsia="Times New Roman"/>
                <w:color w:val="00008B"/>
              </w:rPr>
              <w:t>E.4 Transaksi Antar Entitas</w:t>
            </w:r>
          </w:p>
          <w:p w:rsidR="00000000" w:rsidRDefault="00703D2E">
            <w:pPr>
              <w:pStyle w:val="NormalWeb"/>
              <w:jc w:val="both"/>
            </w:pPr>
            <w:r>
              <w:t>Nilai Transaksi Antar Entitas untuk periode yang berakhir 30 Juni 2022 dan 30 Juni 2</w:t>
            </w:r>
            <w:r>
              <w:t xml:space="preserve">021 adalah masing-masing sebesar Rp40.288.949.293 dan Rp28.094.784.819. Transaksi antar Entitas adalah transaksi yang melibatkan dua atau lebih entitas yang berbeda baik internal KL, antar KL, antar BUN maupun KL dengan BUN.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trPr>
                <w:tblCellSpacing w:w="15" w:type="dxa"/>
              </w:trPr>
              <w:tc>
                <w:tcPr>
                  <w:tcW w:w="6600" w:type="dxa"/>
                  <w:vAlign w:val="center"/>
                  <w:hideMark/>
                </w:tcPr>
                <w:p w:rsidR="00000000" w:rsidRDefault="00703D2E">
                  <w:pPr>
                    <w:jc w:val="center"/>
                    <w:rPr>
                      <w:rFonts w:eastAsia="Times New Roman"/>
                      <w:i/>
                      <w:iCs/>
                    </w:rPr>
                  </w:pPr>
                  <w:r>
                    <w:rPr>
                      <w:rFonts w:eastAsia="Times New Roman"/>
                      <w:i/>
                      <w:iCs/>
                    </w:rPr>
                    <w:t>Rincian Nilai Transaksi Anta</w:t>
                  </w:r>
                  <w:r>
                    <w:rPr>
                      <w:rFonts w:eastAsia="Times New Roman"/>
                      <w:i/>
                      <w:iCs/>
                    </w:rPr>
                    <w:t>r Entitas</w:t>
                  </w:r>
                </w:p>
              </w:tc>
            </w:tr>
          </w:tbl>
          <w:p w:rsidR="00000000" w:rsidRDefault="00703D2E">
            <w:pPr>
              <w:jc w:val="both"/>
              <w:rPr>
                <w:rFonts w:eastAsia="Times New Roman"/>
                <w:vanish/>
              </w:rPr>
            </w:pPr>
          </w:p>
          <w:tbl>
            <w:tblPr>
              <w:tblW w:w="6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0"/>
              <w:gridCol w:w="1875"/>
              <w:gridCol w:w="1875"/>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Jenis </w:t>
                  </w:r>
                </w:p>
              </w:tc>
              <w:tc>
                <w:tcPr>
                  <w:tcW w:w="187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2022 (Rp)</w:t>
                  </w:r>
                </w:p>
              </w:tc>
              <w:tc>
                <w:tcPr>
                  <w:tcW w:w="187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30 Juni 2021(Rp)</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Ditagihkan ke Entitas Lain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40.239.629.486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28.130.664.022</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Diterima dari Entitas Lain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(26.264.174)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(41.383.720)</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Transfer Keluar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(341.950.128)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(4.546.974)</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rPr>
                      <w:rFonts w:eastAsia="Times New Roman"/>
                    </w:rPr>
                  </w:pPr>
                  <w:r>
                    <w:rPr>
                      <w:rFonts w:eastAsia="Times New Roman"/>
                    </w:rPr>
                    <w:t>Transfer Masuk</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417.534.109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703D2E">
                  <w:pPr>
                    <w:jc w:val="right"/>
                    <w:rPr>
                      <w:rFonts w:eastAsia="Times New Roman"/>
                    </w:rPr>
                  </w:pPr>
                  <w:r>
                    <w:rPr>
                      <w:rFonts w:eastAsia="Times New Roman"/>
                    </w:rPr>
                    <w:t>10.051.491</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40.288.949.293</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28.094.784.819</w:t>
                  </w:r>
                </w:p>
              </w:tc>
            </w:tr>
          </w:tbl>
          <w:p w:rsidR="00000000" w:rsidRDefault="00703D2E">
            <w:pPr>
              <w:jc w:val="both"/>
              <w:rPr>
                <w:rFonts w:eastAsia="Times New Roman"/>
              </w:rPr>
            </w:pP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rPr>
            </w:pPr>
          </w:p>
        </w:tc>
        <w:tc>
          <w:tcPr>
            <w:tcW w:w="0" w:type="auto"/>
            <w:hideMark/>
          </w:tcPr>
          <w:p w:rsidR="00000000" w:rsidRDefault="00703D2E">
            <w:pPr>
              <w:pStyle w:val="Heading5"/>
              <w:jc w:val="both"/>
              <w:rPr>
                <w:rFonts w:eastAsia="Times New Roman"/>
                <w:color w:val="00008B"/>
              </w:rPr>
            </w:pPr>
            <w:r>
              <w:rPr>
                <w:rFonts w:eastAsia="Times New Roman"/>
                <w:color w:val="00008B"/>
              </w:rPr>
              <w:t>E.4.1 Diterima dari Entitas Lain (DDEL)/Ditagihkan ke Entitas Lain (DKEL)</w:t>
            </w:r>
          </w:p>
          <w:p w:rsidR="00000000" w:rsidRDefault="00703D2E">
            <w:pPr>
              <w:pStyle w:val="NormalWeb"/>
              <w:jc w:val="both"/>
            </w:pPr>
            <w:r>
              <w:t xml:space="preserve">Diterima dari Entitas Lain/Ditagihkan ke Entitas Lain merupakan transaksi antar entitas atas pendapatan dan belanja pada satuan kerja </w:t>
            </w:r>
            <w:r>
              <w:lastRenderedPageBreak/>
              <w:t>yang melibatkan kas negara (BUN). Pada periode hingga 30 Juni 2022, DDEL sebesar minus Rp26.264.174 sedangkan DKEL sebesar</w:t>
            </w:r>
            <w:r>
              <w:t xml:space="preserve"> Rp40.239.629.486. </w:t>
            </w: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159"/>
        <w:gridCol w:w="6841"/>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rPr>
            </w:pPr>
          </w:p>
        </w:tc>
        <w:tc>
          <w:tcPr>
            <w:tcW w:w="0" w:type="auto"/>
            <w:hideMark/>
          </w:tcPr>
          <w:p w:rsidR="00000000" w:rsidRDefault="00703D2E">
            <w:pPr>
              <w:pStyle w:val="Heading5"/>
              <w:jc w:val="both"/>
              <w:rPr>
                <w:rFonts w:eastAsia="Times New Roman"/>
                <w:color w:val="00008B"/>
              </w:rPr>
            </w:pPr>
            <w:r>
              <w:rPr>
                <w:rFonts w:eastAsia="Times New Roman"/>
                <w:color w:val="00008B"/>
              </w:rPr>
              <w:t>E.4.2 Transfer Masuk/Transfer Keluar</w:t>
            </w:r>
          </w:p>
          <w:p w:rsidR="00000000" w:rsidRDefault="00703D2E">
            <w:pPr>
              <w:pStyle w:val="NormalWeb"/>
              <w:jc w:val="both"/>
            </w:pPr>
            <w:r>
              <w:t xml:space="preserve">Transfer Masuk/Transfer Keluar merupakan perpindahan aset/kewajiban dari satu entitas ke entitas lain pada internal KL, antar KL dan antara KL dengan BA-BUN. </w:t>
            </w:r>
            <w:r>
              <w:br/>
            </w:r>
            <w:r>
              <w:t xml:space="preserve">Transfer Masuk sampai dengan tanggal 30 Juni 2022 sebesar Rp417.534.109. Sedangkan Transfer Keluar sampai dengan tanggal 30 Juni 2022 sebesar Rp341.950.128. </w:t>
            </w:r>
          </w:p>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 xml:space="preserve">Rincian Transfer Masuk 30 Juni 2022 </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7"/>
              <w:gridCol w:w="551"/>
              <w:gridCol w:w="1274"/>
              <w:gridCol w:w="2242"/>
              <w:gridCol w:w="1596"/>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Entitas Asal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Jenis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Aset Diterima</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Akumulasi Transaksional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Buku Aset (Rp)</w:t>
                  </w:r>
                </w:p>
              </w:tc>
            </w:tr>
            <w:tr w:rsidR="00000000">
              <w:tc>
                <w:tcPr>
                  <w:tcW w:w="0" w:type="auto"/>
                  <w:gridSpan w:val="2"/>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r>
          </w:tbl>
          <w:p w:rsidR="00000000" w:rsidRDefault="00703D2E">
            <w:pPr>
              <w:jc w:val="both"/>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6"/>
            </w:tblGrid>
            <w:tr w:rsidR="00000000">
              <w:trPr>
                <w:tblCellSpacing w:w="15" w:type="dxa"/>
              </w:trPr>
              <w:tc>
                <w:tcPr>
                  <w:tcW w:w="6750" w:type="dxa"/>
                  <w:vAlign w:val="center"/>
                  <w:hideMark/>
                </w:tcPr>
                <w:p w:rsidR="00000000" w:rsidRDefault="00703D2E">
                  <w:pPr>
                    <w:jc w:val="center"/>
                    <w:rPr>
                      <w:rFonts w:eastAsia="Times New Roman"/>
                      <w:i/>
                      <w:iCs/>
                    </w:rPr>
                  </w:pPr>
                  <w:r>
                    <w:rPr>
                      <w:rFonts w:eastAsia="Times New Roman"/>
                      <w:i/>
                      <w:iCs/>
                    </w:rPr>
                    <w:t xml:space="preserve">Rincian Transfer Keluar Tahun 30 Juni 2022 </w:t>
                  </w:r>
                </w:p>
              </w:tc>
            </w:tr>
          </w:tbl>
          <w:p w:rsidR="00000000" w:rsidRDefault="00703D2E">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3"/>
              <w:gridCol w:w="551"/>
              <w:gridCol w:w="1376"/>
              <w:gridCol w:w="2141"/>
              <w:gridCol w:w="1459"/>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Entitas Tujuan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 xml:space="preserve">Jenis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Aset Ditransfer</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Akumulasi Transaksional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00000" w:rsidRDefault="00703D2E">
                  <w:pPr>
                    <w:jc w:val="center"/>
                    <w:rPr>
                      <w:rFonts w:eastAsia="Times New Roman"/>
                      <w:b/>
                      <w:bCs/>
                    </w:rPr>
                  </w:pPr>
                  <w:r>
                    <w:rPr>
                      <w:rFonts w:eastAsia="Times New Roman"/>
                      <w:b/>
                      <w:bCs/>
                    </w:rPr>
                    <w:t>Nilai Buku Aset (Rp)</w:t>
                  </w:r>
                </w:p>
              </w:tc>
            </w:tr>
            <w:tr w:rsidR="00000000">
              <w:tc>
                <w:tcPr>
                  <w:tcW w:w="0" w:type="auto"/>
                  <w:gridSpan w:val="2"/>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000000" w:rsidRDefault="00703D2E">
                  <w:pPr>
                    <w:jc w:val="right"/>
                    <w:rPr>
                      <w:rFonts w:eastAsia="Times New Roman"/>
                    </w:rPr>
                  </w:pPr>
                  <w:r>
                    <w:rPr>
                      <w:rFonts w:eastAsia="Times New Roman"/>
                    </w:rPr>
                    <w:t>0</w:t>
                  </w:r>
                </w:p>
              </w:tc>
            </w:tr>
          </w:tbl>
          <w:p w:rsidR="00000000" w:rsidRDefault="00703D2E">
            <w:pPr>
              <w:rPr>
                <w:rFonts w:eastAsia="Times New Roman"/>
              </w:rPr>
            </w:pPr>
          </w:p>
        </w:tc>
      </w:tr>
    </w:tbl>
    <w:p w:rsidR="00000000" w:rsidRDefault="00703D2E">
      <w:pPr>
        <w:divId w:val="534586153"/>
        <w:rPr>
          <w:rFonts w:eastAsia="Times New Roman"/>
          <w:vanish/>
        </w:rPr>
      </w:pPr>
    </w:p>
    <w:tbl>
      <w:tblPr>
        <w:tblW w:w="9000" w:type="dxa"/>
        <w:tblCellSpacing w:w="15" w:type="dxa"/>
        <w:tblCellMar>
          <w:top w:w="15" w:type="dxa"/>
          <w:left w:w="15" w:type="dxa"/>
          <w:bottom w:w="180" w:type="dxa"/>
          <w:right w:w="15" w:type="dxa"/>
        </w:tblCellMar>
        <w:tblLook w:val="04A0" w:firstRow="1" w:lastRow="0" w:firstColumn="1" w:lastColumn="0" w:noHBand="0" w:noVBand="1"/>
      </w:tblPr>
      <w:tblGrid>
        <w:gridCol w:w="2295"/>
        <w:gridCol w:w="6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i/>
                <w:iCs/>
                <w:color w:val="00008B"/>
              </w:rPr>
            </w:pPr>
            <w:r>
              <w:rPr>
                <w:rFonts w:eastAsia="Times New Roman"/>
                <w:i/>
                <w:iCs/>
                <w:color w:val="00008B"/>
              </w:rPr>
              <w:t xml:space="preserve">Ekuitas Akhir Rp63.054.823.093 </w:t>
            </w:r>
          </w:p>
        </w:tc>
        <w:tc>
          <w:tcPr>
            <w:tcW w:w="0" w:type="auto"/>
            <w:hideMark/>
          </w:tcPr>
          <w:p w:rsidR="00000000" w:rsidRDefault="00703D2E">
            <w:pPr>
              <w:pStyle w:val="Heading5"/>
              <w:jc w:val="both"/>
              <w:rPr>
                <w:rFonts w:eastAsia="Times New Roman"/>
                <w:color w:val="00008B"/>
              </w:rPr>
            </w:pPr>
            <w:r>
              <w:rPr>
                <w:rFonts w:eastAsia="Times New Roman"/>
                <w:color w:val="00008B"/>
              </w:rPr>
              <w:t>E.5 Ekuitas Akhir</w:t>
            </w:r>
          </w:p>
          <w:p w:rsidR="00000000" w:rsidRDefault="00703D2E">
            <w:pPr>
              <w:pStyle w:val="NormalWeb"/>
              <w:jc w:val="both"/>
            </w:pPr>
            <w:r>
              <w:t xml:space="preserve">Nilai Ekuitas pada tanggal 30 Juni 2022 dan 30 Juni 2021 adalah masing-masing sebesar Rp63.054.823.093 dan Rp70.605.273.056. </w:t>
            </w:r>
          </w:p>
        </w:tc>
      </w:tr>
    </w:tbl>
    <w:p w:rsidR="00000000" w:rsidRDefault="00703D2E">
      <w:pPr>
        <w:divId w:val="534586153"/>
        <w:rPr>
          <w:rFonts w:eastAsia="Times New Roman"/>
          <w:vanish/>
        </w:rPr>
      </w:pPr>
    </w:p>
    <w:tbl>
      <w:tblPr>
        <w:tblW w:w="12000" w:type="dxa"/>
        <w:tblCellSpacing w:w="15" w:type="dxa"/>
        <w:tblCellMar>
          <w:top w:w="15" w:type="dxa"/>
          <w:left w:w="15" w:type="dxa"/>
          <w:bottom w:w="180" w:type="dxa"/>
          <w:right w:w="15" w:type="dxa"/>
        </w:tblCellMar>
        <w:tblLook w:val="04A0" w:firstRow="1" w:lastRow="0" w:firstColumn="1" w:lastColumn="0" w:noHBand="0" w:noVBand="1"/>
      </w:tblPr>
      <w:tblGrid>
        <w:gridCol w:w="2295"/>
        <w:gridCol w:w="9705"/>
      </w:tblGrid>
      <w:tr w:rsidR="00000000">
        <w:trPr>
          <w:divId w:val="534586153"/>
          <w:tblCellSpacing w:w="15" w:type="dxa"/>
        </w:trPr>
        <w:tc>
          <w:tcPr>
            <w:tcW w:w="2250" w:type="dxa"/>
            <w:tcMar>
              <w:top w:w="15" w:type="dxa"/>
              <w:left w:w="15" w:type="dxa"/>
              <w:bottom w:w="180" w:type="dxa"/>
              <w:right w:w="120" w:type="dxa"/>
            </w:tcMar>
            <w:hideMark/>
          </w:tcPr>
          <w:p w:rsidR="00000000" w:rsidRDefault="00703D2E">
            <w:pPr>
              <w:rPr>
                <w:rFonts w:eastAsia="Times New Roman"/>
              </w:rPr>
            </w:pPr>
          </w:p>
        </w:tc>
        <w:tc>
          <w:tcPr>
            <w:tcW w:w="0" w:type="auto"/>
            <w:vAlign w:val="center"/>
            <w:hideMark/>
          </w:tcPr>
          <w:p w:rsidR="00000000" w:rsidRDefault="00703D2E">
            <w:pPr>
              <w:jc w:val="both"/>
              <w:rPr>
                <w:rFonts w:eastAsia="Times New Roman"/>
              </w:rPr>
            </w:pPr>
          </w:p>
        </w:tc>
      </w:tr>
    </w:tbl>
    <w:p w:rsidR="00703D2E" w:rsidRDefault="00703D2E">
      <w:pPr>
        <w:divId w:val="534586153"/>
        <w:rPr>
          <w:rFonts w:eastAsia="Times New Roman"/>
        </w:rPr>
      </w:pPr>
    </w:p>
    <w:sectPr w:rsidR="00703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0C7B"/>
    <w:multiLevelType w:val="multilevel"/>
    <w:tmpl w:val="EF8C8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2053F"/>
    <w:multiLevelType w:val="multilevel"/>
    <w:tmpl w:val="E9E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521A5"/>
    <w:multiLevelType w:val="multilevel"/>
    <w:tmpl w:val="DCE0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F0A9F"/>
    <w:multiLevelType w:val="multilevel"/>
    <w:tmpl w:val="6494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70536"/>
    <w:multiLevelType w:val="multilevel"/>
    <w:tmpl w:val="4C90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316EC5"/>
    <w:multiLevelType w:val="multilevel"/>
    <w:tmpl w:val="717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F2549"/>
    <w:multiLevelType w:val="multilevel"/>
    <w:tmpl w:val="53F07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2666D"/>
    <w:multiLevelType w:val="multilevel"/>
    <w:tmpl w:val="49F0D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86976"/>
    <w:multiLevelType w:val="multilevel"/>
    <w:tmpl w:val="239A2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290623"/>
    <w:multiLevelType w:val="multilevel"/>
    <w:tmpl w:val="3A0E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7E3864"/>
    <w:multiLevelType w:val="multilevel"/>
    <w:tmpl w:val="2CB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2A166D"/>
    <w:multiLevelType w:val="multilevel"/>
    <w:tmpl w:val="104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7B5AE1"/>
    <w:multiLevelType w:val="multilevel"/>
    <w:tmpl w:val="6264E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65660F"/>
    <w:multiLevelType w:val="multilevel"/>
    <w:tmpl w:val="3CEA4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12"/>
  </w:num>
  <w:num w:numId="5">
    <w:abstractNumId w:val="5"/>
  </w:num>
  <w:num w:numId="6">
    <w:abstractNumId w:val="6"/>
  </w:num>
  <w:num w:numId="7">
    <w:abstractNumId w:val="10"/>
  </w:num>
  <w:num w:numId="8">
    <w:abstractNumId w:val="4"/>
  </w:num>
  <w:num w:numId="9">
    <w:abstractNumId w:val="8"/>
  </w:num>
  <w:num w:numId="10">
    <w:abstractNumId w:val="8"/>
    <w:lvlOverride w:ilvl="1">
      <w:lvl w:ilvl="1">
        <w:numFmt w:val="decimal"/>
        <w:lvlText w:val="%2."/>
        <w:lvlJc w:val="left"/>
      </w:lvl>
    </w:lvlOverride>
  </w:num>
  <w:num w:numId="1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3"/>
  </w:num>
  <w:num w:numId="13">
    <w:abstractNumId w:val="7"/>
  </w:num>
  <w:num w:numId="14">
    <w:abstractNumId w:val="1"/>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A58A9"/>
    <w:rsid w:val="00703D2E"/>
    <w:rsid w:val="00DA58A9"/>
    <w:rsid w:val="00E2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384816-943E-4285-B729-E905C84D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100" w:beforeAutospacing="1" w:after="100" w:afterAutospacing="1"/>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a">
    <w:name w:val="a"/>
    <w:basedOn w:val="Normal"/>
    <w:pPr>
      <w:spacing w:before="100" w:beforeAutospacing="1" w:after="100" w:afterAutospacing="1"/>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85019">
      <w:marLeft w:val="0"/>
      <w:marRight w:val="0"/>
      <w:marTop w:val="0"/>
      <w:marBottom w:val="0"/>
      <w:divBdr>
        <w:top w:val="none" w:sz="0" w:space="0" w:color="auto"/>
        <w:left w:val="none" w:sz="0" w:space="0" w:color="auto"/>
        <w:bottom w:val="none" w:sz="0" w:space="0" w:color="auto"/>
        <w:right w:val="none" w:sz="0" w:space="0" w:color="auto"/>
      </w:divBdr>
    </w:div>
    <w:div w:id="177355326">
      <w:bodyDiv w:val="1"/>
      <w:marLeft w:val="0"/>
      <w:marRight w:val="0"/>
      <w:marTop w:val="0"/>
      <w:marBottom w:val="0"/>
      <w:divBdr>
        <w:top w:val="none" w:sz="0" w:space="0" w:color="auto"/>
        <w:left w:val="none" w:sz="0" w:space="0" w:color="auto"/>
        <w:bottom w:val="none" w:sz="0" w:space="0" w:color="auto"/>
        <w:right w:val="none" w:sz="0" w:space="0" w:color="auto"/>
      </w:divBdr>
      <w:divsChild>
        <w:div w:id="1556770707">
          <w:marLeft w:val="0"/>
          <w:marRight w:val="0"/>
          <w:marTop w:val="0"/>
          <w:marBottom w:val="0"/>
          <w:divBdr>
            <w:top w:val="none" w:sz="0" w:space="0" w:color="auto"/>
            <w:left w:val="none" w:sz="0" w:space="0" w:color="auto"/>
            <w:bottom w:val="none" w:sz="0" w:space="0" w:color="auto"/>
            <w:right w:val="none" w:sz="0" w:space="0" w:color="auto"/>
          </w:divBdr>
        </w:div>
      </w:divsChild>
    </w:div>
    <w:div w:id="534586153">
      <w:marLeft w:val="0"/>
      <w:marRight w:val="0"/>
      <w:marTop w:val="0"/>
      <w:marBottom w:val="0"/>
      <w:divBdr>
        <w:top w:val="none" w:sz="0" w:space="0" w:color="auto"/>
        <w:left w:val="none" w:sz="0" w:space="0" w:color="auto"/>
        <w:bottom w:val="none" w:sz="0" w:space="0" w:color="auto"/>
        <w:right w:val="none" w:sz="0" w:space="0" w:color="auto"/>
      </w:divBdr>
      <w:divsChild>
        <w:div w:id="943264601">
          <w:marLeft w:val="0"/>
          <w:marRight w:val="0"/>
          <w:marTop w:val="0"/>
          <w:marBottom w:val="0"/>
          <w:divBdr>
            <w:top w:val="none" w:sz="0" w:space="0" w:color="auto"/>
            <w:left w:val="none" w:sz="0" w:space="0" w:color="auto"/>
            <w:bottom w:val="none" w:sz="0" w:space="0" w:color="auto"/>
            <w:right w:val="none" w:sz="0" w:space="0" w:color="auto"/>
          </w:divBdr>
        </w:div>
        <w:div w:id="1022248728">
          <w:marLeft w:val="0"/>
          <w:marRight w:val="0"/>
          <w:marTop w:val="0"/>
          <w:marBottom w:val="0"/>
          <w:divBdr>
            <w:top w:val="none" w:sz="0" w:space="0" w:color="auto"/>
            <w:left w:val="none" w:sz="0" w:space="0" w:color="auto"/>
            <w:bottom w:val="none" w:sz="0" w:space="0" w:color="auto"/>
            <w:right w:val="none" w:sz="0" w:space="0" w:color="auto"/>
          </w:divBdr>
        </w:div>
        <w:div w:id="1472137913">
          <w:marLeft w:val="0"/>
          <w:marRight w:val="0"/>
          <w:marTop w:val="0"/>
          <w:marBottom w:val="0"/>
          <w:divBdr>
            <w:top w:val="none" w:sz="0" w:space="0" w:color="auto"/>
            <w:left w:val="none" w:sz="0" w:space="0" w:color="auto"/>
            <w:bottom w:val="none" w:sz="0" w:space="0" w:color="auto"/>
            <w:right w:val="none" w:sz="0" w:space="0" w:color="auto"/>
          </w:divBdr>
          <w:divsChild>
            <w:div w:id="1767311326">
              <w:marLeft w:val="0"/>
              <w:marRight w:val="0"/>
              <w:marTop w:val="0"/>
              <w:marBottom w:val="0"/>
              <w:divBdr>
                <w:top w:val="none" w:sz="0" w:space="0" w:color="auto"/>
                <w:left w:val="none" w:sz="0" w:space="0" w:color="auto"/>
                <w:bottom w:val="none" w:sz="0" w:space="0" w:color="auto"/>
                <w:right w:val="none" w:sz="0" w:space="0" w:color="auto"/>
              </w:divBdr>
              <w:divsChild>
                <w:div w:id="1964115475">
                  <w:marLeft w:val="4500"/>
                  <w:marRight w:val="0"/>
                  <w:marTop w:val="0"/>
                  <w:marBottom w:val="0"/>
                  <w:divBdr>
                    <w:top w:val="none" w:sz="0" w:space="0" w:color="auto"/>
                    <w:left w:val="none" w:sz="0" w:space="0" w:color="auto"/>
                    <w:bottom w:val="none" w:sz="0" w:space="0" w:color="auto"/>
                    <w:right w:val="none" w:sz="0" w:space="0" w:color="auto"/>
                  </w:divBdr>
                </w:div>
                <w:div w:id="417096288">
                  <w:marLeft w:val="4500"/>
                  <w:marRight w:val="0"/>
                  <w:marTop w:val="0"/>
                  <w:marBottom w:val="0"/>
                  <w:divBdr>
                    <w:top w:val="none" w:sz="0" w:space="0" w:color="auto"/>
                    <w:left w:val="none" w:sz="0" w:space="0" w:color="auto"/>
                    <w:bottom w:val="none" w:sz="0" w:space="0" w:color="auto"/>
                    <w:right w:val="none" w:sz="0" w:space="0" w:color="auto"/>
                  </w:divBdr>
                </w:div>
                <w:div w:id="515314606">
                  <w:marLeft w:val="4500"/>
                  <w:marRight w:val="0"/>
                  <w:marTop w:val="0"/>
                  <w:marBottom w:val="0"/>
                  <w:divBdr>
                    <w:top w:val="none" w:sz="0" w:space="0" w:color="auto"/>
                    <w:left w:val="none" w:sz="0" w:space="0" w:color="auto"/>
                    <w:bottom w:val="none" w:sz="0" w:space="0" w:color="auto"/>
                    <w:right w:val="none" w:sz="0" w:space="0" w:color="auto"/>
                  </w:divBdr>
                </w:div>
                <w:div w:id="2096587962">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980645368">
          <w:marLeft w:val="0"/>
          <w:marRight w:val="0"/>
          <w:marTop w:val="0"/>
          <w:marBottom w:val="0"/>
          <w:divBdr>
            <w:top w:val="none" w:sz="0" w:space="0" w:color="auto"/>
            <w:left w:val="none" w:sz="0" w:space="0" w:color="auto"/>
            <w:bottom w:val="none" w:sz="0" w:space="0" w:color="auto"/>
            <w:right w:val="none" w:sz="0" w:space="0" w:color="auto"/>
          </w:divBdr>
        </w:div>
        <w:div w:id="1349409825">
          <w:marLeft w:val="0"/>
          <w:marRight w:val="0"/>
          <w:marTop w:val="0"/>
          <w:marBottom w:val="0"/>
          <w:divBdr>
            <w:top w:val="none" w:sz="0" w:space="0" w:color="auto"/>
            <w:left w:val="none" w:sz="0" w:space="0" w:color="auto"/>
            <w:bottom w:val="none" w:sz="0" w:space="0" w:color="auto"/>
            <w:right w:val="none" w:sz="0" w:space="0" w:color="auto"/>
          </w:divBdr>
          <w:divsChild>
            <w:div w:id="165438233">
              <w:marLeft w:val="0"/>
              <w:marRight w:val="0"/>
              <w:marTop w:val="0"/>
              <w:marBottom w:val="0"/>
              <w:divBdr>
                <w:top w:val="none" w:sz="0" w:space="0" w:color="auto"/>
                <w:left w:val="none" w:sz="0" w:space="0" w:color="auto"/>
                <w:bottom w:val="none" w:sz="0" w:space="0" w:color="auto"/>
                <w:right w:val="none" w:sz="0" w:space="0" w:color="auto"/>
              </w:divBdr>
            </w:div>
          </w:divsChild>
        </w:div>
        <w:div w:id="142048534">
          <w:marLeft w:val="0"/>
          <w:marRight w:val="0"/>
          <w:marTop w:val="0"/>
          <w:marBottom w:val="0"/>
          <w:divBdr>
            <w:top w:val="none" w:sz="0" w:space="0" w:color="auto"/>
            <w:left w:val="none" w:sz="0" w:space="0" w:color="auto"/>
            <w:bottom w:val="none" w:sz="0" w:space="0" w:color="auto"/>
            <w:right w:val="none" w:sz="0" w:space="0" w:color="auto"/>
          </w:divBdr>
        </w:div>
        <w:div w:id="762726506">
          <w:marLeft w:val="0"/>
          <w:marRight w:val="0"/>
          <w:marTop w:val="0"/>
          <w:marBottom w:val="0"/>
          <w:divBdr>
            <w:top w:val="none" w:sz="0" w:space="0" w:color="auto"/>
            <w:left w:val="none" w:sz="0" w:space="0" w:color="auto"/>
            <w:bottom w:val="none" w:sz="0" w:space="0" w:color="auto"/>
            <w:right w:val="none" w:sz="0" w:space="0" w:color="auto"/>
          </w:divBdr>
          <w:divsChild>
            <w:div w:id="1504734167">
              <w:marLeft w:val="0"/>
              <w:marRight w:val="0"/>
              <w:marTop w:val="0"/>
              <w:marBottom w:val="0"/>
              <w:divBdr>
                <w:top w:val="none" w:sz="0" w:space="0" w:color="auto"/>
                <w:left w:val="none" w:sz="0" w:space="0" w:color="auto"/>
                <w:bottom w:val="none" w:sz="0" w:space="0" w:color="auto"/>
                <w:right w:val="none" w:sz="0" w:space="0" w:color="auto"/>
              </w:divBdr>
            </w:div>
          </w:divsChild>
        </w:div>
        <w:div w:id="435709402">
          <w:marLeft w:val="0"/>
          <w:marRight w:val="0"/>
          <w:marTop w:val="0"/>
          <w:marBottom w:val="0"/>
          <w:divBdr>
            <w:top w:val="none" w:sz="0" w:space="0" w:color="auto"/>
            <w:left w:val="none" w:sz="0" w:space="0" w:color="auto"/>
            <w:bottom w:val="none" w:sz="0" w:space="0" w:color="auto"/>
            <w:right w:val="none" w:sz="0" w:space="0" w:color="auto"/>
          </w:divBdr>
        </w:div>
        <w:div w:id="272128482">
          <w:marLeft w:val="0"/>
          <w:marRight w:val="0"/>
          <w:marTop w:val="0"/>
          <w:marBottom w:val="0"/>
          <w:divBdr>
            <w:top w:val="none" w:sz="0" w:space="0" w:color="auto"/>
            <w:left w:val="none" w:sz="0" w:space="0" w:color="auto"/>
            <w:bottom w:val="none" w:sz="0" w:space="0" w:color="auto"/>
            <w:right w:val="none" w:sz="0" w:space="0" w:color="auto"/>
          </w:divBdr>
          <w:divsChild>
            <w:div w:id="759834347">
              <w:marLeft w:val="0"/>
              <w:marRight w:val="0"/>
              <w:marTop w:val="0"/>
              <w:marBottom w:val="0"/>
              <w:divBdr>
                <w:top w:val="none" w:sz="0" w:space="0" w:color="auto"/>
                <w:left w:val="none" w:sz="0" w:space="0" w:color="auto"/>
                <w:bottom w:val="none" w:sz="0" w:space="0" w:color="auto"/>
                <w:right w:val="none" w:sz="0" w:space="0" w:color="auto"/>
              </w:divBdr>
            </w:div>
            <w:div w:id="297300642">
              <w:marLeft w:val="0"/>
              <w:marRight w:val="0"/>
              <w:marTop w:val="0"/>
              <w:marBottom w:val="0"/>
              <w:divBdr>
                <w:top w:val="none" w:sz="0" w:space="0" w:color="auto"/>
                <w:left w:val="none" w:sz="0" w:space="0" w:color="auto"/>
                <w:bottom w:val="none" w:sz="0" w:space="0" w:color="auto"/>
                <w:right w:val="none" w:sz="0" w:space="0" w:color="auto"/>
              </w:divBdr>
            </w:div>
            <w:div w:id="14774943">
              <w:marLeft w:val="0"/>
              <w:marRight w:val="0"/>
              <w:marTop w:val="0"/>
              <w:marBottom w:val="0"/>
              <w:divBdr>
                <w:top w:val="none" w:sz="0" w:space="0" w:color="auto"/>
                <w:left w:val="none" w:sz="0" w:space="0" w:color="auto"/>
                <w:bottom w:val="none" w:sz="0" w:space="0" w:color="auto"/>
                <w:right w:val="none" w:sz="0" w:space="0" w:color="auto"/>
              </w:divBdr>
            </w:div>
            <w:div w:id="1764494447">
              <w:marLeft w:val="0"/>
              <w:marRight w:val="0"/>
              <w:marTop w:val="0"/>
              <w:marBottom w:val="0"/>
              <w:divBdr>
                <w:top w:val="none" w:sz="0" w:space="0" w:color="auto"/>
                <w:left w:val="none" w:sz="0" w:space="0" w:color="auto"/>
                <w:bottom w:val="none" w:sz="0" w:space="0" w:color="auto"/>
                <w:right w:val="none" w:sz="0" w:space="0" w:color="auto"/>
              </w:divBdr>
            </w:div>
            <w:div w:id="792670530">
              <w:marLeft w:val="0"/>
              <w:marRight w:val="0"/>
              <w:marTop w:val="0"/>
              <w:marBottom w:val="0"/>
              <w:divBdr>
                <w:top w:val="none" w:sz="0" w:space="0" w:color="auto"/>
                <w:left w:val="none" w:sz="0" w:space="0" w:color="auto"/>
                <w:bottom w:val="none" w:sz="0" w:space="0" w:color="auto"/>
                <w:right w:val="none" w:sz="0" w:space="0" w:color="auto"/>
              </w:divBdr>
            </w:div>
            <w:div w:id="1341618385">
              <w:marLeft w:val="0"/>
              <w:marRight w:val="0"/>
              <w:marTop w:val="0"/>
              <w:marBottom w:val="0"/>
              <w:divBdr>
                <w:top w:val="none" w:sz="0" w:space="0" w:color="auto"/>
                <w:left w:val="none" w:sz="0" w:space="0" w:color="auto"/>
                <w:bottom w:val="none" w:sz="0" w:space="0" w:color="auto"/>
                <w:right w:val="none" w:sz="0" w:space="0" w:color="auto"/>
              </w:divBdr>
            </w:div>
            <w:div w:id="477962963">
              <w:marLeft w:val="0"/>
              <w:marRight w:val="0"/>
              <w:marTop w:val="0"/>
              <w:marBottom w:val="0"/>
              <w:divBdr>
                <w:top w:val="none" w:sz="0" w:space="0" w:color="auto"/>
                <w:left w:val="none" w:sz="0" w:space="0" w:color="auto"/>
                <w:bottom w:val="none" w:sz="0" w:space="0" w:color="auto"/>
                <w:right w:val="none" w:sz="0" w:space="0" w:color="auto"/>
              </w:divBdr>
            </w:div>
          </w:divsChild>
        </w:div>
        <w:div w:id="1458373955">
          <w:marLeft w:val="0"/>
          <w:marRight w:val="0"/>
          <w:marTop w:val="0"/>
          <w:marBottom w:val="0"/>
          <w:divBdr>
            <w:top w:val="none" w:sz="0" w:space="0" w:color="auto"/>
            <w:left w:val="none" w:sz="0" w:space="0" w:color="auto"/>
            <w:bottom w:val="none" w:sz="0" w:space="0" w:color="auto"/>
            <w:right w:val="none" w:sz="0" w:space="0" w:color="auto"/>
          </w:divBdr>
        </w:div>
        <w:div w:id="1057515049">
          <w:marLeft w:val="0"/>
          <w:marRight w:val="0"/>
          <w:marTop w:val="0"/>
          <w:marBottom w:val="0"/>
          <w:divBdr>
            <w:top w:val="none" w:sz="0" w:space="0" w:color="auto"/>
            <w:left w:val="none" w:sz="0" w:space="0" w:color="auto"/>
            <w:bottom w:val="none" w:sz="0" w:space="0" w:color="auto"/>
            <w:right w:val="none" w:sz="0" w:space="0" w:color="auto"/>
          </w:divBdr>
        </w:div>
        <w:div w:id="1748262374">
          <w:marLeft w:val="0"/>
          <w:marRight w:val="0"/>
          <w:marTop w:val="0"/>
          <w:marBottom w:val="0"/>
          <w:divBdr>
            <w:top w:val="none" w:sz="0" w:space="0" w:color="auto"/>
            <w:left w:val="none" w:sz="0" w:space="0" w:color="auto"/>
            <w:bottom w:val="none" w:sz="0" w:space="0" w:color="auto"/>
            <w:right w:val="none" w:sz="0" w:space="0" w:color="auto"/>
          </w:divBdr>
        </w:div>
      </w:divsChild>
    </w:div>
    <w:div w:id="1250235823">
      <w:marLeft w:val="0"/>
      <w:marRight w:val="0"/>
      <w:marTop w:val="0"/>
      <w:marBottom w:val="0"/>
      <w:divBdr>
        <w:top w:val="none" w:sz="0" w:space="0" w:color="auto"/>
        <w:left w:val="none" w:sz="0" w:space="0" w:color="auto"/>
        <w:bottom w:val="none" w:sz="0" w:space="0" w:color="auto"/>
        <w:right w:val="none" w:sz="0" w:space="0" w:color="auto"/>
      </w:divBdr>
      <w:divsChild>
        <w:div w:id="1266427635">
          <w:marLeft w:val="0"/>
          <w:marRight w:val="0"/>
          <w:marTop w:val="0"/>
          <w:marBottom w:val="0"/>
          <w:divBdr>
            <w:top w:val="none" w:sz="0" w:space="0" w:color="auto"/>
            <w:left w:val="none" w:sz="0" w:space="0" w:color="auto"/>
            <w:bottom w:val="none" w:sz="0" w:space="0" w:color="auto"/>
            <w:right w:val="none" w:sz="0" w:space="0" w:color="auto"/>
          </w:divBdr>
        </w:div>
      </w:divsChild>
    </w:div>
    <w:div w:id="1541240311">
      <w:marLeft w:val="0"/>
      <w:marRight w:val="0"/>
      <w:marTop w:val="0"/>
      <w:marBottom w:val="0"/>
      <w:divBdr>
        <w:top w:val="none" w:sz="0" w:space="0" w:color="auto"/>
        <w:left w:val="none" w:sz="0" w:space="0" w:color="auto"/>
        <w:bottom w:val="none" w:sz="0" w:space="0" w:color="auto"/>
        <w:right w:val="none" w:sz="0" w:space="0" w:color="auto"/>
      </w:divBdr>
    </w:div>
    <w:div w:id="1888949963">
      <w:marLeft w:val="0"/>
      <w:marRight w:val="0"/>
      <w:marTop w:val="0"/>
      <w:marBottom w:val="0"/>
      <w:divBdr>
        <w:top w:val="none" w:sz="0" w:space="0" w:color="auto"/>
        <w:left w:val="none" w:sz="0" w:space="0" w:color="auto"/>
        <w:bottom w:val="none" w:sz="0" w:space="0" w:color="auto"/>
        <w:right w:val="none" w:sz="0" w:space="0" w:color="auto"/>
      </w:divBdr>
      <w:divsChild>
        <w:div w:id="2111318719">
          <w:marLeft w:val="0"/>
          <w:marRight w:val="0"/>
          <w:marTop w:val="0"/>
          <w:marBottom w:val="0"/>
          <w:divBdr>
            <w:top w:val="none" w:sz="0" w:space="0" w:color="auto"/>
            <w:left w:val="none" w:sz="0" w:space="0" w:color="auto"/>
            <w:bottom w:val="none" w:sz="0" w:space="0" w:color="auto"/>
            <w:right w:val="none" w:sz="0" w:space="0" w:color="auto"/>
          </w:divBdr>
          <w:divsChild>
            <w:div w:id="901989813">
              <w:marLeft w:val="4500"/>
              <w:marRight w:val="0"/>
              <w:marTop w:val="0"/>
              <w:marBottom w:val="0"/>
              <w:divBdr>
                <w:top w:val="none" w:sz="0" w:space="0" w:color="auto"/>
                <w:left w:val="none" w:sz="0" w:space="0" w:color="auto"/>
                <w:bottom w:val="none" w:sz="0" w:space="0" w:color="auto"/>
                <w:right w:val="none" w:sz="0" w:space="0" w:color="auto"/>
              </w:divBdr>
            </w:div>
            <w:div w:id="1108814431">
              <w:marLeft w:val="4500"/>
              <w:marRight w:val="0"/>
              <w:marTop w:val="0"/>
              <w:marBottom w:val="0"/>
              <w:divBdr>
                <w:top w:val="none" w:sz="0" w:space="0" w:color="auto"/>
                <w:left w:val="none" w:sz="0" w:space="0" w:color="auto"/>
                <w:bottom w:val="none" w:sz="0" w:space="0" w:color="auto"/>
                <w:right w:val="none" w:sz="0" w:space="0" w:color="auto"/>
              </w:divBdr>
            </w:div>
            <w:div w:id="4214473">
              <w:marLeft w:val="4500"/>
              <w:marRight w:val="0"/>
              <w:marTop w:val="0"/>
              <w:marBottom w:val="0"/>
              <w:divBdr>
                <w:top w:val="none" w:sz="0" w:space="0" w:color="auto"/>
                <w:left w:val="none" w:sz="0" w:space="0" w:color="auto"/>
                <w:bottom w:val="none" w:sz="0" w:space="0" w:color="auto"/>
                <w:right w:val="none" w:sz="0" w:space="0" w:color="auto"/>
              </w:divBdr>
            </w:div>
            <w:div w:id="450436405">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91974970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60</Pages>
  <Words>11745</Words>
  <Characters>66949</Characters>
  <Application>Microsoft Office Word</Application>
  <DocSecurity>0</DocSecurity>
  <Lines>557</Lines>
  <Paragraphs>157</Paragraphs>
  <ScaleCrop>false</ScaleCrop>
  <Company/>
  <LinksUpToDate>false</LinksUpToDate>
  <CharactersWithSpaces>78537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Title</dc:title>
  <dc:subject/>
  <dc:creator>BPS</dc:creator>
  <cp:keywords/>
  <dc:description/>
  <cp:lastModifiedBy>BPS</cp:lastModifiedBy>
  <cp:revision>2</cp:revision>
  <dcterms:created xsi:type="dcterms:W3CDTF">2022-08-02T09:05:00Z</dcterms:created>
  <dcterms:modified xsi:type="dcterms:W3CDTF">2022-08-02T09:05:00Z</dcterms:modified>
</cp:coreProperties>
</file>