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4"/>
        </w:rPr>
        <w:t>SDK INTEGRATION GUIDE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86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ntBridge-Logo-1600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6"/>
        </w:rPr>
        <w:t>Finverge's DPDP Compliance Platform</w:t>
      </w:r>
    </w:p>
    <w:p>
      <w:pPr>
        <w:jc w:val="center"/>
      </w:pPr>
      <w:r>
        <w:rPr>
          <w:i/>
          <w:sz w:val="24"/>
        </w:rPr>
        <w:t>For developers integrating the ConsentBridge widget or REST API into a fintech, bank, NBFC, or insurer application</w:t>
      </w:r>
    </w:p>
    <w:p/>
    <w:p/>
    <w:p/>
    <w:p/>
    <w:p/>
    <w:p>
      <w:pPr>
        <w:jc w:val="center"/>
      </w:pPr>
      <w:r>
        <w:t>Version 1.0</w:t>
      </w:r>
    </w:p>
    <w:p>
      <w:pPr>
        <w:jc w:val="center"/>
      </w:pPr>
      <w:r>
        <w:t>10 Sep 2026</w:t>
      </w:r>
    </w:p>
    <w:p>
      <w:pPr>
        <w:jc w:val="center"/>
      </w:pPr>
      <w:r>
        <w:t>Finverge Technologies — Confidential</w:t>
      </w:r>
    </w:p>
    <w:p>
      <w:pPr>
        <w:jc w:val="center"/>
      </w:pPr>
      <w:r>
        <w:t>Prepared by: Product &amp; Engineering</w:t>
      </w:r>
    </w:p>
    <w:p>
      <w:r>
        <w:br w:type="page"/>
      </w:r>
    </w:p>
    <w:p>
      <w:pPr>
        <w:pStyle w:val="Heading1"/>
      </w:pPr>
      <w:r>
        <w:t>Document Control</w:t>
      </w:r>
    </w:p>
    <w:p>
      <w:pPr>
        <w:pStyle w:val="Heading2"/>
      </w:pPr>
      <w:r>
        <w:t>Related Documents</w:t>
      </w:r>
    </w:p>
    <w:p>
      <w:pPr>
        <w:pStyle w:val="ListBullet"/>
      </w:pPr>
      <w:r>
        <w:t>Finverge_DPDP_BRD_v1.2.docx / FSD_v1.2.docx / HLD_v1.2.docx — the full product spec this guide operationalises for a developer audience</w:t>
      </w:r>
    </w:p>
    <w:p>
      <w:pPr>
        <w:pStyle w:val="ListBullet"/>
      </w:pPr>
      <w:r>
        <w:t>sdk/README.md — the same quick-start content this guide expands on, kept in the codebase for engineers who prefer Markdown</w:t>
      </w:r>
    </w:p>
    <w:p>
      <w:pPr>
        <w:pStyle w:val="ListBullet"/>
      </w:pPr>
      <w:r>
        <w:t>dpdp_service/README.md — the backend service this SDK talks to; run it locally to follow this guide end-to-end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D9D9D9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1296"/>
            <w:shd w:val="clear" w:color="auto" w:fill="D9D9D9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6336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t>1.0</w:t>
            </w:r>
          </w:p>
        </w:tc>
        <w:tc>
          <w:tcPr>
            <w:tcW w:type="dxa" w:w="1296"/>
          </w:tcPr>
          <w:p>
            <w:r>
              <w:t>10 Sep 2026</w:t>
            </w:r>
          </w:p>
        </w:tc>
        <w:tc>
          <w:tcPr>
            <w:tcW w:type="dxa" w:w="2160"/>
          </w:tcPr>
          <w:p>
            <w:r>
              <w:t>Product &amp; Engineering</w:t>
            </w:r>
          </w:p>
        </w:tc>
        <w:tc>
          <w:tcPr>
            <w:tcW w:type="dxa" w:w="6336"/>
          </w:tcPr>
          <w:p>
            <w:r>
              <w:t>Initial integration guide, packaged alongside the SDK widget, README, demo, and backend service as a single deliverable for a partner/developer handoff.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1. Overview</w:t>
      </w:r>
    </w:p>
    <w:p>
      <w:r>
        <w:t>2. Prerequisites</w:t>
      </w:r>
    </w:p>
    <w:p>
      <w:r>
        <w:t>3. Quick Start — 5 Minutes to First Consent</w:t>
      </w:r>
    </w:p>
    <w:p>
      <w:r>
        <w:t>4. Step-by-Step Integration</w:t>
      </w:r>
    </w:p>
    <w:p>
      <w:r>
        <w:t>5. Two Integration Paths</w:t>
      </w:r>
    </w:p>
    <w:p>
      <w:r>
        <w:t>6. Theming &amp; White-Label</w:t>
      </w:r>
    </w:p>
    <w:p>
      <w:r>
        <w:t>7. Full API Reference</w:t>
      </w:r>
    </w:p>
    <w:p>
      <w:r>
        <w:t>8. Error Handling</w:t>
      </w:r>
    </w:p>
    <w:p>
      <w:r>
        <w:t>9. Testing Your Integration</w:t>
      </w:r>
    </w:p>
    <w:p>
      <w:r>
        <w:t>10. Security &amp; Compliance Notes</w:t>
      </w:r>
    </w:p>
    <w:p>
      <w:r>
        <w:t>11. What's Not Built Yet</w:t>
      </w:r>
    </w:p>
    <w:p>
      <w:r>
        <w:t>12. Support &amp; Troubleshooting</w:t>
      </w:r>
    </w:p>
    <w:p>
      <w:r>
        <w:t>Appendix A — Package Contents</w:t>
      </w:r>
    </w:p>
    <w:p>
      <w:r>
        <w:t>Appendix B — Full Widget Code Sample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rPr>
          <w:b w:val="0"/>
          <w:i w:val="0"/>
        </w:rPr>
        <w:t>ConsentBridge is Finverge's DPDP Compliance Platform: a Consent Management Engine, a Data Minimization &amp; Masking engine, a Grievance/DPO module, multi-tenant onboarding, and a deterministic AI-native capability layer — exposed as a REST API and an embeddable JavaScript widget. This guide gets a developer from zero to a working consent flow, then documents the full API surface for building a custom integration.</w:t>
      </w:r>
    </w:p>
    <w:p>
      <w:r>
        <w:rPr>
          <w:b w:val="0"/>
          <w:i w:val="0"/>
        </w:rPr>
        <w:t>Two integration paths are supported end-to-end (Sec. 5): drop in the widget for the fastest path, or call the REST API directly and build your own UI. Both talk to the same backend — nothing is widget-exclusive.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A running ConsentBridge backend instance — either Finverge-hosted, or your own local instance for development (Sec. 3 below).</w:t>
      </w:r>
    </w:p>
    <w:p>
      <w:pPr>
        <w:pStyle w:val="ListBullet"/>
      </w:pPr>
      <w:r>
        <w:t>A registered tenant — POST /tenants issues your tenant_id and API key. If you don't have one yet, see Sec. 4 Step 1.</w:t>
      </w:r>
    </w:p>
    <w:p>
      <w:pPr>
        <w:pStyle w:val="ListBullet"/>
      </w:pPr>
      <w:r>
        <w:t>For the widget path: any web app that can load a &lt;script&gt; tag. No framework requirement — React, Vue, plain HTML, or a server-rendered template all work identically.</w:t>
      </w:r>
    </w:p>
    <w:p>
      <w:pPr>
        <w:pStyle w:val="ListBullet"/>
      </w:pPr>
      <w:r>
        <w:t>For the API path: any HTTP client capable of making REST calls with a JSON body.</w:t>
      </w:r>
    </w:p>
    <w:p>
      <w:pPr>
        <w:pStyle w:val="Heading1"/>
      </w:pPr>
      <w:r>
        <w:t>3. Quick Start — 5 Minutes to First Consent</w:t>
      </w:r>
    </w:p>
    <w:p>
      <w:r>
        <w:rPr>
          <w:b w:val="0"/>
          <w:i w:val="0"/>
        </w:rPr>
        <w:t>Run the backend locally:</w:t>
      </w:r>
    </w:p>
    <w:p>
      <w:pPr>
        <w:shd w:val="clear" w:color="auto" w:fill="F3F6F8"/>
      </w:pPr>
      <w:r>
        <w:rPr>
          <w:rFonts w:ascii="Courier New" w:hAnsi="Courier New"/>
          <w:sz w:val="19"/>
        </w:rPr>
        <w:t>cd dpdp_service</w:t>
        <w:br/>
        <w:t>pip install -r requirements.txt</w:t>
        <w:br/>
        <w:t>uvicorn app.main:app --reload --port 8110</w:t>
      </w:r>
    </w:p>
    <w:p>
      <w:r>
        <w:rPr>
          <w:b w:val="0"/>
          <w:i w:val="0"/>
        </w:rPr>
        <w:t>Register a tenant:</w:t>
      </w:r>
    </w:p>
    <w:p>
      <w:pPr>
        <w:shd w:val="clear" w:color="auto" w:fill="F3F6F8"/>
      </w:pPr>
      <w:r>
        <w:rPr>
          <w:rFonts w:ascii="Courier New" w:hAnsi="Courier New"/>
          <w:sz w:val="19"/>
        </w:rPr>
        <w:t>curl -X POST http://localhost:8110/tenants \</w:t>
        <w:br/>
        <w:t xml:space="preserve">  -H "Content-Type: application/json" \</w:t>
        <w:br/>
        <w:t xml:space="preserve">  -d '{"name": "Your Company", "plan": "trial"}'</w:t>
      </w:r>
    </w:p>
    <w:p>
      <w:r>
        <w:rPr>
          <w:b w:val="0"/>
          <w:i w:val="0"/>
        </w:rPr>
        <w:t>Draft and approve a notice (every consent capture requires one — §5 of the DPDP Act):</w:t>
      </w:r>
    </w:p>
    <w:p>
      <w:pPr>
        <w:shd w:val="clear" w:color="auto" w:fill="F3F6F8"/>
      </w:pPr>
      <w:r>
        <w:rPr>
          <w:rFonts w:ascii="Courier New" w:hAnsi="Courier New"/>
          <w:sz w:val="19"/>
        </w:rPr>
        <w:t>curl -X POST http://localhost:8110/notices \</w:t>
        <w:br/>
        <w:t xml:space="preserve">  -d '{"tenant_id": "&lt;your-tenant-id&gt;", "language": "English", "content": "We collect your PAN to verify your identity."}'</w:t>
        <w:br/>
        <w:br/>
        <w:t>curl -X POST http://localhost:8110/notices/&lt;notice_id&gt;/approve \</w:t>
        <w:br/>
        <w:t xml:space="preserve">  -d '{"approved_by": "your_dpo_email@company.com"}'</w:t>
      </w:r>
    </w:p>
    <w:p>
      <w:r>
        <w:rPr>
          <w:b w:val="0"/>
          <w:i w:val="0"/>
        </w:rPr>
        <w:t>Drop the widget into a page:</w:t>
      </w:r>
    </w:p>
    <w:p>
      <w:pPr>
        <w:shd w:val="clear" w:color="auto" w:fill="F3F6F8"/>
      </w:pPr>
      <w:r>
        <w:rPr>
          <w:rFonts w:ascii="Courier New" w:hAnsi="Courier New"/>
          <w:sz w:val="19"/>
        </w:rPr>
        <w:t>&lt;div id="consent"&gt;&lt;/div&gt;</w:t>
        <w:br/>
        <w:t>&lt;script src="dpdp-consent-widget.js"&gt;&lt;/script&gt;</w:t>
        <w:br/>
        <w:t>&lt;script&gt;</w:t>
        <w:br/>
        <w:t xml:space="preserve">  DPDPConsentWidget.render(document.getElementById('consent'), {</w:t>
        <w:br/>
        <w:t xml:space="preserve">    apiBaseUrl: 'http://localhost:8110',</w:t>
        <w:br/>
        <w:t xml:space="preserve">    tenantId: '&lt;your-tenant-id&gt;',</w:t>
        <w:br/>
        <w:t xml:space="preserve">    dataPrincipalId: 'user-123',</w:t>
        <w:br/>
        <w:t xml:space="preserve">    purposes: [{ key:'kyc', label:'KYC verification', required:true,</w:t>
        <w:br/>
        <w:t xml:space="preserve">      grants:[{data_category:'PAN', purpose:'KYC verification'}] }],</w:t>
        <w:br/>
        <w:t xml:space="preserve">  })</w:t>
        <w:br/>
        <w:t>&lt;/script&gt;</w:t>
      </w:r>
    </w:p>
    <w:p>
      <w:r>
        <w:rPr>
          <w:b w:val="0"/>
          <w:i w:val="0"/>
        </w:rPr>
        <w:t>That's it — you have a working, DPDP-compliant consent flow.</w:t>
      </w:r>
    </w:p>
    <w:p>
      <w:r>
        <w:br w:type="page"/>
      </w:r>
    </w:p>
    <w:p>
      <w:pPr>
        <w:pStyle w:val="Heading1"/>
      </w:pPr>
      <w:r>
        <w:t>4. Step-by-Step Integration</w:t>
      </w:r>
    </w:p>
    <w:p>
      <w:pPr>
        <w:pStyle w:val="Heading2"/>
      </w:pPr>
      <w:r>
        <w:t>Step 1 — Register your tenant</w:t>
      </w:r>
    </w:p>
    <w:p>
      <w:r>
        <w:rPr>
          <w:b w:val="0"/>
          <w:i w:val="0"/>
        </w:rPr>
        <w:t>POST /tenants with a name and plan (trial / saas / white_label). Save the returned id and api_key — the id is your tenant_id for every other call in this guide.</w:t>
      </w:r>
    </w:p>
    <w:p>
      <w:pPr>
        <w:pStyle w:val="Heading2"/>
      </w:pPr>
      <w:r>
        <w:t>Step 2 — Author and approve your privacy notice</w:t>
      </w:r>
    </w:p>
    <w:p>
      <w:r>
        <w:rPr>
          <w:b w:val="0"/>
          <w:i w:val="0"/>
        </w:rPr>
        <w:t>POST /notices creates a draft; a Data Protection Officer (or whoever owns that role at your organisation) must call POST /notices/{id}/approve before any consent can reference it. This is enforced server-side — an unapproved notice cannot back a real capture (§5).</w:t>
      </w:r>
    </w:p>
    <w:p>
      <w:pPr>
        <w:pStyle w:val="Heading2"/>
      </w:pPr>
      <w:r>
        <w:t>Step 3 — (Optional) Configure a masking policy</w:t>
      </w:r>
    </w:p>
    <w:p>
      <w:r>
        <w:rPr>
          <w:b w:val="0"/>
          <w:i w:val="0"/>
        </w:rPr>
        <w:t>If you plan to share data onward for a given purpose (e.g. an analytics export), define what gets shared via PUT /masking/policies — field-by-field, with an explicit strategy per field (allow / redact / mask_last4 / mask_account / mask_device / mask_ip / omit). Any field you don't name is omitted by default — this is intentional data minimization, not a bug to work around.</w:t>
      </w:r>
    </w:p>
    <w:p>
      <w:pPr>
        <w:pStyle w:val="Heading2"/>
      </w:pPr>
      <w:r>
        <w:t>Step 4 — Capture consent</w:t>
      </w:r>
    </w:p>
    <w:p>
      <w:r>
        <w:rPr>
          <w:b w:val="0"/>
          <w:i w:val="0"/>
        </w:rPr>
        <w:t>Either embed the widget (Sec. 5.1) or call POST /consents/capture directly (Sec. 5.2). Every purpose is captured as its own record — never bundle two purposes under one grant.</w:t>
      </w:r>
    </w:p>
    <w:p>
      <w:pPr>
        <w:pStyle w:val="Heading2"/>
      </w:pPr>
      <w:r>
        <w:t>Step 5 — (Optional) Configure your DPO contact and branding</w:t>
      </w:r>
    </w:p>
    <w:p>
      <w:r>
        <w:rPr>
          <w:b w:val="0"/>
          <w:i w:val="0"/>
        </w:rPr>
        <w:t>PUT /dpo-contact publishes your grievance officer's details (§8(9)-(10)). PUT /tenants/{id}/branding sets your primary color, logo, and font — the widget's autoTheme option picks these up automatically (Sec. 6).</w:t>
      </w:r>
    </w:p>
    <w:p>
      <w:r>
        <w:br w:type="page"/>
      </w:r>
    </w:p>
    <w:p>
      <w:pPr>
        <w:pStyle w:val="Heading1"/>
      </w:pPr>
      <w:r>
        <w:t>5. Two Integration Paths</w:t>
      </w:r>
    </w:p>
    <w:p>
      <w:pPr>
        <w:pStyle w:val="Heading2"/>
      </w:pPr>
      <w:r>
        <w:t>5.1 Path A — Embed the Widget</w:t>
      </w:r>
    </w:p>
    <w:p>
      <w:r>
        <w:rPr>
          <w:b w:val="0"/>
          <w:i w:val="0"/>
        </w:rPr>
        <w:t>Fastest path, consistent UI across every integrator. See Appendix B for a complete example. Key config fields: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D9D9D9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584"/>
            <w:shd w:val="clear" w:color="auto" w:fill="D9D9D9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6192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t>apiBaseUrl</w:t>
            </w:r>
          </w:p>
        </w:tc>
        <w:tc>
          <w:tcPr>
            <w:tcW w:type="dxa" w:w="1584"/>
          </w:tcPr>
          <w:p>
            <w:r>
              <w:t>Yes</w:t>
            </w:r>
          </w:p>
        </w:tc>
        <w:tc>
          <w:tcPr>
            <w:tcW w:type="dxa" w:w="6192"/>
          </w:tcPr>
          <w:p>
            <w:r>
              <w:t>Your ConsentBridge backend URL</w:t>
            </w:r>
          </w:p>
        </w:tc>
      </w:tr>
      <w:tr>
        <w:tc>
          <w:tcPr>
            <w:tcW w:type="dxa" w:w="2304"/>
          </w:tcPr>
          <w:p>
            <w:r>
              <w:t>tenantId</w:t>
            </w:r>
          </w:p>
        </w:tc>
        <w:tc>
          <w:tcPr>
            <w:tcW w:type="dxa" w:w="1584"/>
          </w:tcPr>
          <w:p>
            <w:r>
              <w:t>Yes</w:t>
            </w:r>
          </w:p>
        </w:tc>
        <w:tc>
          <w:tcPr>
            <w:tcW w:type="dxa" w:w="6192"/>
          </w:tcPr>
          <w:p>
            <w:r>
              <w:t>Your tenant id from Step 1</w:t>
            </w:r>
          </w:p>
        </w:tc>
      </w:tr>
      <w:tr>
        <w:tc>
          <w:tcPr>
            <w:tcW w:type="dxa" w:w="2304"/>
          </w:tcPr>
          <w:p>
            <w:r>
              <w:t>dataPrincipalId</w:t>
            </w:r>
          </w:p>
        </w:tc>
        <w:tc>
          <w:tcPr>
            <w:tcW w:type="dxa" w:w="1584"/>
          </w:tcPr>
          <w:p>
            <w:r>
              <w:t>Yes</w:t>
            </w:r>
          </w:p>
        </w:tc>
        <w:tc>
          <w:tcPr>
            <w:tcW w:type="dxa" w:w="6192"/>
          </w:tcPr>
          <w:p>
            <w:r>
              <w:t>Your own user identifier</w:t>
            </w:r>
          </w:p>
        </w:tc>
      </w:tr>
      <w:tr>
        <w:tc>
          <w:tcPr>
            <w:tcW w:type="dxa" w:w="2304"/>
          </w:tcPr>
          <w:p>
            <w:r>
              <w:t>purposes</w:t>
            </w:r>
          </w:p>
        </w:tc>
        <w:tc>
          <w:tcPr>
            <w:tcW w:type="dxa" w:w="1584"/>
          </w:tcPr>
          <w:p>
            <w:r>
              <w:t>Yes</w:t>
            </w:r>
          </w:p>
        </w:tc>
        <w:tc>
          <w:tcPr>
            <w:tcW w:type="dxa" w:w="6192"/>
          </w:tcPr>
          <w:p>
            <w:r>
              <w:t>Array of {key, label, required, grants[]} — see Appendix B</w:t>
            </w:r>
          </w:p>
        </w:tc>
      </w:tr>
      <w:tr>
        <w:tc>
          <w:tcPr>
            <w:tcW w:type="dxa" w:w="2304"/>
          </w:tcPr>
          <w:p>
            <w:r>
              <w:t>language</w:t>
            </w:r>
          </w:p>
        </w:tc>
        <w:tc>
          <w:tcPr>
            <w:tcW w:type="dxa" w:w="1584"/>
          </w:tcPr>
          <w:p>
            <w:r>
              <w:t>No</w:t>
            </w:r>
          </w:p>
        </w:tc>
        <w:tc>
          <w:tcPr>
            <w:tcW w:type="dxa" w:w="6192"/>
          </w:tcPr>
          <w:p>
            <w:r>
              <w:t>Defaults to “English”</w:t>
            </w:r>
          </w:p>
        </w:tc>
      </w:tr>
      <w:tr>
        <w:tc>
          <w:tcPr>
            <w:tcW w:type="dxa" w:w="2304"/>
          </w:tcPr>
          <w:p>
            <w:r>
              <w:t>theme</w:t>
            </w:r>
          </w:p>
        </w:tc>
        <w:tc>
          <w:tcPr>
            <w:tcW w:type="dxa" w:w="1584"/>
          </w:tcPr>
          <w:p>
            <w:r>
              <w:t>No</w:t>
            </w:r>
          </w:p>
        </w:tc>
        <w:tc>
          <w:tcPr>
            <w:tcW w:type="dxa" w:w="6192"/>
          </w:tcPr>
          <w:p>
            <w:r>
              <w:t>primaryColor, radius, fontFamily, background, textColor, mutedBackground, mutedTextColor, accentColor</w:t>
            </w:r>
          </w:p>
        </w:tc>
      </w:tr>
      <w:tr>
        <w:tc>
          <w:tcPr>
            <w:tcW w:type="dxa" w:w="2304"/>
          </w:tcPr>
          <w:p>
            <w:r>
              <w:t>autoTheme</w:t>
            </w:r>
          </w:p>
        </w:tc>
        <w:tc>
          <w:tcPr>
            <w:tcW w:type="dxa" w:w="1584"/>
          </w:tcPr>
          <w:p>
            <w:r>
              <w:t>No</w:t>
            </w:r>
          </w:p>
        </w:tc>
        <w:tc>
          <w:tcPr>
            <w:tcW w:type="dxa" w:w="6192"/>
          </w:tcPr>
          <w:p>
            <w:r>
              <w:t>Fetch your registered branding automatically (Sec. 6)</w:t>
            </w:r>
          </w:p>
        </w:tc>
      </w:tr>
      <w:tr>
        <w:tc>
          <w:tcPr>
            <w:tcW w:type="dxa" w:w="2304"/>
          </w:tcPr>
          <w:p>
            <w:r>
              <w:t>onChange</w:t>
            </w:r>
          </w:p>
        </w:tc>
        <w:tc>
          <w:tcPr>
            <w:tcW w:type="dxa" w:w="1584"/>
          </w:tcPr>
          <w:p>
            <w:r>
              <w:t>No</w:t>
            </w:r>
          </w:p>
        </w:tc>
        <w:tc>
          <w:tcPr>
            <w:tcW w:type="dxa" w:w="6192"/>
          </w:tcPr>
          <w:p>
            <w:r>
              <w:t>Callback fired with the list of currently-granted purpose keys</w:t>
            </w:r>
          </w:p>
        </w:tc>
      </w:tr>
    </w:tbl>
    <w:p>
      <w:pPr>
        <w:pStyle w:val="Heading2"/>
      </w:pPr>
      <w:r>
        <w:t>5.2 Path B — Call the REST API Directly</w:t>
      </w:r>
    </w:p>
    <w:p>
      <w:r>
        <w:rPr>
          <w:b w:val="0"/>
          <w:i w:val="0"/>
        </w:rPr>
        <w:t>Full control over UI/UX — build your own consent screens against the same backend. Finverge's own diy-portal (ConsentStep.tsx, PrivacyCenter.tsx) uses exactly this path with its own design system. See Sec. 7 for the full endpoint reference.</w:t>
      </w:r>
    </w:p>
    <w:p>
      <w:r>
        <w:br w:type="page"/>
      </w:r>
    </w:p>
    <w:p>
      <w:pPr>
        <w:pStyle w:val="Heading1"/>
      </w:pPr>
      <w:r>
        <w:t>6. Theming &amp; White-Label</w:t>
      </w:r>
    </w:p>
    <w:p>
      <w:r>
        <w:rPr>
          <w:b w:val="0"/>
          <w:i w:val="0"/>
        </w:rPr>
        <w:t>Every visual choice in the widget is a CSS custom property scoped under one root class — it cannot leak into, or be overridden by, your page's own styles. Two ways to theme it:</w:t>
      </w:r>
    </w:p>
    <w:p>
      <w:pPr>
        <w:pStyle w:val="ListNumber"/>
      </w:pPr>
      <w:r>
        <w:t>Explicit theme object — pass primaryColor, radius, fontFamily, background, textColor, mutedBackground, mutedTextColor at render time.</w:t>
      </w:r>
    </w:p>
    <w:p>
      <w:pPr>
        <w:pStyle w:val="ListNumber"/>
      </w:pPr>
      <w:r>
        <w:t>autoTheme: true — the widget fetches your tenant's registered branding (GET /tenants/{id}, set via PUT /tenants/{id}/branding) and applies it automatically. Falls back gracefully to your explicit theme (or the default palette) if no branding is registered — it never errors.</w:t>
      </w:r>
    </w:p>
    <w:p>
      <w:r>
        <w:rPr>
          <w:b w:val="0"/>
          <w:i w:val="0"/>
        </w:rPr>
        <w:t>Dark mode: the widget respects prefers-color-scheme automatically unless you set an explicit background/textColor, in which case your choice is locked and the auto-dark behaviour is suppressed (so a deliberately dark-themed host page never gets fought by the browser's own dark-mode preference).</w:t>
      </w:r>
    </w:p>
    <w:p>
      <w:r>
        <w:br w:type="page"/>
      </w:r>
    </w:p>
    <w:p>
      <w:pPr>
        <w:pStyle w:val="Heading1"/>
      </w:pPr>
      <w:r>
        <w:t>7. Full API Reference</w:t>
      </w:r>
    </w:p>
    <w:p>
      <w:pPr>
        <w:pStyle w:val="Heading2"/>
      </w:pPr>
      <w:r>
        <w:t>7.1 Notices &amp; Consent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5616"/>
            <w:shd w:val="clear" w:color="auto" w:fill="D9D9D9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/notices</w:t>
            </w:r>
          </w:p>
        </w:tc>
        <w:tc>
          <w:tcPr>
            <w:tcW w:type="dxa" w:w="5616"/>
          </w:tcPr>
          <w:p>
            <w:r>
              <w:t>Draft a new notice version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/notices/{id}/approve</w:t>
            </w:r>
          </w:p>
        </w:tc>
        <w:tc>
          <w:tcPr>
            <w:tcW w:type="dxa" w:w="5616"/>
          </w:tcPr>
          <w:p>
            <w:r>
              <w:t>DPO approval — required before consent capture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/notices/current</w:t>
            </w:r>
          </w:p>
        </w:tc>
        <w:tc>
          <w:tcPr>
            <w:tcW w:type="dxa" w:w="5616"/>
          </w:tcPr>
          <w:p>
            <w:r>
              <w:t>Fetch the current approved notice for a tenant+language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/consents/capture</w:t>
            </w:r>
          </w:p>
        </w:tc>
        <w:tc>
          <w:tcPr>
            <w:tcW w:type="dxa" w:w="5616"/>
          </w:tcPr>
          <w:p>
            <w:r>
              <w:t>Granular consent capture — one record per purpose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/consents/{id}/withdraw</w:t>
            </w:r>
          </w:p>
        </w:tc>
        <w:tc>
          <w:tcPr>
            <w:tcW w:type="dxa" w:w="5616"/>
          </w:tcPr>
          <w:p>
            <w:r>
              <w:t>Withdraw one purpose independently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/consents</w:t>
            </w:r>
          </w:p>
        </w:tc>
        <w:tc>
          <w:tcPr>
            <w:tcW w:type="dxa" w:w="5616"/>
          </w:tcPr>
          <w:p>
            <w:r>
              <w:t>The consent vault for one Data Principal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/consents/{id}/audit</w:t>
            </w:r>
          </w:p>
        </w:tc>
        <w:tc>
          <w:tcPr>
            <w:tcW w:type="dxa" w:w="5616"/>
          </w:tcPr>
          <w:p>
            <w:r>
              <w:t>Full audit trail for one consent record (burden-of-proof evidence)</w:t>
            </w:r>
          </w:p>
        </w:tc>
      </w:tr>
    </w:tbl>
    <w:p>
      <w:pPr>
        <w:pStyle w:val="Heading2"/>
      </w:pPr>
      <w:r>
        <w:t>7.2 Data Minimization &amp; Masking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5616"/>
            <w:shd w:val="clear" w:color="auto" w:fill="D9D9D9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1152"/>
          </w:tcPr>
          <w:p>
            <w:r>
              <w:t>PUT</w:t>
            </w:r>
          </w:p>
        </w:tc>
        <w:tc>
          <w:tcPr>
            <w:tcW w:type="dxa" w:w="3312"/>
          </w:tcPr>
          <w:p>
            <w:r>
              <w:t>/masking/policies</w:t>
            </w:r>
          </w:p>
        </w:tc>
        <w:tc>
          <w:tcPr>
            <w:tcW w:type="dxa" w:w="5616"/>
          </w:tcPr>
          <w:p>
            <w:r>
              <w:t>Author/update a field-masking policy for a purpose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/masking/policies</w:t>
            </w:r>
          </w:p>
        </w:tc>
        <w:tc>
          <w:tcPr>
            <w:tcW w:type="dxa" w:w="5616"/>
          </w:tcPr>
          <w:p>
            <w:r>
              <w:t>List a tenant's masking policies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/masking/apply</w:t>
            </w:r>
          </w:p>
        </w:tc>
        <w:tc>
          <w:tcPr>
            <w:tcW w:type="dxa" w:w="5616"/>
          </w:tcPr>
          <w:p>
            <w:r>
              <w:t>Apply a policy to a batch of records (fail-closed if none configured)</w:t>
            </w:r>
          </w:p>
        </w:tc>
      </w:tr>
    </w:tbl>
    <w:p>
      <w:pPr>
        <w:pStyle w:val="Heading2"/>
      </w:pPr>
      <w:r>
        <w:t>7.3 Grievance &amp; DPO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5616"/>
            <w:shd w:val="clear" w:color="auto" w:fill="D9D9D9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/grievances</w:t>
            </w:r>
          </w:p>
        </w:tc>
        <w:tc>
          <w:tcPr>
            <w:tcW w:type="dxa" w:w="5616"/>
          </w:tcPr>
          <w:p>
            <w:r>
              <w:t>Submit a grievance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/grievances</w:t>
            </w:r>
          </w:p>
        </w:tc>
        <w:tc>
          <w:tcPr>
            <w:tcW w:type="dxa" w:w="5616"/>
          </w:tcPr>
          <w:p>
            <w:r>
              <w:t>List grievances for a tenant (filter by status)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/grievances/{id}</w:t>
            </w:r>
          </w:p>
        </w:tc>
        <w:tc>
          <w:tcPr>
            <w:tcW w:type="dxa" w:w="5616"/>
          </w:tcPr>
          <w:p>
            <w:r>
              <w:t>Fetch one grievance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/grievances/{id}/resolve</w:t>
            </w:r>
          </w:p>
        </w:tc>
        <w:tc>
          <w:tcPr>
            <w:tcW w:type="dxa" w:w="5616"/>
          </w:tcPr>
          <w:p>
            <w:r>
              <w:t>Mark resolved with a resolution note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/grievances/{id}/flag-frivolous</w:t>
            </w:r>
          </w:p>
        </w:tc>
        <w:tc>
          <w:tcPr>
            <w:tcW w:type="dxa" w:w="5616"/>
          </w:tcPr>
          <w:p>
            <w:r>
              <w:t>§15(d) frivolous-complaint determination</w:t>
            </w:r>
          </w:p>
        </w:tc>
      </w:tr>
      <w:tr>
        <w:tc>
          <w:tcPr>
            <w:tcW w:type="dxa" w:w="1152"/>
          </w:tcPr>
          <w:p>
            <w:r>
              <w:t>PUT</w:t>
            </w:r>
          </w:p>
        </w:tc>
        <w:tc>
          <w:tcPr>
            <w:tcW w:type="dxa" w:w="3312"/>
          </w:tcPr>
          <w:p>
            <w:r>
              <w:t>/dpo-contact</w:t>
            </w:r>
          </w:p>
        </w:tc>
        <w:tc>
          <w:tcPr>
            <w:tcW w:type="dxa" w:w="5616"/>
          </w:tcPr>
          <w:p>
            <w:r>
              <w:t>Publish your DPO/grievance-officer contact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/dpo-contact</w:t>
            </w:r>
          </w:p>
        </w:tc>
        <w:tc>
          <w:tcPr>
            <w:tcW w:type="dxa" w:w="5616"/>
          </w:tcPr>
          <w:p>
            <w:r>
              <w:t>Fetch a tenant's published DPO contact</w:t>
            </w:r>
          </w:p>
        </w:tc>
      </w:tr>
    </w:tbl>
    <w:p>
      <w:pPr>
        <w:pStyle w:val="Heading2"/>
      </w:pPr>
      <w:r>
        <w:t>7.4 Tenants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5616"/>
            <w:shd w:val="clear" w:color="auto" w:fill="D9D9D9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/tenants</w:t>
            </w:r>
          </w:p>
        </w:tc>
        <w:tc>
          <w:tcPr>
            <w:tcW w:type="dxa" w:w="5616"/>
          </w:tcPr>
          <w:p>
            <w:r>
              <w:t>Register a new tenant — returns id + API key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/tenants/{id}</w:t>
            </w:r>
          </w:p>
        </w:tc>
        <w:tc>
          <w:tcPr>
            <w:tcW w:type="dxa" w:w="5616"/>
          </w:tcPr>
          <w:p>
            <w:r>
              <w:t>Fetch tenant details incl. branding</w:t>
            </w:r>
          </w:p>
        </w:tc>
      </w:tr>
      <w:tr>
        <w:tc>
          <w:tcPr>
            <w:tcW w:type="dxa" w:w="1152"/>
          </w:tcPr>
          <w:p>
            <w:r>
              <w:t>PUT</w:t>
            </w:r>
          </w:p>
        </w:tc>
        <w:tc>
          <w:tcPr>
            <w:tcW w:type="dxa" w:w="3312"/>
          </w:tcPr>
          <w:p>
            <w:r>
              <w:t>/tenants/{id}/branding</w:t>
            </w:r>
          </w:p>
        </w:tc>
        <w:tc>
          <w:tcPr>
            <w:tcW w:type="dxa" w:w="5616"/>
          </w:tcPr>
          <w:p>
            <w:r>
              <w:t>Set white-label branding (color, logo, font)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/tenants/{id}/usage</w:t>
            </w:r>
          </w:p>
        </w:tc>
        <w:tc>
          <w:tcPr>
            <w:tcW w:type="dxa" w:w="5616"/>
          </w:tcPr>
          <w:p>
            <w:r>
              <w:t>Metering counts by event type (the data billing reads)</w:t>
            </w:r>
          </w:p>
        </w:tc>
      </w:tr>
    </w:tbl>
    <w:p>
      <w:pPr>
        <w:pStyle w:val="Heading2"/>
      </w:pPr>
      <w:r>
        <w:t>7.5 AI Capabilities (deterministic — see Sec. 10)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D9D9D9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5616"/>
            <w:shd w:val="clear" w:color="auto" w:fill="D9D9D9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/ai/drift-flags</w:t>
            </w:r>
          </w:p>
        </w:tc>
        <w:tc>
          <w:tcPr>
            <w:tcW w:type="dxa" w:w="5616"/>
          </w:tcPr>
          <w:p>
            <w:r>
              <w:t>Consent-purpose drift flags for a tenant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/ai/breach-risk</w:t>
            </w:r>
          </w:p>
        </w:tc>
        <w:tc>
          <w:tcPr>
            <w:tcW w:type="dxa" w:w="5616"/>
          </w:tcPr>
          <w:p>
            <w:r>
              <w:t>Weighted breach-risk score from real audit signals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/ai/draft-notice</w:t>
            </w:r>
          </w:p>
        </w:tc>
        <w:tc>
          <w:tcPr>
            <w:tcW w:type="dxa" w:w="5616"/>
          </w:tcPr>
          <w:p>
            <w:r>
              <w:t>Assemble a draft notice from structured purpose input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/ai/draft-dpia/{tenant_id}</w:t>
            </w:r>
          </w:p>
        </w:tc>
        <w:tc>
          <w:tcPr>
            <w:tcW w:type="dxa" w:w="5616"/>
          </w:tcPr>
          <w:p>
            <w:r>
              <w:t>Generate a DPIA snapshot (immutable, versioned)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/ai/dpia/{tenant_id}</w:t>
            </w:r>
          </w:p>
        </w:tc>
        <w:tc>
          <w:tcPr>
            <w:tcW w:type="dxa" w:w="5616"/>
          </w:tcPr>
          <w:p>
            <w:r>
              <w:t>Latest DPIA snapshot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/ai/dpia/{tenant_id}/history</w:t>
            </w:r>
          </w:p>
        </w:tc>
        <w:tc>
          <w:tcPr>
            <w:tcW w:type="dxa" w:w="5616"/>
          </w:tcPr>
          <w:p>
            <w:r>
              <w:t>All DPIA snapshots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/ai/triage-grievance/{id}</w:t>
            </w:r>
          </w:p>
        </w:tc>
        <w:tc>
          <w:tcPr>
            <w:tcW w:type="dxa" w:w="5616"/>
          </w:tcPr>
          <w:p>
            <w:r>
              <w:t>Suggested severity + draft response for a grievance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/ai/cross-sell/candidates</w:t>
            </w:r>
          </w:p>
        </w:tc>
        <w:tc>
          <w:tcPr>
            <w:tcW w:type="dxa" w:w="5616"/>
          </w:tcPr>
          <w:p>
            <w:r>
              <w:t>Purpose-gated offer filtering against a catalog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/ai/rights-assistant</w:t>
            </w:r>
          </w:p>
        </w:tc>
        <w:tc>
          <w:tcPr>
            <w:tcW w:type="dxa" w:w="5616"/>
          </w:tcPr>
          <w:p>
            <w:r>
              <w:t>Structured Q&amp;A — who_has_my_data, what_have_i_granted, how_to_withdraw</w:t>
            </w:r>
          </w:p>
        </w:tc>
      </w:tr>
    </w:tbl>
    <w:p>
      <w:r>
        <w:rPr>
          <w:b w:val="0"/>
          <w:i w:val="0"/>
        </w:rPr>
        <w:t>Interactive API docs (request/response schemas, try-it-now) are auto-generated at /docs on any running instance — the fastest way to explore the full contract beyond this table.</w:t>
      </w:r>
    </w:p>
    <w:p>
      <w:r>
        <w:br w:type="page"/>
      </w:r>
    </w:p>
    <w:p>
      <w:pPr>
        <w:pStyle w:val="Heading1"/>
      </w:pPr>
      <w:r>
        <w:t>8. Error Handling</w:t>
      </w:r>
    </w:p>
    <w:p>
      <w:r>
        <w:rPr>
          <w:b w:val="0"/>
          <w:i w:val="0"/>
        </w:rPr>
        <w:t>Every error response is a JSON body with a human-readable detail field — never a bare status code. The widget surfaces these directly (e.g. “Consent cannot be captured until the privacy notice loads. Please retry shortly.”). Common cases: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D9D9D9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464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4176"/>
            <w:shd w:val="clear" w:color="auto" w:fill="D9D9D9"/>
          </w:tcPr>
          <w:p>
            <w:r/>
            <w:r>
              <w:rPr>
                <w:b/>
              </w:rPr>
              <w:t>What to do</w:t>
            </w:r>
          </w:p>
        </w:tc>
      </w:tr>
      <w:tr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4464"/>
          </w:tcPr>
          <w:p>
            <w:r>
              <w:t>Notice/consent/grievance/tenant not found</w:t>
            </w:r>
          </w:p>
        </w:tc>
        <w:tc>
          <w:tcPr>
            <w:tcW w:type="dxa" w:w="4176"/>
          </w:tcPr>
          <w:p>
            <w:r>
              <w:t>Check the id; for /notices/current, it means no notice has been approved yet for that tenant+language</w:t>
            </w:r>
          </w:p>
        </w:tc>
      </w:tr>
      <w:tr>
        <w:tc>
          <w:tcPr>
            <w:tcW w:type="dxa" w:w="1440"/>
          </w:tcPr>
          <w:p>
            <w:r>
              <w:t>409</w:t>
            </w:r>
          </w:p>
        </w:tc>
        <w:tc>
          <w:tcPr>
            <w:tcW w:type="dxa" w:w="4464"/>
          </w:tcPr>
          <w:p>
            <w:r>
              <w:t>Already withdrawn / already approved / already resolved</w:t>
            </w:r>
          </w:p>
        </w:tc>
        <w:tc>
          <w:tcPr>
            <w:tcW w:type="dxa" w:w="4176"/>
          </w:tcPr>
          <w:p>
            <w:r>
              <w:t>Idempotency guard — the action already happened; not a retry-able failure</w:t>
            </w:r>
          </w:p>
        </w:tc>
      </w:tr>
      <w:tr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4464"/>
          </w:tcPr>
          <w:p>
            <w:r>
              <w:t>Validation failure (e.g. no masking policy configured, unapproved notice, empty grants list)</w:t>
            </w:r>
          </w:p>
        </w:tc>
        <w:tc>
          <w:tcPr>
            <w:tcW w:type="dxa" w:w="4176"/>
          </w:tcPr>
          <w:p>
            <w:r>
              <w:t>Fix the request — masking/apply's 422 in particular means you must configure a policy first, it will never silently pass data through unmasked</w:t>
            </w:r>
          </w:p>
        </w:tc>
      </w:tr>
    </w:tbl>
    <w:p>
      <w:pPr>
        <w:pStyle w:val="Heading1"/>
      </w:pPr>
      <w:r>
        <w:t>9. Testing Your Integration</w:t>
      </w:r>
    </w:p>
    <w:p>
      <w:pPr>
        <w:pStyle w:val="ListBullet"/>
      </w:pPr>
      <w:r>
        <w:t>Run the backend's own test suite (pytest -q inside dpdp_service/) — 45 tests, no live dependencies, a fresh disposable SQLite file per run.</w:t>
      </w:r>
    </w:p>
    <w:p>
      <w:pPr>
        <w:pStyle w:val="ListBullet"/>
      </w:pPr>
      <w:r>
        <w:t>seed_dev_data.py seeds working notices, DPO contacts, and a masking policy for known dev tenants — a fast way to get a realistic environment without hand-authoring every step.</w:t>
      </w:r>
    </w:p>
    <w:p>
      <w:pPr>
        <w:pStyle w:val="ListBullet"/>
      </w:pPr>
      <w:r>
        <w:t>There is no dedicated sandbox/test-mode flag yet distinguishing simulated consent flows from real ones (Sec. 11) — use a disposable tenant for testing today.</w:t>
      </w:r>
    </w:p>
    <w:p>
      <w:pPr>
        <w:pStyle w:val="Heading1"/>
      </w:pPr>
      <w:r>
        <w:t>10. Security &amp; Compliance Notes</w:t>
      </w:r>
    </w:p>
    <w:p>
      <w:pPr>
        <w:pStyle w:val="ListBullet"/>
      </w:pPr>
      <w:r>
        <w:t>Every masking policy is default-deny per field — a field not explicitly named is omitted, never passed through unmasked.</w:t>
      </w:r>
    </w:p>
    <w:p>
      <w:pPr>
        <w:pStyle w:val="ListBullet"/>
      </w:pPr>
      <w:r>
        <w:t>Every consent capture/withdrawal, masking application/block, and consent-purpose drift flag is written to an immutable audit trail — this is your §6(10) burden-of-proof evidence and §8(5) safeguard record.</w:t>
      </w:r>
    </w:p>
    <w:p>
      <w:pPr>
        <w:pStyle w:val="ListBullet"/>
      </w:pPr>
      <w:r>
        <w:t>The AI capability layer (Sec. 7.5) is deterministic detection/assembly, not generative-model calls — no LLM provider is configured, and any future model integration must be self-hosted or data-localisation-compliant (§16).</w:t>
      </w:r>
    </w:p>
    <w:p>
      <w:pPr>
        <w:pStyle w:val="ListBullet"/>
      </w:pPr>
      <w:r>
        <w:t>This platform never collects or processes a payment method — usage metering (GET /tenants/{id}/usage) is the data layer a billing system would read, not a billing system itself.</w:t>
      </w:r>
    </w:p>
    <w:p>
      <w:r>
        <w:br w:type="page"/>
      </w:r>
    </w:p>
    <w:p>
      <w:pPr>
        <w:pStyle w:val="Heading1"/>
      </w:pPr>
      <w:r>
        <w:t>11. What's Not Built Yet</w:t>
      </w:r>
    </w:p>
    <w:p>
      <w:r>
        <w:rPr>
          <w:b w:val="0"/>
          <w:i w:val="0"/>
        </w:rPr>
        <w:t>Tracked honestly, not silently dropped:</w:t>
      </w:r>
    </w:p>
    <w:p>
      <w:pPr>
        <w:pStyle w:val="ListBullet"/>
      </w:pPr>
      <w:r>
        <w:t>SDK onboarding wizard / sandbox mode — today's quick start (Sec. 3) is the closest equivalent; there's no step-by-step in-product wizard or a simulated-vs-real test-mode flag.</w:t>
      </w:r>
    </w:p>
    <w:p>
      <w:pPr>
        <w:pStyle w:val="ListBullet"/>
      </w:pPr>
      <w:r>
        <w:t>Webhook real-time event viewer — Module 3's webhook events have no visualization surface yet.</w:t>
      </w:r>
    </w:p>
    <w:p>
      <w:pPr>
        <w:pStyle w:val="ListBullet"/>
      </w:pPr>
      <w:r>
        <w:t>React-specific widget wrapper — the vanilla widget works fine inside React via a ref + useEffect, but there's no published &lt;ConsentBridgeWidget /&gt; component.</w:t>
      </w:r>
    </w:p>
    <w:p>
      <w:pPr>
        <w:pStyle w:val="ListBullet"/>
      </w:pPr>
      <w:r>
        <w:t>Flutter / native Android SDKs — web (vanilla JS) and TypeScript/React (via the REST API) are the only integration paths today.</w:t>
      </w:r>
    </w:p>
    <w:p>
      <w:pPr>
        <w:pStyle w:val="ListBullet"/>
      </w:pPr>
      <w:r>
        <w:t>Public npm / CDN distribution — package.json makes this locally installable; it is not published to the public registry.</w:t>
      </w:r>
    </w:p>
    <w:p>
      <w:pPr>
        <w:pStyle w:val="ListBullet"/>
      </w:pPr>
      <w:r>
        <w:t>Regulatory-Change Watch Agent — no real external feed exists to monitor DPDP rule changes in this environment yet.</w:t>
      </w:r>
    </w:p>
    <w:p>
      <w:pPr>
        <w:pStyle w:val="Heading1"/>
      </w:pPr>
      <w:r>
        <w:t>12. Support &amp; Troubleshooting</w:t>
      </w:r>
    </w:p>
    <w:p>
      <w:pPr>
        <w:pStyle w:val="ListBullet"/>
      </w:pPr>
      <w:r>
        <w:t>Interactive API docs: &lt;your-backend-url&gt;/docs</w:t>
      </w:r>
    </w:p>
    <w:p>
      <w:pPr>
        <w:pStyle w:val="ListBullet"/>
      </w:pPr>
      <w:r>
        <w:t>Widget shows “Privacy notice unavailable right now” — your tenant has no approved notice for the requested language; approve one (Sec. 4, Step 2) or check the language falls back to English correctly.</w:t>
      </w:r>
    </w:p>
    <w:p>
      <w:pPr>
        <w:pStyle w:val="ListBullet"/>
      </w:pPr>
      <w:r>
        <w:t>masking/apply returns 422 — no policy configured for that tenant+purpose; author one via PUT /masking/policies before that data can be shared for that purpose.</w:t>
      </w:r>
    </w:p>
    <w:p>
      <w:pPr>
        <w:pStyle w:val="ListBullet"/>
      </w:pPr>
      <w:r>
        <w:t>For anything not covered here, the full BRD/FSD/HLD document set (Related Documents, cover page) has the underlying design rationale for every rule this guide states as a fact.</w:t>
      </w:r>
    </w:p>
    <w:p>
      <w:r>
        <w:br w:type="page"/>
      </w:r>
    </w:p>
    <w:p>
      <w:pPr>
        <w:pStyle w:val="Heading1"/>
      </w:pPr>
      <w:r>
        <w:t>Appendix A — Package Contents</w:t>
      </w:r>
    </w:p>
    <w:p>
      <w:r>
        <w:rPr>
          <w:b w:val="0"/>
          <w:i w:val="0"/>
        </w:rPr>
        <w:t>This guide is delivered alongside the following files as a single package: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  <w:shd w:val="clear" w:color="auto" w:fill="D9D9D9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5328"/>
            <w:shd w:val="clear" w:color="auto" w:fill="D9D9D9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752"/>
          </w:tcPr>
          <w:p>
            <w:r>
              <w:t>ConsentBridge_SDK_Integration_Guide_v1.0.docx</w:t>
            </w:r>
          </w:p>
        </w:tc>
        <w:tc>
          <w:tcPr>
            <w:tcW w:type="dxa" w:w="5328"/>
          </w:tcPr>
          <w:p>
            <w:r>
              <w:t>This document</w:t>
            </w:r>
          </w:p>
        </w:tc>
      </w:tr>
      <w:tr>
        <w:tc>
          <w:tcPr>
            <w:tcW w:type="dxa" w:w="4752"/>
          </w:tcPr>
          <w:p>
            <w:r>
              <w:t>dpdp-consent-widget.js</w:t>
            </w:r>
          </w:p>
        </w:tc>
        <w:tc>
          <w:tcPr>
            <w:tcW w:type="dxa" w:w="5328"/>
          </w:tcPr>
          <w:p>
            <w:r>
              <w:t>The embeddable widget — single file, zero dependencies</w:t>
            </w:r>
          </w:p>
        </w:tc>
      </w:tr>
      <w:tr>
        <w:tc>
          <w:tcPr>
            <w:tcW w:type="dxa" w:w="4752"/>
          </w:tcPr>
          <w:p>
            <w:r>
              <w:t>package.json</w:t>
            </w:r>
          </w:p>
        </w:tc>
        <w:tc>
          <w:tcPr>
            <w:tcW w:type="dxa" w:w="5328"/>
          </w:tcPr>
          <w:p>
            <w:r>
              <w:t>npm metadata for local/monorepo install</w:t>
            </w:r>
          </w:p>
        </w:tc>
      </w:tr>
      <w:tr>
        <w:tc>
          <w:tcPr>
            <w:tcW w:type="dxa" w:w="4752"/>
          </w:tcPr>
          <w:p>
            <w:r>
              <w:t>README.md</w:t>
            </w:r>
          </w:p>
        </w:tc>
        <w:tc>
          <w:tcPr>
            <w:tcW w:type="dxa" w:w="5328"/>
          </w:tcPr>
          <w:p>
            <w:r>
              <w:t>Markdown quick-start, kept in sync with this guide's Sec. 3</w:t>
            </w:r>
          </w:p>
        </w:tc>
      </w:tr>
      <w:tr>
        <w:tc>
          <w:tcPr>
            <w:tcW w:type="dxa" w:w="4752"/>
          </w:tcPr>
          <w:p>
            <w:r>
              <w:t>demo.html</w:t>
            </w:r>
          </w:p>
        </w:tc>
        <w:tc>
          <w:tcPr>
            <w:tcW w:type="dxa" w:w="5328"/>
          </w:tcPr>
          <w:p>
            <w:r>
              <w:t>Working example — a mock third-party host page proving the widget's theming isolation</w:t>
            </w:r>
          </w:p>
        </w:tc>
      </w:tr>
      <w:tr>
        <w:tc>
          <w:tcPr>
            <w:tcW w:type="dxa" w:w="4752"/>
          </w:tcPr>
          <w:p>
            <w:r>
              <w:t>ConsentBridge-Logo-1600w.png / ConsentBridge-Icon-256.png</w:t>
            </w:r>
          </w:p>
        </w:tc>
        <w:tc>
          <w:tcPr>
            <w:tcW w:type="dxa" w:w="5328"/>
          </w:tcPr>
          <w:p>
            <w:r>
              <w:t>Brand assets, for reference only — your own white-label branding is configured via Sec. 6, not by using these</w:t>
            </w:r>
          </w:p>
        </w:tc>
      </w:tr>
    </w:tbl>
    <w:p>
      <w:pPr>
        <w:pStyle w:val="Heading1"/>
      </w:pPr>
      <w:r>
        <w:t>Appendix B — Full Widget Code Sample</w:t>
      </w:r>
    </w:p>
    <w:p>
      <w:pPr>
        <w:shd w:val="clear" w:color="auto" w:fill="F3F6F8"/>
      </w:pPr>
      <w:r>
        <w:rPr>
          <w:rFonts w:ascii="Courier New" w:hAnsi="Courier New"/>
          <w:sz w:val="19"/>
        </w:rPr>
        <w:t>&lt;div id="dpdp-consent"&gt;&lt;/div&gt;</w:t>
        <w:br/>
        <w:t>&lt;script src="dpdp-consent-widget.js"&gt;&lt;/script&gt;</w:t>
        <w:br/>
        <w:t>&lt;script&gt;</w:t>
        <w:br/>
        <w:t xml:space="preserve">  DPDPConsentWidget.render(document.getElementById('dpdp-consent'), {</w:t>
        <w:br/>
        <w:t xml:space="preserve">    apiBaseUrl: 'https://consent.yourcompany.example',</w:t>
        <w:br/>
        <w:t xml:space="preserve">    tenantId: 'your-tenant-id',</w:t>
        <w:br/>
        <w:t xml:space="preserve">    dataPrincipalId: 'user-123',</w:t>
        <w:br/>
        <w:t xml:space="preserve">    language: 'English',</w:t>
        <w:br/>
        <w:t xml:space="preserve">    purposes: [</w:t>
        <w:br/>
        <w:t xml:space="preserve">      {</w:t>
        <w:br/>
        <w:t xml:space="preserve">        key: 'kyc',</w:t>
        <w:br/>
        <w:t xml:space="preserve">        label: 'KYC &amp; loan processing',</w:t>
        <w:br/>
        <w:t xml:space="preserve">        required: true,</w:t>
        <w:br/>
        <w:t xml:space="preserve">        grants: [</w:t>
        <w:br/>
        <w:t xml:space="preserve">          { data_category: 'PAN &amp; Identity', purpose: 'KYC &amp; loan processing' },</w:t>
        <w:br/>
        <w:t xml:space="preserve">          { data_category: 'Address Proof', purpose: 'KYC &amp; loan processing' },</w:t>
        <w:br/>
        <w:t xml:space="preserve">        ],</w:t>
        <w:br/>
        <w:t xml:space="preserve">      },</w:t>
        <w:br/>
        <w:t xml:space="preserve">      {</w:t>
        <w:br/>
        <w:t xml:space="preserve">        key: 'marketing',</w:t>
        <w:br/>
        <w:t xml:space="preserve">        label: 'Marketing communications',</w:t>
        <w:br/>
        <w:t xml:space="preserve">        required: false,</w:t>
        <w:br/>
        <w:t xml:space="preserve">        grants: [{ data_category: 'Contact Details', purpose: 'Marketing / cross-sell communications', duration_days: 365 }],</w:t>
        <w:br/>
        <w:t xml:space="preserve">      },</w:t>
        <w:br/>
        <w:t xml:space="preserve">    ],</w:t>
        <w:br/>
        <w:t xml:space="preserve">    theme: { primaryColor: '#0B5FFF', radius: '10px', fontFamily: 'inherit' },</w:t>
        <w:br/>
        <w:t xml:space="preserve">    autoTheme: true,</w:t>
        <w:br/>
        <w:t xml:space="preserve">    onChange: (grantedPurposeKeys) =&gt; {</w:t>
        <w:br/>
        <w:t xml:space="preserve">      document.getElementById('continue-btn').disabled = !grantedPurposeKeys.includes('kyc')</w:t>
        <w:br/>
        <w:t xml:space="preserve">    },</w:t>
        <w:br/>
        <w:t xml:space="preserve">  })</w:t>
        <w:br/>
        <w:t>&lt;/script&gt;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