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2857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038225"/>
                    </a:xfrm>
                    <a:prstGeom prst="rect">
                      <a:avLst/>
                    </a:prstGeom>
                  </pic:spPr>
                </pic:pic>
              </a:graphicData>
            </a:graphic>
          </wp:inline>
        </w:drawing>
      </w:r>
    </w:p>
    <w:p>
      <w:pPr>
        <w:spacing w:after="0" w:before="120"/>
        <w:jc w:val="center"/>
      </w:pPr>
      <w:r>
        <w:rPr>
          <w:rFonts w:ascii="Calibri" w:cs="Calibri" w:eastAsia="Calibri" w:hAnsi="Calibri"/>
          <w:b/>
          <w:bCs/>
          <w:color w:val="44546A"/>
          <w:spacing w:val="24"/>
          <w:sz w:val="18"/>
          <w:szCs w:val="18"/>
        </w:rPr>
        <w:t xml:space="preserve">A FINVERGE PRODUCT</w:t>
      </w:r>
    </w:p>
    <w:p>
      <w:pPr>
        <w:spacing w:after="0" w:before="200"/>
        <w:jc w:val="center"/>
      </w:pPr>
      <w:r>
        <w:rPr>
          <w:rFonts w:ascii="Calibri" w:cs="Calibri" w:eastAsia="Calibri" w:hAnsi="Calibri"/>
          <w:b/>
          <w:bCs/>
          <w:color w:val="1E2761"/>
          <w:sz w:val="46"/>
          <w:szCs w:val="46"/>
        </w:rPr>
        <w:t xml:space="preserve">Third-Party Integration &amp; Handshaking Specification</w:t>
      </w:r>
    </w:p>
    <w:p>
      <w:pPr>
        <w:spacing w:after="0" w:before="200"/>
        <w:jc w:val="center"/>
      </w:pPr>
      <w:r>
        <w:rPr>
          <w:rFonts w:ascii="Calibri" w:cs="Calibri" w:eastAsia="Calibri" w:hAnsi="Calibri"/>
          <w:color w:val="44546A"/>
          <w:sz w:val="26"/>
          <w:szCs w:val="26"/>
        </w:rPr>
        <w:t xml:space="preserve">Lane B: Core Banking (CBS) &amp; Loan Origination (LOS) Feeds</w:t>
      </w:r>
    </w:p>
    <w:p>
      <w:pPr>
        <w:spacing w:after="0" w:before="60"/>
        <w:jc w:val="center"/>
      </w:pPr>
      <w:r>
        <w:rPr>
          <w:rFonts w:ascii="Calibri" w:cs="Calibri" w:eastAsia="Calibri" w:hAnsi="Calibri"/>
          <w:color w:val="44546A"/>
          <w:sz w:val="26"/>
          <w:szCs w:val="26"/>
        </w:rPr>
        <w:t xml:space="preserve">Lane A: Real-Time Decisioning for UPI, IMPS &amp; Cards</w:t>
      </w:r>
    </w:p>
    <w:p>
      <w:pPr>
        <w:spacing w:before="900"/>
        <w:jc w:val="center"/>
      </w:pPr>
      <w:r>
        <w:rPr>
          <w:rFonts w:ascii="Calibri" w:cs="Calibri" w:eastAsia="Calibri" w:hAnsi="Calibri"/>
          <w:i/>
          <w:iCs/>
          <w:color w:val="44546A"/>
          <w:sz w:val="20"/>
          <w:szCs w:val="20"/>
        </w:rPr>
        <w:t xml:space="preserve">Prepared for third-party integration teams: core banking system (CBS) vendor, loan origination system (LOS) vendor, payment switch / UPI-IMPS provider, and card network / issuer processor.</w:t>
      </w:r>
    </w:p>
    <w:p>
      <w:pPr>
        <w:spacing w:before="1400"/>
        <w:jc w:val="center"/>
      </w:pPr>
      <w:r>
        <w:rPr>
          <w:rFonts w:ascii="Calibri" w:cs="Calibri" w:eastAsia="Calibri" w:hAnsi="Calibri"/>
          <w:b/>
          <w:bCs/>
          <w:color w:val="B4530A"/>
          <w:sz w:val="18"/>
          <w:szCs w:val="18"/>
        </w:rPr>
        <w:t xml:space="preserve">Document classification: Confidential — shared under integration NDA</w:t>
      </w:r>
    </w:p>
    <w:p>
      <w:pPr>
        <w:spacing w:before="300"/>
        <w:jc w:val="center"/>
      </w:pPr>
      <w:r>
        <w:rPr>
          <w:rFonts w:ascii="Calibri" w:cs="Calibri" w:eastAsia="Calibri" w:hAnsi="Calibri"/>
          <w:color w:val="44546A"/>
          <w:sz w:val="18"/>
          <w:szCs w:val="18"/>
        </w:rPr>
        <w:t xml:space="preserve">Version 1.1  ·  17 August 2026</w:t>
      </w:r>
    </w:p>
    <w:p>
      <w:pPr>
        <w:spacing w:before="40"/>
        <w:jc w:val="center"/>
      </w:pPr>
      <w:r>
        <w:rPr>
          <w:rFonts w:ascii="Calibri" w:cs="Calibri" w:eastAsia="Calibri" w:hAnsi="Calibri"/>
          <w:color w:val="44546A"/>
          <w:sz w:val="18"/>
          <w:szCs w:val="18"/>
        </w:rPr>
        <w:t xml:space="preserve">Issued by: Fraud360 Platform Engineering</w:t>
      </w:r>
    </w:p>
    <w:p>
      <w:r>
        <w:br w:type="page"/>
      </w:r>
    </w:p>
    <w:p>
      <w:pPr>
        <w:pStyle w:val="Heading1"/>
        <w:pBdr>
          <w:bottom w:val="single" w:color="C7D2E6" w:sz="6" w:space="6"/>
        </w:pBdr>
        <w:spacing w:after="200" w:before="480"/>
      </w:pPr>
      <w:r>
        <w:rPr>
          <w:rFonts w:ascii="Calibri" w:cs="Calibri" w:eastAsia="Calibri" w:hAnsi="Calibri"/>
          <w:b/>
          <w:bCs/>
          <w:color w:val="1E2761"/>
          <w:sz w:val="30"/>
          <w:szCs w:val="30"/>
        </w:rPr>
        <w:t xml:space="preserve">Document Control</w:t>
      </w:r>
    </w:p>
    <w:tbl>
      <w:tblPr>
        <w:tblW w:type="dxa" w:w="9350"/>
        <w:tblBorders>
          <w:top w:val="single" w:color="C7D2E6" w:sz="4"/>
          <w:left w:val="single" w:color="C7D2E6" w:sz="4"/>
          <w:bottom w:val="single" w:color="C7D2E6" w:sz="4"/>
          <w:right w:val="single" w:color="C7D2E6" w:sz="4"/>
          <w:insideH w:val="single" w:color="C7D2E6" w:sz="4"/>
          <w:insideV w:val="single" w:color="C7D2E6" w:sz="4"/>
        </w:tblBorders>
      </w:tblPr>
      <w:tblGrid>
        <w:gridCol w:w="2600"/>
        <w:gridCol w:w="6750"/>
      </w:tblGrid>
      <w:tr>
        <w:trPr>
          <w:tblHeader/>
        </w:trPr>
        <w:tc>
          <w:tcPr>
            <w:tcW w:type="dxa" w:w="26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Field</w:t>
            </w:r>
          </w:p>
        </w:tc>
        <w:tc>
          <w:tcPr>
            <w:tcW w:type="dxa" w:w="67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Value</w:t>
            </w:r>
          </w:p>
        </w:tc>
      </w:tr>
      <w:tr>
        <w:tc>
          <w:tcPr>
            <w:tcW w:type="dxa" w:w="26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Document title</w:t>
            </w:r>
          </w:p>
        </w:tc>
        <w:tc>
          <w:tcPr>
            <w:tcW w:type="dxa" w:w="67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Fraud360 Third-Party Integration &amp; Handshaking Specification — Lane A (UPI/IMPS/Cards) &amp; Lane B (CBS/LOS)</w:t>
            </w:r>
          </w:p>
        </w:tc>
      </w:tr>
      <w:tr>
        <w:tc>
          <w:tcPr>
            <w:tcW w:type="dxa" w:w="26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Version</w:t>
            </w:r>
          </w:p>
        </w:tc>
        <w:tc>
          <w:tcPr>
            <w:tcW w:type="dxa" w:w="67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1.1</w:t>
            </w:r>
          </w:p>
        </w:tc>
      </w:tr>
      <w:tr>
        <w:tc>
          <w:tcPr>
            <w:tcW w:type="dxa" w:w="26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Status</w:t>
            </w:r>
          </w:p>
        </w:tc>
        <w:tc>
          <w:tcPr>
            <w:tcW w:type="dxa" w:w="67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Issued for integration</w:t>
            </w:r>
          </w:p>
        </w:tc>
      </w:tr>
      <w:tr>
        <w:tc>
          <w:tcPr>
            <w:tcW w:type="dxa" w:w="26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Audience</w:t>
            </w:r>
          </w:p>
        </w:tc>
        <w:tc>
          <w:tcPr>
            <w:tcW w:type="dxa" w:w="67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Bank/NBFC-appointed integration teams for: payment switch (UPI/IMPS), card network / issuer processor, core banking system (CBS), and loan origination system (LOS)</w:t>
            </w:r>
          </w:p>
        </w:tc>
      </w:tr>
      <w:tr>
        <w:tc>
          <w:tcPr>
            <w:tcW w:type="dxa" w:w="26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Distribution</w:t>
            </w:r>
          </w:p>
        </w:tc>
        <w:tc>
          <w:tcPr>
            <w:tcW w:type="dxa" w:w="67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Shared per-engagement, under NDA. Lane A and Lane B recipients receive the same document; each section states which lane it applies to</w:t>
            </w:r>
          </w:p>
        </w:tc>
      </w:tr>
      <w:tr>
        <w:tc>
          <w:tcPr>
            <w:tcW w:type="dxa" w:w="26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Owner</w:t>
            </w:r>
          </w:p>
        </w:tc>
        <w:tc>
          <w:tcPr>
            <w:tcW w:type="dxa" w:w="67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Fraud360 Platform Engineering</w:t>
            </w:r>
          </w:p>
        </w:tc>
      </w:tr>
      <w:tr>
        <w:tc>
          <w:tcPr>
            <w:tcW w:type="dxa" w:w="26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Related documents</w:t>
            </w:r>
          </w:p>
        </w:tc>
        <w:tc>
          <w:tcPr>
            <w:tcW w:type="dxa" w:w="67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Fraud360 Functional Specification (FSD), High-Level Design (HLD) — available to the bank's own project team on request; not distributed to vendors</w:t>
            </w:r>
          </w:p>
        </w:tc>
      </w:tr>
    </w:tbl>
    <w:p>
      <w:pPr>
        <w:spacing w:after="120"/>
      </w:pPr>
    </w:p>
    <w:tbl>
      <w:tblPr>
        <w:tblW w:type="dxa" w:w="9350"/>
        <w:tblBorders>
          <w:top w:val="single" w:color="EDF1FA" w:sz="4"/>
          <w:left w:val="single" w:color="1E2761" w:sz="24"/>
          <w:bottom w:val="single" w:color="EDF1FA" w:sz="4"/>
          <w:right w:val="single" w:color="EDF1FA" w:sz="4"/>
          <w:insideH w:val="none" w:color="EDF1FA" w:sz="0"/>
          <w:insideV w:val="none" w:color="EDF1FA" w:sz="0"/>
        </w:tblBorders>
      </w:tblPr>
      <w:tblGrid>
        <w:gridCol w:w="9350"/>
      </w:tblGrid>
      <w:tr>
        <w:tc>
          <w:tcPr>
            <w:tcW w:type="dxa" w:w="9350"/>
            <w:shd w:fill="EDF1FA" w:color="auto" w:val="clear"/>
            <w:tcMar>
              <w:top w:type="dxa" w:w="140"/>
              <w:left w:type="dxa" w:w="220"/>
              <w:bottom w:type="dxa" w:w="140"/>
              <w:right w:type="dxa" w:w="220"/>
            </w:tcMar>
          </w:tcPr>
          <w:p>
            <w:pPr>
              <w:spacing w:after="60"/>
            </w:pPr>
            <w:r>
              <w:rPr>
                <w:rFonts w:ascii="Calibri" w:cs="Calibri" w:eastAsia="Calibri" w:hAnsi="Calibri"/>
                <w:b/>
                <w:bCs/>
                <w:color w:val="1E2761"/>
                <w:sz w:val="19"/>
                <w:szCs w:val="19"/>
              </w:rPr>
              <w:t xml:space="preserve">How to read this document</w:t>
            </w:r>
          </w:p>
          <w:p>
            <w:r>
              <w:rPr>
                <w:rFonts w:ascii="Calibri" w:cs="Calibri" w:eastAsia="Calibri" w:hAnsi="Calibri"/>
                <w:color w:val="2A2E33"/>
                <w:sz w:val="19"/>
                <w:szCs w:val="19"/>
              </w:rPr>
              <w:t xml:space="preserve">Every request/response shown here is the actual contract implemented by the running platform — field names, validation rules, status codes and error shapes are taken directly from the service source, not drafted separately. If your test environment returns something different from what is documented here, treat that as a defect to report, not a documentation gap to work around.</w:t>
            </w:r>
          </w:p>
        </w:tc>
      </w:tr>
    </w:tbl>
    <w:p>
      <w:r>
        <w:br w:type="page"/>
      </w:r>
    </w:p>
    <w:p>
      <w:pPr>
        <w:pStyle w:val="Heading1"/>
        <w:pBdr>
          <w:bottom w:val="single" w:color="C7D2E6" w:sz="6" w:space="6"/>
        </w:pBdr>
        <w:spacing w:after="200" w:before="480"/>
      </w:pPr>
      <w:r>
        <w:rPr>
          <w:rFonts w:ascii="Calibri" w:cs="Calibri" w:eastAsia="Calibri" w:hAnsi="Calibri"/>
          <w:b/>
          <w:bCs/>
          <w:color w:val="1E2761"/>
          <w:sz w:val="30"/>
          <w:szCs w:val="30"/>
        </w:rPr>
        <w:t xml:space="preserve">Contents</w:t>
      </w:r>
    </w:p>
    <w:p>
      <w:pPr>
        <w:spacing w:after="70"/>
      </w:pPr>
      <w:r>
        <w:rPr>
          <w:rFonts w:ascii="Calibri" w:cs="Calibri" w:eastAsia="Calibri" w:hAnsi="Calibri"/>
          <w:b/>
          <w:bCs/>
          <w:color w:val="1A1A1A"/>
          <w:sz w:val="21"/>
          <w:szCs w:val="21"/>
        </w:rPr>
        <w:t xml:space="preserve">1. Purpose and audience</w:t>
      </w:r>
    </w:p>
    <w:p>
      <w:pPr>
        <w:spacing w:after="70"/>
      </w:pPr>
      <w:r>
        <w:rPr>
          <w:rFonts w:ascii="Calibri" w:cs="Calibri" w:eastAsia="Calibri" w:hAnsi="Calibri"/>
          <w:b/>
          <w:bCs/>
          <w:color w:val="1A1A1A"/>
          <w:sz w:val="21"/>
          <w:szCs w:val="21"/>
        </w:rPr>
        <w:t xml:space="preserve">2. Architecture overview — two lanes, two integration surfaces</w:t>
      </w:r>
    </w:p>
    <w:p>
      <w:pPr>
        <w:spacing w:after="70"/>
      </w:pPr>
      <w:r>
        <w:rPr>
          <w:rFonts w:ascii="Calibri" w:cs="Calibri" w:eastAsia="Calibri" w:hAnsi="Calibri"/>
          <w:b/>
          <w:bCs/>
          <w:color w:val="1A1A1A"/>
          <w:sz w:val="21"/>
          <w:szCs w:val="21"/>
        </w:rPr>
        <w:t xml:space="preserve">3. Common conventions (apply to both lanes)</w:t>
      </w:r>
    </w:p>
    <w:p>
      <w:pPr>
        <w:spacing w:after="70"/>
      </w:pPr>
      <w:r>
        <w:rPr>
          <w:rFonts w:ascii="Calibri" w:cs="Calibri" w:eastAsia="Calibri" w:hAnsi="Calibri"/>
          <w:b w:val="false"/>
          <w:bCs w:val="false"/>
          <w:color w:val="44546A"/>
          <w:sz w:val="21"/>
          <w:szCs w:val="21"/>
        </w:rPr>
        <w:t xml:space="preserve">   3.1 Network endpoints and environments</w:t>
      </w:r>
    </w:p>
    <w:p>
      <w:pPr>
        <w:spacing w:after="70"/>
      </w:pPr>
      <w:r>
        <w:rPr>
          <w:rFonts w:ascii="Calibri" w:cs="Calibri" w:eastAsia="Calibri" w:hAnsi="Calibri"/>
          <w:b w:val="false"/>
          <w:bCs w:val="false"/>
          <w:color w:val="44546A"/>
          <w:sz w:val="21"/>
          <w:szCs w:val="21"/>
        </w:rPr>
        <w:t xml:space="preserve">   3.2 Authentication — machine credentials</w:t>
      </w:r>
    </w:p>
    <w:p>
      <w:pPr>
        <w:spacing w:after="70"/>
      </w:pPr>
      <w:r>
        <w:rPr>
          <w:rFonts w:ascii="Calibri" w:cs="Calibri" w:eastAsia="Calibri" w:hAnsi="Calibri"/>
          <w:b w:val="false"/>
          <w:bCs w:val="false"/>
          <w:color w:val="44546A"/>
          <w:sz w:val="21"/>
          <w:szCs w:val="21"/>
        </w:rPr>
        <w:t xml:space="preserve">   3.3 Canonical data conventions — money, time, identifiers</w:t>
      </w:r>
    </w:p>
    <w:p>
      <w:pPr>
        <w:spacing w:after="70"/>
      </w:pPr>
      <w:r>
        <w:rPr>
          <w:rFonts w:ascii="Calibri" w:cs="Calibri" w:eastAsia="Calibri" w:hAnsi="Calibri"/>
          <w:b w:val="false"/>
          <w:bCs w:val="false"/>
          <w:color w:val="44546A"/>
          <w:sz w:val="21"/>
          <w:szCs w:val="21"/>
        </w:rPr>
        <w:t xml:space="preserve">   3.4 Batch semantics — partial acceptance and deduplication</w:t>
      </w:r>
    </w:p>
    <w:p>
      <w:pPr>
        <w:spacing w:after="70"/>
      </w:pPr>
      <w:r>
        <w:rPr>
          <w:rFonts w:ascii="Calibri" w:cs="Calibri" w:eastAsia="Calibri" w:hAnsi="Calibri"/>
          <w:b w:val="false"/>
          <w:bCs w:val="false"/>
          <w:color w:val="44546A"/>
          <w:sz w:val="21"/>
          <w:szCs w:val="21"/>
        </w:rPr>
        <w:t xml:space="preserve">   3.5 Error response format</w:t>
      </w:r>
    </w:p>
    <w:p>
      <w:pPr>
        <w:spacing w:after="70"/>
      </w:pPr>
      <w:r>
        <w:rPr>
          <w:rFonts w:ascii="Calibri" w:cs="Calibri" w:eastAsia="Calibri" w:hAnsi="Calibri"/>
          <w:b/>
          <w:bCs/>
          <w:color w:val="1A1A1A"/>
          <w:sz w:val="21"/>
          <w:szCs w:val="21"/>
        </w:rPr>
        <w:t xml:space="preserve">4. Part A — Lane A: real-time decisioning for UPI, IMPS and Cards</w:t>
      </w:r>
    </w:p>
    <w:p>
      <w:pPr>
        <w:spacing w:after="70"/>
      </w:pPr>
      <w:r>
        <w:rPr>
          <w:rFonts w:ascii="Calibri" w:cs="Calibri" w:eastAsia="Calibri" w:hAnsi="Calibri"/>
          <w:b w:val="false"/>
          <w:bCs w:val="false"/>
          <w:color w:val="44546A"/>
          <w:sz w:val="21"/>
          <w:szCs w:val="21"/>
        </w:rPr>
        <w:t xml:space="preserve">   4.1 What this integration is for</w:t>
      </w:r>
    </w:p>
    <w:p>
      <w:pPr>
        <w:spacing w:after="70"/>
      </w:pPr>
      <w:r>
        <w:rPr>
          <w:rFonts w:ascii="Calibri" w:cs="Calibri" w:eastAsia="Calibri" w:hAnsi="Calibri"/>
          <w:b w:val="false"/>
          <w:bCs w:val="false"/>
          <w:color w:val="44546A"/>
          <w:sz w:val="21"/>
          <w:szCs w:val="21"/>
        </w:rPr>
        <w:t xml:space="preserve">   4.2 POST /decide — request and response contract</w:t>
      </w:r>
    </w:p>
    <w:p>
      <w:pPr>
        <w:spacing w:after="70"/>
      </w:pPr>
      <w:r>
        <w:rPr>
          <w:rFonts w:ascii="Calibri" w:cs="Calibri" w:eastAsia="Calibri" w:hAnsi="Calibri"/>
          <w:b w:val="false"/>
          <w:bCs w:val="false"/>
          <w:color w:val="44546A"/>
          <w:sz w:val="21"/>
          <w:szCs w:val="21"/>
        </w:rPr>
        <w:t xml:space="preserve">   4.3 Rail capabilities, latency budgets and fail policy</w:t>
      </w:r>
    </w:p>
    <w:p>
      <w:pPr>
        <w:spacing w:after="70"/>
      </w:pPr>
      <w:r>
        <w:rPr>
          <w:rFonts w:ascii="Calibri" w:cs="Calibri" w:eastAsia="Calibri" w:hAnsi="Calibri"/>
          <w:b w:val="false"/>
          <w:bCs w:val="false"/>
          <w:color w:val="44546A"/>
          <w:sz w:val="21"/>
          <w:szCs w:val="21"/>
        </w:rPr>
        <w:t xml:space="preserve">   4.4 Shadow mode</w:t>
      </w:r>
    </w:p>
    <w:p>
      <w:pPr>
        <w:spacing w:after="70"/>
      </w:pPr>
      <w:r>
        <w:rPr>
          <w:rFonts w:ascii="Calibri" w:cs="Calibri" w:eastAsia="Calibri" w:hAnsi="Calibri"/>
          <w:b w:val="false"/>
          <w:bCs w:val="false"/>
          <w:color w:val="44546A"/>
          <w:sz w:val="21"/>
          <w:szCs w:val="21"/>
        </w:rPr>
        <w:t xml:space="preserve">   4.5 Worked examples</w:t>
      </w:r>
    </w:p>
    <w:p>
      <w:pPr>
        <w:spacing w:after="70"/>
      </w:pPr>
      <w:r>
        <w:rPr>
          <w:rFonts w:ascii="Calibri" w:cs="Calibri" w:eastAsia="Calibri" w:hAnsi="Calibri"/>
          <w:b w:val="false"/>
          <w:bCs w:val="false"/>
          <w:color w:val="44546A"/>
          <w:sz w:val="21"/>
          <w:szCs w:val="21"/>
        </w:rPr>
        <w:t xml:space="preserve">   4.6 Response handling reference</w:t>
      </w:r>
    </w:p>
    <w:p>
      <w:pPr>
        <w:spacing w:after="70"/>
      </w:pPr>
      <w:r>
        <w:rPr>
          <w:rFonts w:ascii="Calibri" w:cs="Calibri" w:eastAsia="Calibri" w:hAnsi="Calibri"/>
          <w:b w:val="false"/>
          <w:bCs w:val="false"/>
          <w:color w:val="44546A"/>
          <w:sz w:val="21"/>
          <w:szCs w:val="21"/>
        </w:rPr>
        <w:t xml:space="preserve">   4.7 Complementary feed: settled-transaction intake</w:t>
      </w:r>
    </w:p>
    <w:p>
      <w:pPr>
        <w:spacing w:after="70"/>
      </w:pPr>
      <w:r>
        <w:rPr>
          <w:rFonts w:ascii="Calibri" w:cs="Calibri" w:eastAsia="Calibri" w:hAnsi="Calibri"/>
          <w:b w:val="false"/>
          <w:bCs w:val="false"/>
          <w:color w:val="44546A"/>
          <w:sz w:val="21"/>
          <w:szCs w:val="21"/>
        </w:rPr>
        <w:t xml:space="preserve">   4.8 ISO 8583 (Preview) — for switches that cannot originate JSON</w:t>
      </w:r>
    </w:p>
    <w:p>
      <w:pPr>
        <w:spacing w:after="70"/>
      </w:pPr>
      <w:r>
        <w:rPr>
          <w:rFonts w:ascii="Calibri" w:cs="Calibri" w:eastAsia="Calibri" w:hAnsi="Calibri"/>
          <w:b/>
          <w:bCs/>
          <w:color w:val="1A1A1A"/>
          <w:sz w:val="21"/>
          <w:szCs w:val="21"/>
        </w:rPr>
        <w:t xml:space="preserve">5. Part B — Lane B: CBS and LOS feed handshaking</w:t>
      </w:r>
    </w:p>
    <w:p>
      <w:pPr>
        <w:spacing w:after="70"/>
      </w:pPr>
      <w:r>
        <w:rPr>
          <w:rFonts w:ascii="Calibri" w:cs="Calibri" w:eastAsia="Calibri" w:hAnsi="Calibri"/>
          <w:b w:val="false"/>
          <w:bCs w:val="false"/>
          <w:color w:val="44546A"/>
          <w:sz w:val="21"/>
          <w:szCs w:val="21"/>
        </w:rPr>
        <w:t xml:space="preserve">   5.1 What this integration is for</w:t>
      </w:r>
    </w:p>
    <w:p>
      <w:pPr>
        <w:spacing w:after="70"/>
      </w:pPr>
      <w:r>
        <w:rPr>
          <w:rFonts w:ascii="Calibri" w:cs="Calibri" w:eastAsia="Calibri" w:hAnsi="Calibri"/>
          <w:b w:val="false"/>
          <w:bCs w:val="false"/>
          <w:color w:val="44546A"/>
          <w:sz w:val="21"/>
          <w:szCs w:val="21"/>
        </w:rPr>
        <w:t xml:space="preserve">   5.2 POST /ingest/{tenant_id}/cbs-events — request and response contract</w:t>
      </w:r>
    </w:p>
    <w:p>
      <w:pPr>
        <w:spacing w:after="70"/>
      </w:pPr>
      <w:r>
        <w:rPr>
          <w:rFonts w:ascii="Calibri" w:cs="Calibri" w:eastAsia="Calibri" w:hAnsi="Calibri"/>
          <w:b w:val="false"/>
          <w:bCs w:val="false"/>
          <w:color w:val="44546A"/>
          <w:sz w:val="21"/>
          <w:szCs w:val="21"/>
        </w:rPr>
        <w:t xml:space="preserve">   5.3 Event kinds and field reference</w:t>
      </w:r>
    </w:p>
    <w:p>
      <w:pPr>
        <w:spacing w:after="70"/>
      </w:pPr>
      <w:r>
        <w:rPr>
          <w:rFonts w:ascii="Calibri" w:cs="Calibri" w:eastAsia="Calibri" w:hAnsi="Calibri"/>
          <w:b w:val="false"/>
          <w:bCs w:val="false"/>
          <w:color w:val="44546A"/>
          <w:sz w:val="21"/>
          <w:szCs w:val="21"/>
        </w:rPr>
        <w:t xml:space="preserve">   5.4 Coverage and status visibility</w:t>
      </w:r>
    </w:p>
    <w:p>
      <w:pPr>
        <w:spacing w:after="70"/>
      </w:pPr>
      <w:r>
        <w:rPr>
          <w:rFonts w:ascii="Calibri" w:cs="Calibri" w:eastAsia="Calibri" w:hAnsi="Calibri"/>
          <w:b w:val="false"/>
          <w:bCs w:val="false"/>
          <w:color w:val="44546A"/>
          <w:sz w:val="21"/>
          <w:szCs w:val="21"/>
        </w:rPr>
        <w:t xml:space="preserve">   5.5 Worked example</w:t>
      </w:r>
    </w:p>
    <w:p>
      <w:pPr>
        <w:spacing w:after="70"/>
      </w:pPr>
      <w:r>
        <w:rPr>
          <w:rFonts w:ascii="Calibri" w:cs="Calibri" w:eastAsia="Calibri" w:hAnsi="Calibri"/>
          <w:b/>
          <w:bCs/>
          <w:color w:val="1A1A1A"/>
          <w:sz w:val="21"/>
          <w:szCs w:val="21"/>
        </w:rPr>
        <w:t xml:space="preserve">6. Onboarding checklist</w:t>
      </w:r>
    </w:p>
    <w:p>
      <w:pPr>
        <w:spacing w:after="70"/>
      </w:pPr>
      <w:r>
        <w:rPr>
          <w:rFonts w:ascii="Calibri" w:cs="Calibri" w:eastAsia="Calibri" w:hAnsi="Calibri"/>
          <w:b/>
          <w:bCs/>
          <w:color w:val="1A1A1A"/>
          <w:sz w:val="21"/>
          <w:szCs w:val="21"/>
        </w:rPr>
        <w:t xml:space="preserve">Appendix A — Lane A payment-rail field reference (UPI / IMPS / Card)</w:t>
      </w:r>
    </w:p>
    <w:p>
      <w:pPr>
        <w:spacing w:after="70"/>
      </w:pPr>
      <w:r>
        <w:rPr>
          <w:rFonts w:ascii="Calibri" w:cs="Calibri" w:eastAsia="Calibri" w:hAnsi="Calibri"/>
          <w:b/>
          <w:bCs/>
          <w:color w:val="1A1A1A"/>
          <w:sz w:val="21"/>
          <w:szCs w:val="21"/>
        </w:rPr>
        <w:t xml:space="preserve">Appendix B — Error code reference</w:t>
      </w:r>
    </w:p>
    <w:p>
      <w:pPr>
        <w:spacing w:after="70"/>
      </w:pPr>
      <w:r>
        <w:rPr>
          <w:rFonts w:ascii="Calibri" w:cs="Calibri" w:eastAsia="Calibri" w:hAnsi="Calibri"/>
          <w:b/>
          <w:bCs/>
          <w:color w:val="1A1A1A"/>
          <w:sz w:val="21"/>
          <w:szCs w:val="21"/>
        </w:rPr>
        <w:t xml:space="preserve">Appendix C — Contacts and change control</w:t>
      </w:r>
    </w:p>
    <w:p>
      <w:r>
        <w:br w:type="page"/>
      </w:r>
    </w:p>
    <w:p>
      <w:pPr>
        <w:sectPr>
          <w:headerReference w:type="default" r:id="rId7"/>
          <w:headerReference w:type="first" r:id="rId8"/>
          <w:footerReference w:type="default" r:id="rId9"/>
          <w:footerReference w:type="first" r:id="rId10"/>
          <w:pgSz w:w="11906" w:h="16838" w:orient="portrait"/>
          <w:pgMar w:top="900" w:right="1100" w:bottom="900" w:left="1100" w:header="708" w:footer="708" w:gutter="0"/>
          <w:pgNumType/>
          <w:titlePg/>
          <w:docGrid w:linePitch="360"/>
        </w:sectPr>
      </w:pPr>
    </w:p>
    <w:p>
      <w:pPr>
        <w:pStyle w:val="Heading1"/>
        <w:pBdr>
          <w:bottom w:val="single" w:color="C7D2E6" w:sz="6" w:space="6"/>
        </w:pBdr>
        <w:spacing w:after="200" w:before="480"/>
      </w:pPr>
      <w:r>
        <w:rPr>
          <w:rFonts w:ascii="Calibri" w:cs="Calibri" w:eastAsia="Calibri" w:hAnsi="Calibri"/>
          <w:b/>
          <w:bCs/>
          <w:color w:val="1E2761"/>
          <w:sz w:val="30"/>
          <w:szCs w:val="30"/>
        </w:rPr>
        <w:t xml:space="preserve">1. Purpose and Audience</w:t>
      </w:r>
    </w:p>
    <w:p>
      <w:pPr>
        <w:spacing w:after="160" w:line="276"/>
      </w:pPr>
      <w:r>
        <w:rPr>
          <w:rFonts w:ascii="Calibri" w:cs="Calibri" w:eastAsia="Calibri" w:hAnsi="Calibri"/>
          <w:sz w:val="21"/>
          <w:szCs w:val="21"/>
        </w:rPr>
        <w:t xml:space="preserve">Fraud360 is the bank's early-warning and fraud-risk-management platform. It ingests transaction and account-conduct data from the bank's own systems, screens it against a rule catalogue aligned to the RBI Master Directions on Fraud Risk Management, and returns either a real-time decision (Lane A) or a near-real-time alert (Lane B).</w:t>
      </w:r>
    </w:p>
    <w:p>
      <w:pPr>
        <w:spacing w:after="160" w:line="276"/>
      </w:pPr>
      <w:r>
        <w:rPr>
          <w:rFonts w:ascii="Calibri" w:cs="Calibri" w:eastAsia="Calibri" w:hAnsi="Calibri"/>
          <w:sz w:val="21"/>
          <w:szCs w:val="21"/>
        </w:rPr>
        <w:t xml:space="preserve">This document specifies exactly what a third-party system must send, in what shape, and what it will receive back, to integrate with Fraud360 on two independent surfaces:</w:t>
      </w:r>
    </w:p>
    <w:p>
      <w:pPr>
        <w:pStyle w:val="ListParagraph"/>
        <w:numPr>
          <w:ilvl w:val="0"/>
          <w:numId w:val="2"/>
        </w:numPr>
        <w:spacing w:after="90"/>
      </w:pPr>
      <w:r>
        <w:rPr>
          <w:rFonts w:ascii="Calibri" w:cs="Calibri" w:eastAsia="Calibri" w:hAnsi="Calibri"/>
          <w:b/>
          <w:bCs/>
          <w:sz w:val="21"/>
          <w:szCs w:val="21"/>
        </w:rPr>
        <w:t xml:space="preserve">Lane B handshaking</w:t>
      </w:r>
      <w:r>
        <w:rPr>
          <w:rFonts w:ascii="Calibri" w:cs="Calibri" w:eastAsia="Calibri" w:hAnsi="Calibri"/>
          <w:sz w:val="21"/>
          <w:szCs w:val="21"/>
        </w:rPr>
        <w:t xml:space="preserve"> — the bank's Core Banking System (CBS) and Loan Origination System (LOS) deliver account-conduct and loan-lifecycle events to Fraud360 as a batch/event feed. Scoring happens after ingestion, with full account context.</w:t>
      </w:r>
    </w:p>
    <w:p>
      <w:pPr>
        <w:pStyle w:val="ListParagraph"/>
        <w:numPr>
          <w:ilvl w:val="0"/>
          <w:numId w:val="2"/>
        </w:numPr>
        <w:spacing w:after="90"/>
      </w:pPr>
      <w:r>
        <w:rPr>
          <w:rFonts w:ascii="Calibri" w:cs="Calibri" w:eastAsia="Calibri" w:hAnsi="Calibri"/>
          <w:b/>
          <w:bCs/>
          <w:sz w:val="21"/>
          <w:szCs w:val="21"/>
        </w:rPr>
        <w:t xml:space="preserve">Lane A handshaking</w:t>
      </w:r>
      <w:r>
        <w:rPr>
          <w:rFonts w:ascii="Calibri" w:cs="Calibri" w:eastAsia="Calibri" w:hAnsi="Calibri"/>
          <w:sz w:val="21"/>
          <w:szCs w:val="21"/>
        </w:rPr>
        <w:t xml:space="preserve"> — the bank's payment switch (for UPI and IMPS) and card network / issuer processor call Fraud360 synchronously, inside the payment authorisation window, and receive a decision before the payment is completed.</w:t>
      </w:r>
    </w:p>
    <w:p>
      <w:pPr>
        <w:spacing w:after="160" w:line="276"/>
      </w:pPr>
      <w:r>
        <w:rPr>
          <w:rFonts w:ascii="Calibri" w:cs="Calibri" w:eastAsia="Calibri" w:hAnsi="Calibri"/>
          <w:sz w:val="21"/>
          <w:szCs w:val="21"/>
        </w:rPr>
        <w:t xml:space="preserve">Both integrations are covered in this single document because they share the same authentication mechanism, data conventions and error format (§3). Sections 4 and 5 are independent of each other — a CBS/LOS integrator only needs §3 and §5; a payment-switch or card-processor integrator only needs §3 and §4.</w:t>
      </w:r>
    </w:p>
    <w:tbl>
      <w:tblPr>
        <w:tblW w:type="dxa" w:w="9350"/>
        <w:tblBorders>
          <w:top w:val="single" w:color="EDF1FA" w:sz="4"/>
          <w:left w:val="single" w:color="1E2761" w:sz="24"/>
          <w:bottom w:val="single" w:color="EDF1FA" w:sz="4"/>
          <w:right w:val="single" w:color="EDF1FA" w:sz="4"/>
          <w:insideH w:val="none" w:color="EDF1FA" w:sz="0"/>
          <w:insideV w:val="none" w:color="EDF1FA" w:sz="0"/>
        </w:tblBorders>
      </w:tblPr>
      <w:tblGrid>
        <w:gridCol w:w="9350"/>
      </w:tblGrid>
      <w:tr>
        <w:tc>
          <w:tcPr>
            <w:tcW w:type="dxa" w:w="9350"/>
            <w:shd w:fill="EDF1FA" w:color="auto" w:val="clear"/>
            <w:tcMar>
              <w:top w:type="dxa" w:w="140"/>
              <w:left w:type="dxa" w:w="220"/>
              <w:bottom w:type="dxa" w:w="140"/>
              <w:right w:type="dxa" w:w="220"/>
            </w:tcMar>
          </w:tcPr>
          <w:p>
            <w:pPr>
              <w:spacing w:after="60"/>
            </w:pPr>
            <w:r>
              <w:rPr>
                <w:rFonts w:ascii="Calibri" w:cs="Calibri" w:eastAsia="Calibri" w:hAnsi="Calibri"/>
                <w:b/>
                <w:bCs/>
                <w:color w:val="1E2761"/>
                <w:sz w:val="19"/>
                <w:szCs w:val="19"/>
              </w:rPr>
              <w:t xml:space="preserve">Scope note</w:t>
            </w:r>
          </w:p>
          <w:p>
            <w:r>
              <w:rPr>
                <w:rFonts w:ascii="Calibri" w:cs="Calibri" w:eastAsia="Calibri" w:hAnsi="Calibri"/>
                <w:color w:val="2A2E33"/>
                <w:sz w:val="19"/>
                <w:szCs w:val="19"/>
              </w:rPr>
              <w:t xml:space="preserve">This specification covers UPI, IMPS and Card on Lane A, per the current integration request. NEFT and RTGS are supported by the platform but are scored on Lane B (near-real-time, after ingestion) because their settlement window is wide enough for full-context screening — they are out of scope for the real-time /decide contract in §4 and are not discussed further here.</w:t>
            </w:r>
          </w:p>
        </w:tc>
      </w:tr>
    </w:tbl>
    <w:p>
      <w:pPr>
        <w:pStyle w:val="Heading1"/>
        <w:pBdr>
          <w:bottom w:val="single" w:color="C7D2E6" w:sz="6" w:space="6"/>
        </w:pBdr>
        <w:spacing w:after="200" w:before="480"/>
      </w:pPr>
      <w:r>
        <w:rPr>
          <w:rFonts w:ascii="Calibri" w:cs="Calibri" w:eastAsia="Calibri" w:hAnsi="Calibri"/>
          <w:b/>
          <w:bCs/>
          <w:color w:val="1E2761"/>
          <w:sz w:val="30"/>
          <w:szCs w:val="30"/>
        </w:rPr>
        <w:t xml:space="preserve">2. Architecture Overview — Two Lanes, Two Integration Surfaces</w:t>
      </w:r>
    </w:p>
    <w:p>
      <w:pPr>
        <w:spacing w:after="160" w:line="276"/>
      </w:pPr>
      <w:r>
        <w:rPr>
          <w:rFonts w:ascii="Calibri" w:cs="Calibri" w:eastAsia="Calibri" w:hAnsi="Calibri"/>
          <w:sz w:val="21"/>
          <w:szCs w:val="21"/>
        </w:rPr>
        <w:t xml:space="preserve">Fraud360 screens transactions on two lanes that trade off latency against context. A third-party integrator only needs to know which lane its payload belongs to and what that lane promises.</w:t>
      </w:r>
    </w:p>
    <w:p>
      <w:pPr>
        <w:pStyle w:val="Heading3"/>
        <w:spacing w:after="100" w:before="240"/>
      </w:pPr>
      <w:r>
        <w:rPr>
          <w:rFonts w:ascii="Calibri" w:cs="Calibri" w:eastAsia="Calibri" w:hAnsi="Calibri"/>
          <w:b/>
          <w:bCs/>
          <w:color w:val="44546A"/>
          <w:sz w:val="21"/>
          <w:szCs w:val="21"/>
        </w:rPr>
        <w:t xml:space="preserve">Lane A — inline, synchronous, in the payment window</w:t>
      </w:r>
    </w:p>
    <w:p>
      <w:pPr>
        <w:spacing w:after="160" w:line="276"/>
      </w:pPr>
      <w:r>
        <w:rPr>
          <w:rFonts w:ascii="Calibri" w:cs="Calibri" w:eastAsia="Calibri" w:hAnsi="Calibri"/>
          <w:sz w:val="21"/>
          <w:szCs w:val="21"/>
        </w:rPr>
        <w:t xml:space="preserve">UPI, IMPS and Card authorisations are decided while the payment is still in flight. The calling system (payment switch or card processor) sends the payment to </w:t>
      </w:r>
      <w:r>
        <w:rPr>
          <w:rFonts w:ascii="Consolas" w:cs="Consolas" w:eastAsia="Consolas" w:hAnsi="Consolas"/>
          <w:sz w:val="19"/>
          <w:szCs w:val="19"/>
        </w:rPr>
        <w:t xml:space="preserve">POST /decide</w:t>
      </w:r>
      <w:r>
        <w:rPr>
          <w:rFonts w:ascii="Calibri" w:cs="Calibri" w:eastAsia="Calibri" w:hAnsi="Calibri"/>
          <w:sz w:val="21"/>
          <w:szCs w:val="21"/>
        </w:rPr>
        <w:t xml:space="preserve"> and receives an </w:t>
      </w:r>
      <w:r>
        <w:rPr>
          <w:rFonts w:ascii="Consolas" w:cs="Consolas" w:eastAsia="Consolas" w:hAnsi="Consolas"/>
          <w:sz w:val="19"/>
          <w:szCs w:val="19"/>
        </w:rPr>
        <w:t xml:space="preserve">allow</w:t>
      </w:r>
      <w:r>
        <w:rPr>
          <w:rFonts w:ascii="Calibri" w:cs="Calibri" w:eastAsia="Calibri" w:hAnsi="Calibri"/>
          <w:sz w:val="21"/>
          <w:szCs w:val="21"/>
        </w:rPr>
        <w:t xml:space="preserve">/</w:t>
      </w:r>
      <w:r>
        <w:rPr>
          <w:rFonts w:ascii="Consolas" w:cs="Consolas" w:eastAsia="Consolas" w:hAnsi="Consolas"/>
          <w:sz w:val="19"/>
          <w:szCs w:val="19"/>
        </w:rPr>
        <w:t xml:space="preserve">decline</w:t>
      </w:r>
      <w:r>
        <w:rPr>
          <w:rFonts w:ascii="Calibri" w:cs="Calibri" w:eastAsia="Calibri" w:hAnsi="Calibri"/>
          <w:sz w:val="21"/>
          <w:szCs w:val="21"/>
        </w:rPr>
        <w:t xml:space="preserve">/</w:t>
      </w:r>
      <w:r>
        <w:rPr>
          <w:rFonts w:ascii="Consolas" w:cs="Consolas" w:eastAsia="Consolas" w:hAnsi="Consolas"/>
          <w:sz w:val="19"/>
          <w:szCs w:val="19"/>
        </w:rPr>
        <w:t xml:space="preserve">challenge</w:t>
      </w:r>
      <w:r>
        <w:rPr>
          <w:rFonts w:ascii="Calibri" w:cs="Calibri" w:eastAsia="Calibri" w:hAnsi="Calibri"/>
          <w:sz w:val="21"/>
          <w:szCs w:val="21"/>
        </w:rPr>
        <w:t xml:space="preserve"> answer inside a fixed latency budget (80–150 ms depending on rail — see §4.3). Because this call sits inside the customer's payment, it is deliberately the smallest, fastest surface Fraud360 exposes: no aggregate query, no lookup outside an in-memory counter store, and the decision log is written after the answer is returned so persistence never adds to the customer's wait.</w:t>
      </w:r>
    </w:p>
    <w:p>
      <w:pPr>
        <w:pStyle w:val="Heading3"/>
        <w:spacing w:after="100" w:before="240"/>
      </w:pPr>
      <w:r>
        <w:rPr>
          <w:rFonts w:ascii="Calibri" w:cs="Calibri" w:eastAsia="Calibri" w:hAnsi="Calibri"/>
          <w:b/>
          <w:bCs/>
          <w:color w:val="44546A"/>
          <w:sz w:val="21"/>
          <w:szCs w:val="21"/>
        </w:rPr>
        <w:t xml:space="preserve">Lane B — near-real-time / batch, after ingestion</w:t>
      </w:r>
    </w:p>
    <w:p>
      <w:pPr>
        <w:spacing w:after="160" w:line="276"/>
      </w:pPr>
      <w:r>
        <w:rPr>
          <w:rFonts w:ascii="Calibri" w:cs="Calibri" w:eastAsia="Calibri" w:hAnsi="Calibri"/>
          <w:sz w:val="21"/>
          <w:szCs w:val="21"/>
        </w:rPr>
        <w:t xml:space="preserve">CBS and LOS events are not time-critical in the same way — a loan disbursement or a repayment posting does not need a same-millisecond answer. These are delivered as batches to </w:t>
      </w:r>
      <w:r>
        <w:rPr>
          <w:rFonts w:ascii="Consolas" w:cs="Consolas" w:eastAsia="Consolas" w:hAnsi="Consolas"/>
          <w:sz w:val="19"/>
          <w:szCs w:val="19"/>
        </w:rPr>
        <w:t xml:space="preserve">POST /ingest/{tenant_id}/cbs-events</w:t>
      </w:r>
      <w:r>
        <w:rPr>
          <w:rFonts w:ascii="Calibri" w:cs="Calibri" w:eastAsia="Calibri" w:hAnsi="Calibri"/>
          <w:sz w:val="21"/>
          <w:szCs w:val="21"/>
        </w:rPr>
        <w:t xml:space="preserve">, queued, and scored shortly afterward with the full account history and network context available. Findings surface as alerts in the Fraud360 console and (where configured) as outbound notifications — not as a synchronous response to the CBS/LOS system.</w:t>
      </w:r>
    </w:p>
    <w:p>
      <w:pPr>
        <w:pStyle w:val="Heading3"/>
        <w:spacing w:after="100" w:before="240"/>
      </w:pPr>
      <w:r>
        <w:rPr>
          <w:rFonts w:ascii="Calibri" w:cs="Calibri" w:eastAsia="Calibri" w:hAnsi="Calibri"/>
          <w:b/>
          <w:bCs/>
          <w:color w:val="44546A"/>
          <w:sz w:val="21"/>
          <w:szCs w:val="21"/>
        </w:rPr>
        <w:t xml:space="preserve">Why the surfaces are kept separate</w:t>
      </w:r>
    </w:p>
    <w:p>
      <w:pPr>
        <w:spacing w:after="160" w:line="276"/>
      </w:pPr>
      <w:r>
        <w:rPr>
          <w:rFonts w:ascii="Calibri" w:cs="Calibri" w:eastAsia="Calibri" w:hAnsi="Calibri"/>
          <w:sz w:val="21"/>
          <w:szCs w:val="21"/>
        </w:rPr>
        <w:t xml:space="preserve">The two lanes are separate deployable services with different availability classes: if the real-time decision path is down, payments fail; if the batch/event path is briefly delayed, a dashboard is a few minutes stale. Those cannot share a scaling policy or an SLA, so they are never merged — and a CBS/LOS integration will never be asked to meet a payment-authorisation latency budget, nor will a payment switch ever be routed through the batch queue.</w:t>
      </w:r>
    </w:p>
    <w:tbl>
      <w:tblPr>
        <w:tblW w:type="dxa" w:w="9350"/>
        <w:tblBorders>
          <w:top w:val="single" w:color="EDF1FA" w:sz="4"/>
          <w:left w:val="single" w:color="1E2761" w:sz="24"/>
          <w:bottom w:val="single" w:color="EDF1FA" w:sz="4"/>
          <w:right w:val="single" w:color="EDF1FA" w:sz="4"/>
          <w:insideH w:val="none" w:color="EDF1FA" w:sz="0"/>
          <w:insideV w:val="none" w:color="EDF1FA" w:sz="0"/>
        </w:tblBorders>
      </w:tblPr>
      <w:tblGrid>
        <w:gridCol w:w="9350"/>
      </w:tblGrid>
      <w:tr>
        <w:tc>
          <w:tcPr>
            <w:tcW w:type="dxa" w:w="9350"/>
            <w:shd w:fill="EDF1FA" w:color="auto" w:val="clear"/>
            <w:tcMar>
              <w:top w:type="dxa" w:w="140"/>
              <w:left w:type="dxa" w:w="220"/>
              <w:bottom w:type="dxa" w:w="140"/>
              <w:right w:type="dxa" w:w="220"/>
            </w:tcMar>
          </w:tcPr>
          <w:p>
            <w:pPr>
              <w:spacing w:after="60"/>
            </w:pPr>
            <w:r>
              <w:rPr>
                <w:rFonts w:ascii="Calibri" w:cs="Calibri" w:eastAsia="Calibri" w:hAnsi="Calibri"/>
                <w:b/>
                <w:bCs/>
                <w:color w:val="1E2761"/>
                <w:sz w:val="19"/>
                <w:szCs w:val="19"/>
              </w:rPr>
              <w:t xml:space="preserve">One canonical fact, from either lane</w:t>
            </w:r>
          </w:p>
          <w:p>
            <w:r>
              <w:rPr>
                <w:rFonts w:ascii="Calibri" w:cs="Calibri" w:eastAsia="Calibri" w:hAnsi="Calibri"/>
                <w:color w:val="2A2E33"/>
                <w:sz w:val="19"/>
                <w:szCs w:val="19"/>
              </w:rPr>
              <w:t xml:space="preserve">Every payment rail and every CBS/LOS event is normalised at the edge into one canonical shape before scoring ever sees it. This is why the field-level contracts in §4 and §5 look similar in structure (an amount, a timestamp, an account, a counterparty) even though the source systems are completely different — the rule catalogue is written once, against one shape, not once per source system.</w:t>
            </w:r>
          </w:p>
        </w:tc>
      </w:tr>
    </w:tbl>
    <w:p>
      <w:pPr>
        <w:pStyle w:val="Heading1"/>
        <w:pBdr>
          <w:bottom w:val="single" w:color="C7D2E6" w:sz="6" w:space="6"/>
        </w:pBdr>
        <w:spacing w:after="200" w:before="480"/>
      </w:pPr>
      <w:r>
        <w:rPr>
          <w:rFonts w:ascii="Calibri" w:cs="Calibri" w:eastAsia="Calibri" w:hAnsi="Calibri"/>
          <w:b/>
          <w:bCs/>
          <w:color w:val="1E2761"/>
          <w:sz w:val="30"/>
          <w:szCs w:val="30"/>
        </w:rPr>
        <w:t xml:space="preserve">3. Common Conventions (Apply to Both Lanes)</w:t>
      </w:r>
    </w:p>
    <w:p>
      <w:pPr>
        <w:pStyle w:val="Heading2"/>
        <w:spacing w:after="140" w:before="360"/>
      </w:pPr>
      <w:r>
        <w:rPr>
          <w:rFonts w:ascii="Calibri" w:cs="Calibri" w:eastAsia="Calibri" w:hAnsi="Calibri"/>
          <w:b/>
          <w:bCs/>
          <w:color w:val="1E2761"/>
          <w:sz w:val="24"/>
          <w:szCs w:val="24"/>
        </w:rPr>
        <w:t xml:space="preserve">3.1  Network Endpoints and Environments</w:t>
      </w:r>
    </w:p>
    <w:p>
      <w:pPr>
        <w:spacing w:after="160" w:line="276"/>
      </w:pPr>
      <w:r>
        <w:rPr>
          <w:rFonts w:ascii="Calibri" w:cs="Calibri" w:eastAsia="Calibri" w:hAnsi="Calibri"/>
          <w:sz w:val="21"/>
          <w:szCs w:val="21"/>
        </w:rPr>
        <w:t xml:space="preserve">Fraud360 exposes three distinct network endpoints. They are on different hosts by design (see box below), not a documentation inconsistency — provision your integration to call each at the base URL Fraud360 issues to you at onboarding.</w:t>
      </w:r>
    </w:p>
    <w:tbl>
      <w:tblPr>
        <w:tblW w:type="dxa" w:w="9350"/>
        <w:tblBorders>
          <w:top w:val="single" w:color="C7D2E6" w:sz="4"/>
          <w:left w:val="single" w:color="C7D2E6" w:sz="4"/>
          <w:bottom w:val="single" w:color="C7D2E6" w:sz="4"/>
          <w:right w:val="single" w:color="C7D2E6" w:sz="4"/>
          <w:insideH w:val="single" w:color="C7D2E6" w:sz="4"/>
          <w:insideV w:val="single" w:color="C7D2E6" w:sz="4"/>
        </w:tblBorders>
      </w:tblPr>
      <w:tblGrid>
        <w:gridCol w:w="2400"/>
        <w:gridCol w:w="2200"/>
        <w:gridCol w:w="3200"/>
        <w:gridCol w:w="1550"/>
      </w:tblGrid>
      <w:tr>
        <w:trPr>
          <w:tblHeader/>
        </w:trPr>
        <w:tc>
          <w:tcPr>
            <w:tcW w:type="dxa" w:w="24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Capability</w:t>
            </w:r>
          </w:p>
        </w:tc>
        <w:tc>
          <w:tcPr>
            <w:tcW w:type="dxa" w:w="22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Called by</w:t>
            </w:r>
          </w:p>
        </w:tc>
        <w:tc>
          <w:tcPr>
            <w:tcW w:type="dxa" w:w="32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Path (fixed)</w:t>
            </w:r>
          </w:p>
        </w:tc>
        <w:tc>
          <w:tcPr>
            <w:tcW w:type="dxa" w:w="15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Base URL</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Token issuance</w:t>
            </w:r>
          </w:p>
        </w:tc>
        <w:tc>
          <w:tcPr>
            <w:tcW w:type="dxa" w:w="2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All integrators</w:t>
            </w:r>
          </w:p>
        </w:tc>
        <w:tc>
          <w:tcPr>
            <w:tcW w:type="dxa" w:w="3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POST /machine/token</w:t>
            </w:r>
          </w:p>
        </w:tc>
        <w:tc>
          <w:tcPr>
            <w:tcW w:type="dxa" w:w="1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Identity service — issued at onboarding</w:t>
            </w:r>
          </w:p>
        </w:tc>
      </w:tr>
      <w:tr>
        <w:tc>
          <w:tcPr>
            <w:tcW w:type="dxa" w:w="2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Batch/event intake
(payment + CBS/LOS)</w:t>
            </w:r>
          </w:p>
        </w:tc>
        <w:tc>
          <w:tcPr>
            <w:tcW w:type="dxa" w:w="2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CBS, LOS, and payment switch (for the settled-record feed, §4.7)</w:t>
            </w:r>
          </w:p>
        </w:tc>
        <w:tc>
          <w:tcPr>
            <w:tcW w:type="dxa" w:w="3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POST /api/ingest/{tenant_id}/transactions
POST /api/ingest/{tenant_id}/cbs-events</w:t>
            </w:r>
          </w:p>
        </w:tc>
        <w:tc>
          <w:tcPr>
            <w:tcW w:type="dxa" w:w="1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API Gateway — issued at onboarding</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Real-time decision</w:t>
            </w:r>
          </w:p>
        </w:tc>
        <w:tc>
          <w:tcPr>
            <w:tcW w:type="dxa" w:w="2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Payment switch (UPI/IMPS), card processor</w:t>
            </w:r>
          </w:p>
        </w:tc>
        <w:tc>
          <w:tcPr>
            <w:tcW w:type="dxa" w:w="3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POST /decide?tenant_id={tenant_id}</w:t>
            </w:r>
          </w:p>
        </w:tc>
        <w:tc>
          <w:tcPr>
            <w:tcW w:type="dxa" w:w="1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Decision service — issued at onboarding, separate host from the gateway</w:t>
            </w:r>
          </w:p>
        </w:tc>
      </w:tr>
    </w:tbl>
    <w:p>
      <w:pPr>
        <w:spacing w:after="120"/>
      </w:pPr>
    </w:p>
    <w:p>
      <w:pPr>
        <w:spacing w:after="160" w:line="276"/>
      </w:pPr>
      <w:r>
        <w:rPr>
          <w:rFonts w:ascii="Calibri" w:cs="Calibri" w:eastAsia="Calibri" w:hAnsi="Calibri"/>
          <w:sz w:val="21"/>
          <w:szCs w:val="21"/>
        </w:rPr>
        <w:t xml:space="preserve">Every sample request in this document uses illustrative placeholder hostnames — your bank's actual base URLs are issued per environment (UAT and Production) at onboarding, and are not derivable from this document:</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Identity service (token issuance)  -&gt;  https://idp.fraud360.examplebank.co.in</w:t>
            </w:r>
          </w:p>
          <w:p>
            <w:pPr>
              <w:spacing w:after="20"/>
            </w:pPr>
            <w:r>
              <w:rPr>
                <w:rFonts w:ascii="Consolas" w:cs="Consolas" w:eastAsia="Consolas" w:hAnsi="Consolas"/>
                <w:sz w:val="19"/>
                <w:szCs w:val="19"/>
              </w:rPr>
              <w:t xml:space="preserve">API Gateway (batch/event intake)   -&gt;  https://api.fraud360.examplebank.co.in</w:t>
            </w:r>
          </w:p>
          <w:p>
            <w:pPr>
              <w:spacing w:after="20"/>
            </w:pPr>
            <w:r>
              <w:rPr>
                <w:rFonts w:ascii="Consolas" w:cs="Consolas" w:eastAsia="Consolas" w:hAnsi="Consolas"/>
                <w:sz w:val="19"/>
                <w:szCs w:val="19"/>
              </w:rPr>
              <w:t xml:space="preserve">Decision service (real-time /decide) -&gt; https://decision.fraud360.examplebank.co.in</w:t>
            </w:r>
          </w:p>
        </w:tc>
      </w:tr>
    </w:tbl>
    <w:tbl>
      <w:tblPr>
        <w:tblW w:type="dxa" w:w="9350"/>
        <w:tblBorders>
          <w:top w:val="single" w:color="EDF1FA" w:sz="4"/>
          <w:left w:val="single" w:color="1E2761" w:sz="24"/>
          <w:bottom w:val="single" w:color="EDF1FA" w:sz="4"/>
          <w:right w:val="single" w:color="EDF1FA" w:sz="4"/>
          <w:insideH w:val="none" w:color="EDF1FA" w:sz="0"/>
          <w:insideV w:val="none" w:color="EDF1FA" w:sz="0"/>
        </w:tblBorders>
      </w:tblPr>
      <w:tblGrid>
        <w:gridCol w:w="9350"/>
      </w:tblGrid>
      <w:tr>
        <w:tc>
          <w:tcPr>
            <w:tcW w:type="dxa" w:w="9350"/>
            <w:shd w:fill="EDF1FA" w:color="auto" w:val="clear"/>
            <w:tcMar>
              <w:top w:type="dxa" w:w="140"/>
              <w:left w:type="dxa" w:w="220"/>
              <w:bottom w:type="dxa" w:w="140"/>
              <w:right w:type="dxa" w:w="220"/>
            </w:tcMar>
          </w:tcPr>
          <w:p>
            <w:pPr>
              <w:spacing w:after="60"/>
            </w:pPr>
            <w:r>
              <w:rPr>
                <w:rFonts w:ascii="Calibri" w:cs="Calibri" w:eastAsia="Calibri" w:hAnsi="Calibri"/>
                <w:b/>
                <w:bCs/>
                <w:color w:val="1E2761"/>
                <w:sz w:val="19"/>
                <w:szCs w:val="19"/>
              </w:rPr>
              <w:t xml:space="preserve">Why the real-time endpoint is a separate host</w:t>
            </w:r>
          </w:p>
          <w:p>
            <w:r>
              <w:rPr>
                <w:rFonts w:ascii="Calibri" w:cs="Calibri" w:eastAsia="Calibri" w:hAnsi="Calibri"/>
                <w:color w:val="2A2E33"/>
                <w:sz w:val="19"/>
                <w:szCs w:val="19"/>
              </w:rPr>
              <w:t xml:space="preserve">The /decide endpoint is not routed through the API gateway that fronts every other Fraud360 API. It is reached directly, on its own host, because the availability class of the payment-authorisation path must not be coupled to the console/reporting edge — a slow or degraded gateway must never be able to add latency to a payment. Call /decide at the dedicated decision-service URL you are issued, not at the gateway URL used for batch intake.</w:t>
            </w:r>
          </w:p>
        </w:tc>
      </w:tr>
    </w:tbl>
    <w:p>
      <w:pPr>
        <w:pStyle w:val="Heading2"/>
        <w:spacing w:after="140" w:before="360"/>
      </w:pPr>
      <w:r>
        <w:rPr>
          <w:rFonts w:ascii="Calibri" w:cs="Calibri" w:eastAsia="Calibri" w:hAnsi="Calibri"/>
          <w:b/>
          <w:bCs/>
          <w:color w:val="1E2761"/>
          <w:sz w:val="24"/>
          <w:szCs w:val="24"/>
        </w:rPr>
        <w:t xml:space="preserve">3.2  Authentication — Machine Credentials</w:t>
      </w:r>
    </w:p>
    <w:p>
      <w:pPr>
        <w:spacing w:after="160" w:line="276"/>
      </w:pPr>
      <w:r>
        <w:rPr>
          <w:rFonts w:ascii="Calibri" w:cs="Calibri" w:eastAsia="Calibri" w:hAnsi="Calibri"/>
          <w:sz w:val="21"/>
          <w:szCs w:val="21"/>
        </w:rPr>
        <w:t xml:space="preserve">Both lanes authenticate with the same mechanism: a machine credential, issued by your bank's Fraud360 tenant administrator, exchanged for a short-lived bearer token. This is a distinct credential class from a human console login — it has no interactive login step and no MFA challenge, because a payment switch or a nightly CBS batch job cannot complete one. In its place, Fraud360 applies compensating controls (below).</w:t>
      </w:r>
    </w:p>
    <w:p>
      <w:pPr>
        <w:pStyle w:val="Heading3"/>
        <w:spacing w:after="100" w:before="240"/>
      </w:pPr>
      <w:r>
        <w:rPr>
          <w:rFonts w:ascii="Calibri" w:cs="Calibri" w:eastAsia="Calibri" w:hAnsi="Calibri"/>
          <w:b/>
          <w:bCs/>
          <w:color w:val="44546A"/>
          <w:sz w:val="21"/>
          <w:szCs w:val="21"/>
        </w:rPr>
        <w:t xml:space="preserve">Credential scopes</w:t>
      </w:r>
    </w:p>
    <w:tbl>
      <w:tblPr>
        <w:tblW w:type="dxa" w:w="9350"/>
        <w:tblBorders>
          <w:top w:val="single" w:color="C7D2E6" w:sz="4"/>
          <w:left w:val="single" w:color="C7D2E6" w:sz="4"/>
          <w:bottom w:val="single" w:color="C7D2E6" w:sz="4"/>
          <w:right w:val="single" w:color="C7D2E6" w:sz="4"/>
          <w:insideH w:val="single" w:color="C7D2E6" w:sz="4"/>
          <w:insideV w:val="single" w:color="C7D2E6" w:sz="4"/>
        </w:tblBorders>
      </w:tblPr>
      <w:tblGrid>
        <w:gridCol w:w="2200"/>
        <w:gridCol w:w="5000"/>
        <w:gridCol w:w="2150"/>
      </w:tblGrid>
      <w:tr>
        <w:trPr>
          <w:tblHeader/>
        </w:trPr>
        <w:tc>
          <w:tcPr>
            <w:tcW w:type="dxa" w:w="22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Scope</w:t>
            </w:r>
          </w:p>
        </w:tc>
        <w:tc>
          <w:tcPr>
            <w:tcW w:type="dxa" w:w="50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Grants</w:t>
            </w:r>
          </w:p>
        </w:tc>
        <w:tc>
          <w:tcPr>
            <w:tcW w:type="dxa" w:w="21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Typical holder</w:t>
            </w:r>
          </w:p>
        </w:tc>
      </w:tr>
      <w:tr>
        <w:tc>
          <w:tcPr>
            <w:tcW w:type="dxa" w:w="22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ingest</w:t>
            </w:r>
          </w:p>
        </w:tc>
        <w:tc>
          <w:tcPr>
            <w:tcW w:type="dxa" w:w="50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Submit payment-rail transactions and/or CBS/LOS events (§4.7, §5.2)</w:t>
            </w:r>
          </w:p>
        </w:tc>
        <w:tc>
          <w:tcPr>
            <w:tcW w:type="dxa" w:w="21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CBS, LOS, payment switch (settled-record feed)</w:t>
            </w:r>
          </w:p>
        </w:tc>
      </w:tr>
      <w:tr>
        <w:tc>
          <w:tcPr>
            <w:tcW w:type="dxa" w:w="22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decide</w:t>
            </w:r>
          </w:p>
        </w:tc>
        <w:tc>
          <w:tcPr>
            <w:tcW w:type="dxa" w:w="50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Call the real-time decision endpoint (§4.2)</w:t>
            </w:r>
          </w:p>
        </w:tc>
        <w:tc>
          <w:tcPr>
            <w:tcW w:type="dxa" w:w="21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Payment switch, card processor</w:t>
            </w:r>
          </w:p>
        </w:tc>
      </w:tr>
      <w:tr>
        <w:tc>
          <w:tcPr>
            <w:tcW w:type="dxa" w:w="22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ingest+decide</w:t>
            </w:r>
          </w:p>
        </w:tc>
        <w:tc>
          <w:tcPr>
            <w:tcW w:type="dxa" w:w="50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Both of the above</w:t>
            </w:r>
          </w:p>
        </w:tc>
        <w:tc>
          <w:tcPr>
            <w:tcW w:type="dxa" w:w="21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Payment switch handling both the real-time call and the settled-record feed</w:t>
            </w:r>
          </w:p>
        </w:tc>
      </w:tr>
    </w:tbl>
    <w:p>
      <w:pPr>
        <w:pStyle w:val="Heading3"/>
        <w:spacing w:after="100" w:before="240"/>
      </w:pPr>
      <w:r>
        <w:rPr>
          <w:rFonts w:ascii="Calibri" w:cs="Calibri" w:eastAsia="Calibri" w:hAnsi="Calibri"/>
          <w:b/>
          <w:bCs/>
          <w:color w:val="44546A"/>
          <w:sz w:val="21"/>
          <w:szCs w:val="21"/>
        </w:rPr>
        <w:t xml:space="preserve">Token exchange</w:t>
      </w:r>
    </w:p>
    <w:p>
      <w:pPr>
        <w:spacing w:after="160" w:line="276"/>
      </w:pPr>
      <w:r>
        <w:rPr>
          <w:rFonts w:ascii="Calibri" w:cs="Calibri" w:eastAsia="Calibri" w:hAnsi="Calibri"/>
          <w:sz w:val="21"/>
          <w:szCs w:val="21"/>
        </w:rPr>
        <w:t xml:space="preserve">OAuth2 client-credentials grant, spelled the way integration teams generally expect it:</w:t>
      </w:r>
    </w:p>
    <w:p>
      <w:pPr>
        <w:spacing w:after="60" w:before="120"/>
      </w:pPr>
      <w:r>
        <w:rPr>
          <w:rFonts w:ascii="Calibri" w:cs="Calibri" w:eastAsia="Calibri" w:hAnsi="Calibri"/>
          <w:b/>
          <w:bCs/>
          <w:color w:val="44546A"/>
          <w:spacing w:val="12"/>
          <w:sz w:val="16"/>
          <w:szCs w:val="16"/>
        </w:rPr>
        <w:t xml:space="preserve">REQUEST</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POST https://idp.fraud360.examplebank.co.in/machine/token</w:t>
            </w:r>
          </w:p>
          <w:p>
            <w:pPr>
              <w:spacing w:after="20"/>
            </w:pPr>
            <w:r>
              <w:rPr>
                <w:rFonts w:ascii="Consolas" w:cs="Consolas" w:eastAsia="Consolas" w:hAnsi="Consolas"/>
                <w:sz w:val="19"/>
                <w:szCs w:val="19"/>
              </w:rPr>
              <w:t xml:space="preserve">Content-Type: application/json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"grant_type": "client_credentials",</w:t>
            </w:r>
          </w:p>
          <w:p>
            <w:pPr>
              <w:spacing w:after="20"/>
            </w:pPr>
            <w:r>
              <w:rPr>
                <w:rFonts w:ascii="Consolas" w:cs="Consolas" w:eastAsia="Consolas" w:hAnsi="Consolas"/>
                <w:sz w:val="19"/>
                <w:szCs w:val="19"/>
              </w:rPr>
              <w:t xml:space="preserve">  "client_id": "svc_3063a96d7d0b17e1",</w:t>
            </w:r>
          </w:p>
          <w:p>
            <w:pPr>
              <w:spacing w:after="20"/>
            </w:pPr>
            <w:r>
              <w:rPr>
                <w:rFonts w:ascii="Consolas" w:cs="Consolas" w:eastAsia="Consolas" w:hAnsi="Consolas"/>
                <w:sz w:val="19"/>
                <w:szCs w:val="19"/>
              </w:rPr>
              <w:t xml:space="preserve">  "client_secret": "&lt;issued once at credential creation, never retrievable again&gt;"</w:t>
            </w:r>
          </w:p>
          <w:p>
            <w:pPr>
              <w:spacing w:after="20"/>
            </w:pPr>
            <w:r>
              <w:rPr>
                <w:rFonts w:ascii="Consolas" w:cs="Consolas" w:eastAsia="Consolas" w:hAnsi="Consolas"/>
                <w:sz w:val="19"/>
                <w:szCs w:val="19"/>
              </w:rPr>
              <w:t xml:space="preserve">}</w:t>
            </w:r>
          </w:p>
        </w:tc>
      </w:tr>
    </w:tbl>
    <w:p>
      <w:pPr>
        <w:spacing w:after="60" w:before="120"/>
      </w:pPr>
      <w:r>
        <w:rPr>
          <w:rFonts w:ascii="Calibri" w:cs="Calibri" w:eastAsia="Calibri" w:hAnsi="Calibri"/>
          <w:b/>
          <w:bCs/>
          <w:color w:val="1B7A43"/>
          <w:spacing w:val="12"/>
          <w:sz w:val="16"/>
          <w:szCs w:val="16"/>
        </w:rPr>
        <w:t xml:space="preserve">RESPONSE — 200</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"access_token": "eyJhbGciOiJIUzI1NiIsInR5cCI6...",</w:t>
            </w:r>
          </w:p>
          <w:p>
            <w:pPr>
              <w:spacing w:after="20"/>
            </w:pPr>
            <w:r>
              <w:rPr>
                <w:rFonts w:ascii="Consolas" w:cs="Consolas" w:eastAsia="Consolas" w:hAnsi="Consolas"/>
                <w:sz w:val="19"/>
                <w:szCs w:val="19"/>
              </w:rPr>
              <w:t xml:space="preserve">  "token_type": "Bearer",</w:t>
            </w:r>
          </w:p>
          <w:p>
            <w:pPr>
              <w:spacing w:after="20"/>
            </w:pPr>
            <w:r>
              <w:rPr>
                <w:rFonts w:ascii="Consolas" w:cs="Consolas" w:eastAsia="Consolas" w:hAnsi="Consolas"/>
                <w:sz w:val="19"/>
                <w:szCs w:val="19"/>
              </w:rPr>
              <w:t xml:space="preserve">  "expires_in": 1800,</w:t>
            </w:r>
          </w:p>
          <w:p>
            <w:pPr>
              <w:spacing w:after="20"/>
            </w:pPr>
            <w:r>
              <w:rPr>
                <w:rFonts w:ascii="Consolas" w:cs="Consolas" w:eastAsia="Consolas" w:hAnsi="Consolas"/>
                <w:sz w:val="19"/>
                <w:szCs w:val="19"/>
              </w:rPr>
              <w:t xml:space="preserve">  "scope": "ingest+decide",</w:t>
            </w:r>
          </w:p>
          <w:p>
            <w:pPr>
              <w:spacing w:after="20"/>
            </w:pPr>
            <w:r>
              <w:rPr>
                <w:rFonts w:ascii="Consolas" w:cs="Consolas" w:eastAsia="Consolas" w:hAnsi="Consolas"/>
                <w:sz w:val="19"/>
                <w:szCs w:val="19"/>
              </w:rPr>
              <w:t xml:space="preserve">  "tenant_id": "b3b90261-9663-46c3-b31f-e8afc4a65442"</w:t>
            </w:r>
          </w:p>
          <w:p>
            <w:pPr>
              <w:spacing w:after="20"/>
            </w:pPr>
            <w:r>
              <w:rPr>
                <w:rFonts w:ascii="Consolas" w:cs="Consolas" w:eastAsia="Consolas" w:hAnsi="Consolas"/>
                <w:sz w:val="19"/>
                <w:szCs w:val="19"/>
              </w:rPr>
              <w:t xml:space="preserve">}</w:t>
            </w:r>
          </w:p>
        </w:tc>
      </w:tr>
    </w:tbl>
    <w:p>
      <w:pPr>
        <w:spacing w:after="160" w:line="276"/>
      </w:pPr>
      <w:r>
        <w:rPr>
          <w:rFonts w:ascii="Calibri" w:cs="Calibri" w:eastAsia="Calibri" w:hAnsi="Calibri"/>
          <w:sz w:val="21"/>
          <w:szCs w:val="21"/>
        </w:rPr>
        <w:t xml:space="preserve">Tokens expire after </w:t>
      </w:r>
      <w:r>
        <w:rPr>
          <w:rFonts w:ascii="Calibri" w:cs="Calibri" w:eastAsia="Calibri" w:hAnsi="Calibri"/>
          <w:b/>
          <w:bCs/>
          <w:sz w:val="21"/>
          <w:szCs w:val="21"/>
        </w:rPr>
        <w:t xml:space="preserve">1800 seconds (30 minutes)</w:t>
      </w:r>
      <w:r>
        <w:rPr>
          <w:rFonts w:ascii="Calibri" w:cs="Calibri" w:eastAsia="Calibri" w:hAnsi="Calibri"/>
          <w:sz w:val="21"/>
          <w:szCs w:val="21"/>
        </w:rPr>
        <w:t xml:space="preserve"> by default. Re-authenticate on expiry rather than caching indefinitely; do not request a fresh token per payment — once per token lifetime is the intended pattern. Present the token on every subsequent call as </w:t>
      </w:r>
      <w:r>
        <w:rPr>
          <w:rFonts w:ascii="Consolas" w:cs="Consolas" w:eastAsia="Consolas" w:hAnsi="Consolas"/>
          <w:sz w:val="19"/>
          <w:szCs w:val="19"/>
        </w:rPr>
        <w:t xml:space="preserve">Authorization: Bearer &lt;token&gt;</w:t>
      </w:r>
      <w:r>
        <w:rPr>
          <w:rFonts w:ascii="Calibri" w:cs="Calibri" w:eastAsia="Calibri" w:hAnsi="Calibri"/>
          <w:sz w:val="21"/>
          <w:szCs w:val="21"/>
        </w:rPr>
        <w:t xml:space="preserve">.</w:t>
      </w:r>
    </w:p>
    <w:p>
      <w:pPr>
        <w:pStyle w:val="Heading3"/>
        <w:spacing w:after="100" w:before="240"/>
      </w:pPr>
      <w:r>
        <w:rPr>
          <w:rFonts w:ascii="Calibri" w:cs="Calibri" w:eastAsia="Calibri" w:hAnsi="Calibri"/>
          <w:b/>
          <w:bCs/>
          <w:color w:val="44546A"/>
          <w:sz w:val="21"/>
          <w:szCs w:val="21"/>
        </w:rPr>
        <w:t xml:space="preserve">Compensating controls (in place of MFA)</w:t>
      </w:r>
    </w:p>
    <w:p>
      <w:pPr>
        <w:pStyle w:val="ListParagraph"/>
        <w:numPr>
          <w:ilvl w:val="0"/>
          <w:numId w:val="2"/>
        </w:numPr>
        <w:spacing w:after="90"/>
      </w:pPr>
      <w:r>
        <w:rPr>
          <w:rFonts w:ascii="Calibri" w:cs="Calibri" w:eastAsia="Calibri" w:hAnsi="Calibri"/>
          <w:b/>
          <w:bCs/>
          <w:sz w:val="21"/>
          <w:szCs w:val="21"/>
        </w:rPr>
        <w:t xml:space="preserve">Certificate binding </w:t>
      </w:r>
      <w:r>
        <w:rPr>
          <w:rFonts w:ascii="Calibri" w:cs="Calibri" w:eastAsia="Calibri" w:hAnsi="Calibri"/>
          <w:sz w:val="21"/>
          <w:szCs w:val="21"/>
        </w:rPr>
        <w:t xml:space="preserve">(optional, recommended) — bind the credential to a client certificate, presented either via mutual TLS or forwarded by your edge as the </w:t>
      </w:r>
      <w:r>
        <w:rPr>
          <w:rFonts w:ascii="Consolas" w:cs="Consolas" w:eastAsia="Consolas" w:hAnsi="Consolas"/>
          <w:sz w:val="19"/>
          <w:szCs w:val="19"/>
        </w:rPr>
        <w:t xml:space="preserve">X-Client-Cert-Thumbprint</w:t>
      </w:r>
      <w:r>
        <w:rPr>
          <w:rFonts w:ascii="Calibri" w:cs="Calibri" w:eastAsia="Calibri" w:hAnsi="Calibri"/>
          <w:sz w:val="21"/>
          <w:szCs w:val="21"/>
        </w:rPr>
        <w:t xml:space="preserve"> header. A mismatch is refused.</w:t>
      </w:r>
    </w:p>
    <w:p>
      <w:pPr>
        <w:pStyle w:val="ListParagraph"/>
        <w:numPr>
          <w:ilvl w:val="0"/>
          <w:numId w:val="2"/>
        </w:numPr>
        <w:spacing w:after="90"/>
      </w:pPr>
      <w:r>
        <w:rPr>
          <w:rFonts w:ascii="Calibri" w:cs="Calibri" w:eastAsia="Calibri" w:hAnsi="Calibri"/>
          <w:b/>
          <w:bCs/>
          <w:sz w:val="21"/>
          <w:szCs w:val="21"/>
        </w:rPr>
        <w:t xml:space="preserve">IP allow-listing </w:t>
      </w:r>
      <w:r>
        <w:rPr>
          <w:rFonts w:ascii="Calibri" w:cs="Calibri" w:eastAsia="Calibri" w:hAnsi="Calibri"/>
          <w:sz w:val="21"/>
          <w:szCs w:val="21"/>
        </w:rPr>
        <w:t xml:space="preserve">— restrict the credential to the calling system's known egress addresses.</w:t>
      </w:r>
    </w:p>
    <w:p>
      <w:pPr>
        <w:pStyle w:val="ListParagraph"/>
        <w:numPr>
          <w:ilvl w:val="0"/>
          <w:numId w:val="2"/>
        </w:numPr>
        <w:spacing w:after="90"/>
      </w:pPr>
      <w:r>
        <w:rPr>
          <w:rFonts w:ascii="Calibri" w:cs="Calibri" w:eastAsia="Calibri" w:hAnsi="Calibri"/>
          <w:b/>
          <w:bCs/>
          <w:sz w:val="21"/>
          <w:szCs w:val="21"/>
        </w:rPr>
        <w:t xml:space="preserve">Expiry and rotation </w:t>
      </w:r>
      <w:r>
        <w:rPr>
          <w:rFonts w:ascii="Calibri" w:cs="Calibri" w:eastAsia="Calibri" w:hAnsi="Calibri"/>
          <w:sz w:val="21"/>
          <w:szCs w:val="21"/>
        </w:rPr>
        <w:t xml:space="preserve">— every credential has an expiry (default 365 days); rotate before it lapses. A rotated or revoked credential is refused with a reason, not a generic failure.</w:t>
      </w:r>
    </w:p>
    <w:p>
      <w:pPr>
        <w:pStyle w:val="ListParagraph"/>
        <w:numPr>
          <w:ilvl w:val="0"/>
          <w:numId w:val="2"/>
        </w:numPr>
        <w:spacing w:after="90"/>
      </w:pPr>
      <w:r>
        <w:rPr>
          <w:rFonts w:ascii="Calibri" w:cs="Calibri" w:eastAsia="Calibri" w:hAnsi="Calibri"/>
          <w:b/>
          <w:bCs/>
          <w:sz w:val="21"/>
          <w:szCs w:val="21"/>
        </w:rPr>
        <w:t xml:space="preserve">Full audit trail </w:t>
      </w:r>
      <w:r>
        <w:rPr>
          <w:rFonts w:ascii="Calibri" w:cs="Calibri" w:eastAsia="Calibri" w:hAnsi="Calibri"/>
          <w:sz w:val="21"/>
          <w:szCs w:val="21"/>
        </w:rPr>
        <w:t xml:space="preserve">— every token issuance and every refusal (wrong secret, expired, off-list address, certificate mismatch) is recorded against the credential, tenant, and calling address.</w:t>
      </w:r>
    </w:p>
    <w:tbl>
      <w:tblPr>
        <w:tblW w:type="dxa" w:w="9350"/>
        <w:tblBorders>
          <w:top w:val="single" w:color="EDF1FA" w:sz="4"/>
          <w:left w:val="single" w:color="1E2761" w:sz="24"/>
          <w:bottom w:val="single" w:color="EDF1FA" w:sz="4"/>
          <w:right w:val="single" w:color="EDF1FA" w:sz="4"/>
          <w:insideH w:val="none" w:color="EDF1FA" w:sz="0"/>
          <w:insideV w:val="none" w:color="EDF1FA" w:sz="0"/>
        </w:tblBorders>
      </w:tblPr>
      <w:tblGrid>
        <w:gridCol w:w="9350"/>
      </w:tblGrid>
      <w:tr>
        <w:tc>
          <w:tcPr>
            <w:tcW w:type="dxa" w:w="9350"/>
            <w:shd w:fill="EDF1FA" w:color="auto" w:val="clear"/>
            <w:tcMar>
              <w:top w:type="dxa" w:w="140"/>
              <w:left w:type="dxa" w:w="220"/>
              <w:bottom w:type="dxa" w:w="140"/>
              <w:right w:type="dxa" w:w="220"/>
            </w:tcMar>
          </w:tcPr>
          <w:p>
            <w:pPr>
              <w:spacing w:after="60"/>
            </w:pPr>
            <w:r>
              <w:rPr>
                <w:rFonts w:ascii="Calibri" w:cs="Calibri" w:eastAsia="Calibri" w:hAnsi="Calibri"/>
                <w:b/>
                <w:bCs/>
                <w:color w:val="1E2761"/>
                <w:sz w:val="19"/>
                <w:szCs w:val="19"/>
              </w:rPr>
              <w:t xml:space="preserve">Enumeration resistance</w:t>
            </w:r>
          </w:p>
          <w:p>
            <w:r>
              <w:rPr>
                <w:rFonts w:ascii="Calibri" w:cs="Calibri" w:eastAsia="Calibri" w:hAnsi="Calibri"/>
                <w:color w:val="2A2E33"/>
                <w:sz w:val="19"/>
                <w:szCs w:val="19"/>
              </w:rPr>
              <w:t xml:space="preserve">An unknown client_id and a correct client_id with the wrong secret return the identical 401 invalid_client response. This is deliberate — it prevents a caller from using the token endpoint to discover which client ids exist. Do not attempt to distinguish these two cases from the response; the resolution for both is the same (verify your issued credential with your Fraud360 onboarding contact).</w:t>
            </w:r>
          </w:p>
        </w:tc>
      </w:tr>
    </w:tbl>
    <w:p>
      <w:pPr>
        <w:pStyle w:val="Heading2"/>
        <w:spacing w:after="140" w:before="360"/>
      </w:pPr>
      <w:r>
        <w:rPr>
          <w:rFonts w:ascii="Calibri" w:cs="Calibri" w:eastAsia="Calibri" w:hAnsi="Calibri"/>
          <w:b/>
          <w:bCs/>
          <w:color w:val="1E2761"/>
          <w:sz w:val="24"/>
          <w:szCs w:val="24"/>
        </w:rPr>
        <w:t xml:space="preserve">3.3  Canonical Data Conventions</w:t>
      </w:r>
    </w:p>
    <w:p>
      <w:pPr>
        <w:pStyle w:val="Heading3"/>
        <w:spacing w:after="100" w:before="240"/>
      </w:pPr>
      <w:r>
        <w:rPr>
          <w:rFonts w:ascii="Calibri" w:cs="Calibri" w:eastAsia="Calibri" w:hAnsi="Calibri"/>
          <w:b/>
          <w:bCs/>
          <w:color w:val="44546A"/>
          <w:sz w:val="21"/>
          <w:szCs w:val="21"/>
        </w:rPr>
        <w:t xml:space="preserve">Money — always integer paise</w:t>
      </w:r>
    </w:p>
    <w:p>
      <w:pPr>
        <w:spacing w:after="160" w:line="276"/>
      </w:pPr>
      <w:r>
        <w:rPr>
          <w:rFonts w:ascii="Calibri" w:cs="Calibri" w:eastAsia="Calibri" w:hAnsi="Calibri"/>
          <w:sz w:val="21"/>
          <w:szCs w:val="21"/>
        </w:rPr>
        <w:t xml:space="preserve">Every amount field in every Fraud360 API is an integer number of paise (</w:t>
      </w:r>
      <w:r>
        <w:rPr>
          <w:rFonts w:ascii="Consolas" w:cs="Consolas" w:eastAsia="Consolas" w:hAnsi="Consolas"/>
          <w:sz w:val="19"/>
          <w:szCs w:val="19"/>
        </w:rPr>
        <w:t xml:space="preserve">amount_paise</w:t>
      </w:r>
      <w:r>
        <w:rPr>
          <w:rFonts w:ascii="Calibri" w:cs="Calibri" w:eastAsia="Calibri" w:hAnsi="Calibri"/>
          <w:sz w:val="21"/>
          <w:szCs w:val="21"/>
        </w:rPr>
        <w:t xml:space="preserve">), never a decimal rupee value and never a float. ₹1,234.55 is sent as </w:t>
      </w:r>
      <w:r>
        <w:rPr>
          <w:rFonts w:ascii="Consolas" w:cs="Consolas" w:eastAsia="Consolas" w:hAnsi="Consolas"/>
          <w:sz w:val="19"/>
          <w:szCs w:val="19"/>
        </w:rPr>
        <w:t xml:space="preserve">123455</w:t>
      </w:r>
      <w:r>
        <w:rPr>
          <w:rFonts w:ascii="Calibri" w:cs="Calibri" w:eastAsia="Calibri" w:hAnsi="Calibri"/>
          <w:sz w:val="21"/>
          <w:szCs w:val="21"/>
        </w:rPr>
        <w:t xml:space="preserve">. Where a field named plainly </w:t>
      </w:r>
      <w:r>
        <w:rPr>
          <w:rFonts w:ascii="Consolas" w:cs="Consolas" w:eastAsia="Consolas" w:hAnsi="Consolas"/>
          <w:sz w:val="19"/>
          <w:szCs w:val="19"/>
        </w:rPr>
        <w:t xml:space="preserve">amount</w:t>
      </w:r>
      <w:r>
        <w:rPr>
          <w:rFonts w:ascii="Calibri" w:cs="Calibri" w:eastAsia="Calibri" w:hAnsi="Calibri"/>
          <w:sz w:val="21"/>
          <w:szCs w:val="21"/>
        </w:rPr>
        <w:t xml:space="preserve"> is accepted (see rail-specific tables in §4.7 and §5.3), Fraud360 parses it as an exact decimal and converts internally — sub-paisa precision (e.g. an amount implying a fraction of a paisa) and negative amounts are both rejected outright.</w:t>
      </w:r>
    </w:p>
    <w:p>
      <w:pPr>
        <w:pStyle w:val="Heading3"/>
        <w:spacing w:after="100" w:before="240"/>
      </w:pPr>
      <w:r>
        <w:rPr>
          <w:rFonts w:ascii="Calibri" w:cs="Calibri" w:eastAsia="Calibri" w:hAnsi="Calibri"/>
          <w:b/>
          <w:bCs/>
          <w:color w:val="44546A"/>
          <w:sz w:val="21"/>
          <w:szCs w:val="21"/>
        </w:rPr>
        <w:t xml:space="preserve">Time — timestamps must carry a timezone</w:t>
      </w:r>
    </w:p>
    <w:p>
      <w:pPr>
        <w:spacing w:after="160" w:line="276"/>
      </w:pPr>
      <w:r>
        <w:rPr>
          <w:rFonts w:ascii="Calibri" w:cs="Calibri" w:eastAsia="Calibri" w:hAnsi="Calibri"/>
          <w:sz w:val="21"/>
          <w:szCs w:val="21"/>
        </w:rPr>
        <w:t xml:space="preserve">Every timestamp must be ISO-8601 with an explicit UTC offset, e.g. </w:t>
      </w:r>
      <w:r>
        <w:rPr>
          <w:rFonts w:ascii="Consolas" w:cs="Consolas" w:eastAsia="Consolas" w:hAnsi="Consolas"/>
          <w:sz w:val="19"/>
          <w:szCs w:val="19"/>
        </w:rPr>
        <w:t xml:space="preserve">2026-08-05T14:32:10+05:30</w:t>
      </w:r>
      <w:r>
        <w:rPr>
          <w:rFonts w:ascii="Calibri" w:cs="Calibri" w:eastAsia="Calibri" w:hAnsi="Calibri"/>
          <w:sz w:val="21"/>
          <w:szCs w:val="21"/>
        </w:rPr>
        <w:t xml:space="preserve">. A timestamp with no offset is </w:t>
      </w:r>
      <w:r>
        <w:rPr>
          <w:rFonts w:ascii="Calibri" w:cs="Calibri" w:eastAsia="Calibri" w:hAnsi="Calibri"/>
          <w:b/>
          <w:bCs/>
          <w:sz w:val="21"/>
          <w:szCs w:val="21"/>
        </w:rPr>
        <w:t xml:space="preserve">rejected</w:t>
      </w:r>
      <w:r>
        <w:rPr>
          <w:rFonts w:ascii="Calibri" w:cs="Calibri" w:eastAsia="Calibri" w:hAnsi="Calibri"/>
          <w:sz w:val="21"/>
          <w:szCs w:val="21"/>
        </w:rPr>
        <w:t xml:space="preserve">, not assumed to be IST. This is deliberate: guessing wrongly about a timezone silently shifts every velocity/time-window rule by up to 5.5 hours, and a wrong-but-plausible answer is worse than an explicit failure your integration will actually notice and fix.</w:t>
      </w:r>
    </w:p>
    <w:p>
      <w:pPr>
        <w:pStyle w:val="Heading3"/>
        <w:spacing w:after="100" w:before="240"/>
      </w:pPr>
      <w:r>
        <w:rPr>
          <w:rFonts w:ascii="Calibri" w:cs="Calibri" w:eastAsia="Calibri" w:hAnsi="Calibri"/>
          <w:b/>
          <w:bCs/>
          <w:color w:val="44546A"/>
          <w:sz w:val="21"/>
          <w:szCs w:val="21"/>
        </w:rPr>
        <w:t xml:space="preserve">Identifiers and idempotency</w:t>
      </w:r>
    </w:p>
    <w:p>
      <w:pPr>
        <w:spacing w:after="160" w:line="276"/>
      </w:pPr>
      <w:r>
        <w:rPr>
          <w:rFonts w:ascii="Calibri" w:cs="Calibri" w:eastAsia="Calibri" w:hAnsi="Calibri"/>
          <w:sz w:val="21"/>
          <w:szCs w:val="21"/>
        </w:rPr>
        <w:t xml:space="preserve">Fraud360 deduplicates on </w:t>
      </w:r>
      <w:r>
        <w:rPr>
          <w:rFonts w:ascii="Calibri" w:cs="Calibri" w:eastAsia="Calibri" w:hAnsi="Calibri"/>
          <w:i/>
          <w:iCs/>
          <w:color w:val="44546A"/>
          <w:sz w:val="21"/>
          <w:szCs w:val="21"/>
        </w:rPr>
        <w:t xml:space="preserve">your</w:t>
      </w:r>
      <w:r>
        <w:rPr>
          <w:rFonts w:ascii="Calibri" w:cs="Calibri" w:eastAsia="Calibri" w:hAnsi="Calibri"/>
          <w:sz w:val="21"/>
          <w:szCs w:val="21"/>
        </w:rPr>
        <w:t xml:space="preserve"> system's own identifier for each record — the payment rail's transaction id for a payment (§4.7), and the CBS/LOS system's own event id for a Lane B event (§5.2). Re-sending a record you have already sent (a retried file, a re-run nightly extract) is treated as a normal, expected duplicate, reported back to you, and costs nothing — it is never double-counted or double-scored.</w:t>
      </w:r>
    </w:p>
    <w:p>
      <w:pPr>
        <w:pStyle w:val="Heading2"/>
        <w:spacing w:after="140" w:before="360"/>
      </w:pPr>
      <w:r>
        <w:rPr>
          <w:rFonts w:ascii="Calibri" w:cs="Calibri" w:eastAsia="Calibri" w:hAnsi="Calibri"/>
          <w:b/>
          <w:bCs/>
          <w:color w:val="1E2761"/>
          <w:sz w:val="24"/>
          <w:szCs w:val="24"/>
        </w:rPr>
        <w:t xml:space="preserve">3.4  Batch Semantics</w:t>
      </w:r>
    </w:p>
    <w:p>
      <w:pPr>
        <w:spacing w:after="160" w:line="276"/>
      </w:pPr>
      <w:r>
        <w:rPr>
          <w:rFonts w:ascii="Calibri" w:cs="Calibri" w:eastAsia="Calibri" w:hAnsi="Calibri"/>
          <w:sz w:val="21"/>
          <w:szCs w:val="21"/>
        </w:rPr>
        <w:t xml:space="preserve">Both intake endpoints (</w:t>
      </w:r>
      <w:r>
        <w:rPr>
          <w:rFonts w:ascii="Consolas" w:cs="Consolas" w:eastAsia="Consolas" w:hAnsi="Consolas"/>
          <w:sz w:val="19"/>
          <w:szCs w:val="19"/>
        </w:rPr>
        <w:t xml:space="preserve">/ingest/{tenant_id}/transactions</w:t>
      </w:r>
      <w:r>
        <w:rPr>
          <w:rFonts w:ascii="Calibri" w:cs="Calibri" w:eastAsia="Calibri" w:hAnsi="Calibri"/>
          <w:sz w:val="21"/>
          <w:szCs w:val="21"/>
        </w:rPr>
        <w:t xml:space="preserve"> and </w:t>
      </w:r>
      <w:r>
        <w:rPr>
          <w:rFonts w:ascii="Consolas" w:cs="Consolas" w:eastAsia="Consolas" w:hAnsi="Consolas"/>
          <w:sz w:val="19"/>
          <w:szCs w:val="19"/>
        </w:rPr>
        <w:t xml:space="preserve">/ingest/{tenant_id}/cbs-events</w:t>
      </w:r>
      <w:r>
        <w:rPr>
          <w:rFonts w:ascii="Calibri" w:cs="Calibri" w:eastAsia="Calibri" w:hAnsi="Calibri"/>
          <w:sz w:val="21"/>
          <w:szCs w:val="21"/>
        </w:rPr>
        <w:t xml:space="preserve">) share one contract:</w:t>
      </w:r>
    </w:p>
    <w:p>
      <w:pPr>
        <w:pStyle w:val="ListParagraph"/>
        <w:numPr>
          <w:ilvl w:val="0"/>
          <w:numId w:val="2"/>
        </w:numPr>
        <w:spacing w:after="90"/>
      </w:pPr>
      <w:r>
        <w:rPr>
          <w:rFonts w:ascii="Calibri" w:cs="Calibri" w:eastAsia="Calibri" w:hAnsi="Calibri"/>
          <w:b/>
          <w:bCs/>
          <w:sz w:val="21"/>
          <w:szCs w:val="21"/>
        </w:rPr>
        <w:t xml:space="preserve">202 Accepted, not 200/201 </w:t>
      </w:r>
      <w:r>
        <w:rPr>
          <w:rFonts w:ascii="Calibri" w:cs="Calibri" w:eastAsia="Calibri" w:hAnsi="Calibri"/>
          <w:sz w:val="21"/>
          <w:szCs w:val="21"/>
        </w:rPr>
        <w:t xml:space="preserve">— the platform has taken responsibility for the batch but has not yet scored it. A 202 response means "queued", not "screened".</w:t>
      </w:r>
    </w:p>
    <w:p>
      <w:pPr>
        <w:pStyle w:val="ListParagraph"/>
        <w:numPr>
          <w:ilvl w:val="0"/>
          <w:numId w:val="2"/>
        </w:numPr>
        <w:spacing w:after="90"/>
      </w:pPr>
      <w:r>
        <w:rPr>
          <w:rFonts w:ascii="Calibri" w:cs="Calibri" w:eastAsia="Calibri" w:hAnsi="Calibri"/>
          <w:b/>
          <w:bCs/>
          <w:sz w:val="21"/>
          <w:szCs w:val="21"/>
        </w:rPr>
        <w:t xml:space="preserve">Partial acceptance </w:t>
      </w:r>
      <w:r>
        <w:rPr>
          <w:rFonts w:ascii="Calibri" w:cs="Calibri" w:eastAsia="Calibri" w:hAnsi="Calibri"/>
          <w:sz w:val="21"/>
          <w:szCs w:val="21"/>
        </w:rPr>
        <w:t xml:space="preserve">— a batch is never rejected wholesale because one row is malformed. Every row is adapted and validated independently; a bad row is reported with its index and reason while every good row in the same batch proceeds.</w:t>
      </w:r>
    </w:p>
    <w:p>
      <w:pPr>
        <w:pStyle w:val="ListParagraph"/>
        <w:numPr>
          <w:ilvl w:val="0"/>
          <w:numId w:val="2"/>
        </w:numPr>
        <w:spacing w:after="90"/>
      </w:pPr>
      <w:r>
        <w:rPr>
          <w:rFonts w:ascii="Calibri" w:cs="Calibri" w:eastAsia="Calibri" w:hAnsi="Calibri"/>
          <w:b/>
          <w:bCs/>
          <w:sz w:val="21"/>
          <w:szCs w:val="21"/>
        </w:rPr>
        <w:t xml:space="preserve">Duplicates are not errors </w:t>
      </w:r>
      <w:r>
        <w:rPr>
          <w:rFonts w:ascii="Calibri" w:cs="Calibri" w:eastAsia="Calibri" w:hAnsi="Calibri"/>
          <w:sz w:val="21"/>
          <w:szCs w:val="21"/>
        </w:rPr>
        <w:t xml:space="preserve">— a row that dedupes against one already received is counted separately from rejected rows and does not fail the batch.</w:t>
      </w:r>
    </w:p>
    <w:p>
      <w:pPr>
        <w:pStyle w:val="ListParagraph"/>
        <w:numPr>
          <w:ilvl w:val="0"/>
          <w:numId w:val="2"/>
        </w:numPr>
        <w:spacing w:after="90"/>
      </w:pPr>
      <w:r>
        <w:rPr>
          <w:rFonts w:ascii="Calibri" w:cs="Calibri" w:eastAsia="Calibri" w:hAnsi="Calibri"/>
          <w:b/>
          <w:bCs/>
          <w:sz w:val="21"/>
          <w:szCs w:val="21"/>
        </w:rPr>
        <w:t xml:space="preserve">Batch size limit </w:t>
      </w:r>
      <w:r>
        <w:rPr>
          <w:rFonts w:ascii="Calibri" w:cs="Calibri" w:eastAsia="Calibri" w:hAnsi="Calibri"/>
          <w:sz w:val="21"/>
          <w:szCs w:val="21"/>
        </w:rPr>
        <w:t xml:space="preserve">— maximum 5,000 rows per request (transactions or CBS/LOS events). Split larger deliveries into multiple requests.</w:t>
      </w:r>
    </w:p>
    <w:p>
      <w:pPr>
        <w:spacing w:after="60" w:before="120"/>
      </w:pPr>
      <w:r>
        <w:rPr>
          <w:rFonts w:ascii="Calibri" w:cs="Calibri" w:eastAsia="Calibri" w:hAnsi="Calibri"/>
          <w:b/>
          <w:bCs/>
          <w:color w:val="44546A"/>
          <w:spacing w:val="12"/>
          <w:sz w:val="16"/>
          <w:szCs w:val="16"/>
        </w:rPr>
        <w:t xml:space="preserve">RESPONSE SHAPE — BOTH ENDPOINTS</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HTTP/1.1 202 Accepted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"accepted": 4991,</w:t>
            </w:r>
          </w:p>
          <w:p>
            <w:pPr>
              <w:spacing w:after="20"/>
            </w:pPr>
            <w:r>
              <w:rPr>
                <w:rFonts w:ascii="Consolas" w:cs="Consolas" w:eastAsia="Consolas" w:hAnsi="Consolas"/>
                <w:sz w:val="19"/>
                <w:szCs w:val="19"/>
              </w:rPr>
              <w:t xml:space="preserve">  "duplicates": 6,</w:t>
            </w:r>
          </w:p>
          <w:p>
            <w:pPr>
              <w:spacing w:after="20"/>
            </w:pPr>
            <w:r>
              <w:rPr>
                <w:rFonts w:ascii="Consolas" w:cs="Consolas" w:eastAsia="Consolas" w:hAnsi="Consolas"/>
                <w:sz w:val="19"/>
                <w:szCs w:val="19"/>
              </w:rPr>
              <w:t xml:space="preserve">  "rejected": 3,</w:t>
            </w:r>
          </w:p>
          <w:p>
            <w:pPr>
              <w:spacing w:after="20"/>
            </w:pPr>
            <w:r>
              <w:rPr>
                <w:rFonts w:ascii="Consolas" w:cs="Consolas" w:eastAsia="Consolas" w:hAnsi="Consolas"/>
                <w:sz w:val="19"/>
                <w:szCs w:val="19"/>
              </w:rPr>
              <w:t xml:space="preserve">  "errors": [</w:t>
            </w:r>
          </w:p>
          <w:p>
            <w:pPr>
              <w:spacing w:after="20"/>
            </w:pPr>
            <w:r>
              <w:rPr>
                <w:rFonts w:ascii="Consolas" w:cs="Consolas" w:eastAsia="Consolas" w:hAnsi="Consolas"/>
                <w:sz w:val="19"/>
                <w:szCs w:val="19"/>
              </w:rPr>
              <w:t xml:space="preserve">    { "index": 118, "rail": "UPI", "error": "missing after mapping: amount_paise" },</w:t>
            </w:r>
          </w:p>
          <w:p>
            <w:pPr>
              <w:spacing w:after="20"/>
            </w:pPr>
            <w:r>
              <w:rPr>
                <w:rFonts w:ascii="Consolas" w:cs="Consolas" w:eastAsia="Consolas" w:hAnsi="Consolas"/>
                <w:sz w:val="19"/>
                <w:szCs w:val="19"/>
              </w:rPr>
              <w:t xml:space="preserve">    { "index": 2044, "error": "timestamp has no timezone. Send an offset (e.g. +05:30) ..." }</w:t>
            </w:r>
          </w:p>
          <w:p>
            <w:pPr>
              <w:spacing w:after="20"/>
            </w:pPr>
            <w:r>
              <w:rPr>
                <w:rFonts w:ascii="Consolas" w:cs="Consolas" w:eastAsia="Consolas" w:hAnsi="Consolas"/>
                <w:sz w:val="19"/>
                <w:szCs w:val="19"/>
              </w:rPr>
              <w:t xml:space="preserve">    // up to 50 error entries are returned per response; the batch itself may reject more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"batch_id": "f0c1a3d2-7b9e-4a11-8f3d-1c2b6e9a0d7f"</w:t>
            </w:r>
          </w:p>
          <w:p>
            <w:pPr>
              <w:spacing w:after="20"/>
            </w:pPr>
            <w:r>
              <w:rPr>
                <w:rFonts w:ascii="Consolas" w:cs="Consolas" w:eastAsia="Consolas" w:hAnsi="Consolas"/>
                <w:sz w:val="19"/>
                <w:szCs w:val="19"/>
              </w:rPr>
              <w:t xml:space="preserve">}</w:t>
            </w:r>
          </w:p>
        </w:tc>
      </w:tr>
    </w:tbl>
    <w:tbl>
      <w:tblPr>
        <w:tblW w:type="dxa" w:w="9350"/>
        <w:tblBorders>
          <w:top w:val="single" w:color="EDF1FA" w:sz="4"/>
          <w:left w:val="single" w:color="1E2761" w:sz="24"/>
          <w:bottom w:val="single" w:color="EDF1FA" w:sz="4"/>
          <w:right w:val="single" w:color="EDF1FA" w:sz="4"/>
          <w:insideH w:val="none" w:color="EDF1FA" w:sz="0"/>
          <w:insideV w:val="none" w:color="EDF1FA" w:sz="0"/>
        </w:tblBorders>
      </w:tblPr>
      <w:tblGrid>
        <w:gridCol w:w="9350"/>
      </w:tblGrid>
      <w:tr>
        <w:tc>
          <w:tcPr>
            <w:tcW w:type="dxa" w:w="9350"/>
            <w:shd w:fill="EDF1FA" w:color="auto" w:val="clear"/>
            <w:tcMar>
              <w:top w:type="dxa" w:w="140"/>
              <w:left w:type="dxa" w:w="220"/>
              <w:bottom w:type="dxa" w:w="140"/>
              <w:right w:type="dxa" w:w="220"/>
            </w:tcMar>
          </w:tcPr>
          <w:p>
            <w:pPr>
              <w:spacing w:after="60"/>
            </w:pPr>
            <w:r>
              <w:rPr>
                <w:rFonts w:ascii="Calibri" w:cs="Calibri" w:eastAsia="Calibri" w:hAnsi="Calibri"/>
                <w:b/>
                <w:bCs/>
                <w:color w:val="1E2761"/>
                <w:sz w:val="19"/>
                <w:szCs w:val="19"/>
              </w:rPr>
              <w:t xml:space="preserve">Design intent</w:t>
            </w:r>
          </w:p>
          <w:p>
            <w:r>
              <w:rPr>
                <w:rFonts w:ascii="Calibri" w:cs="Calibri" w:eastAsia="Calibri" w:hAnsi="Calibri"/>
                <w:color w:val="2A2E33"/>
                <w:sz w:val="19"/>
                <w:szCs w:val="19"/>
              </w:rPr>
              <w:t xml:space="preserve">Rejecting 5,000 good rows because one has a malformed timestamp is how an integration ends up building its own retry queue and resending everything, doubling load for no benefit. Fix and resend only the rows named in errors — everything else in the batch has already been accepted.</w:t>
            </w:r>
          </w:p>
        </w:tc>
      </w:tr>
    </w:tbl>
    <w:p>
      <w:pPr>
        <w:pStyle w:val="Heading2"/>
        <w:spacing w:after="140" w:before="360"/>
      </w:pPr>
      <w:r>
        <w:rPr>
          <w:rFonts w:ascii="Calibri" w:cs="Calibri" w:eastAsia="Calibri" w:hAnsi="Calibri"/>
          <w:b/>
          <w:bCs/>
          <w:color w:val="1E2761"/>
          <w:sz w:val="24"/>
          <w:szCs w:val="24"/>
        </w:rPr>
        <w:t xml:space="preserve">3.5  Error Response Format</w:t>
      </w:r>
    </w:p>
    <w:p>
      <w:pPr>
        <w:spacing w:after="160" w:line="276"/>
      </w:pPr>
      <w:r>
        <w:rPr>
          <w:rFonts w:ascii="Calibri" w:cs="Calibri" w:eastAsia="Calibri" w:hAnsi="Calibri"/>
          <w:sz w:val="21"/>
          <w:szCs w:val="21"/>
        </w:rPr>
        <w:t xml:space="preserve">Every 4xx/5xx response, on every Fraud360 endpoint, uses one JSON envelope:</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"error": {</w:t>
            </w:r>
          </w:p>
          <w:p>
            <w:pPr>
              <w:spacing w:after="20"/>
            </w:pPr>
            <w:r>
              <w:rPr>
                <w:rFonts w:ascii="Consolas" w:cs="Consolas" w:eastAsia="Consolas" w:hAnsi="Consolas"/>
                <w:sz w:val="19"/>
                <w:szCs w:val="19"/>
              </w:rPr>
              <w:t xml:space="preserve">    "code": "rail_not_inline",</w:t>
            </w:r>
          </w:p>
          <w:p>
            <w:pPr>
              <w:spacing w:after="20"/>
            </w:pPr>
            <w:r>
              <w:rPr>
                <w:rFonts w:ascii="Consolas" w:cs="Consolas" w:eastAsia="Consolas" w:hAnsi="Consolas"/>
                <w:sz w:val="19"/>
                <w:szCs w:val="19"/>
              </w:rPr>
              <w:t xml:space="preserve">    "message": "Rail 'NEFT' is configured for the near-real-time lane. It is scored</w:t>
            </w:r>
          </w:p>
          <w:p>
            <w:pPr>
              <w:spacing w:after="20"/>
            </w:pPr>
            <w:r>
              <w:rPr>
                <w:rFonts w:ascii="Consolas" w:cs="Consolas" w:eastAsia="Consolas" w:hAnsi="Consolas"/>
                <w:sz w:val="19"/>
                <w:szCs w:val="19"/>
              </w:rPr>
              <w:t xml:space="preserve">                with full context after ingestion, not in the payment window."</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p>
      <w:pPr>
        <w:spacing w:after="160" w:line="276"/>
      </w:pPr>
      <w:r>
        <w:rPr>
          <w:rFonts w:ascii="Calibri" w:cs="Calibri" w:eastAsia="Calibri" w:hAnsi="Calibri"/>
          <w:sz w:val="21"/>
          <w:szCs w:val="21"/>
        </w:rPr>
        <w:t xml:space="preserve">Integrate against </w:t>
      </w:r>
      <w:r>
        <w:rPr>
          <w:rFonts w:ascii="Consolas" w:cs="Consolas" w:eastAsia="Consolas" w:hAnsi="Consolas"/>
          <w:sz w:val="19"/>
          <w:szCs w:val="19"/>
        </w:rPr>
        <w:t xml:space="preserve">error.code</w:t>
      </w:r>
      <w:r>
        <w:rPr>
          <w:rFonts w:ascii="Calibri" w:cs="Calibri" w:eastAsia="Calibri" w:hAnsi="Calibri"/>
          <w:sz w:val="21"/>
          <w:szCs w:val="21"/>
        </w:rPr>
        <w:t xml:space="preserve"> (stable, machine-readable) for branching logic; show or log </w:t>
      </w:r>
      <w:r>
        <w:rPr>
          <w:rFonts w:ascii="Consolas" w:cs="Consolas" w:eastAsia="Consolas" w:hAnsi="Consolas"/>
          <w:sz w:val="19"/>
          <w:szCs w:val="19"/>
        </w:rPr>
        <w:t xml:space="preserve">error.message</w:t>
      </w:r>
      <w:r>
        <w:rPr>
          <w:rFonts w:ascii="Calibri" w:cs="Calibri" w:eastAsia="Calibri" w:hAnsi="Calibri"/>
          <w:sz w:val="21"/>
          <w:szCs w:val="21"/>
        </w:rPr>
        <w:t xml:space="preserve"> (human-readable, may change wording) for diagnostics. A full code reference for both lanes is in Appendix B.</w:t>
      </w:r>
    </w:p>
    <w:p>
      <w:r>
        <w:br w:type="page"/>
      </w:r>
    </w:p>
    <w:p>
      <w:pPr>
        <w:pStyle w:val="Heading1"/>
        <w:pBdr>
          <w:bottom w:val="single" w:color="C7D2E6" w:sz="6" w:space="6"/>
        </w:pBdr>
        <w:spacing w:after="200" w:before="480"/>
      </w:pPr>
      <w:r>
        <w:rPr>
          <w:rFonts w:ascii="Calibri" w:cs="Calibri" w:eastAsia="Calibri" w:hAnsi="Calibri"/>
          <w:b/>
          <w:bCs/>
          <w:color w:val="1E2761"/>
          <w:sz w:val="30"/>
          <w:szCs w:val="30"/>
        </w:rPr>
        <w:t xml:space="preserve">4. Part A — Lane A: Real-Time Decisioning for UPI, IMPS and Cards</w:t>
      </w:r>
    </w:p>
    <w:tbl>
      <w:tblPr>
        <w:tblW w:type="dxa" w:w="9350"/>
        <w:tblBorders>
          <w:top w:val="single" w:color="EDF1FA" w:sz="4"/>
          <w:left w:val="single" w:color="1E2761" w:sz="24"/>
          <w:bottom w:val="single" w:color="EDF1FA" w:sz="4"/>
          <w:right w:val="single" w:color="EDF1FA" w:sz="4"/>
          <w:insideH w:val="none" w:color="EDF1FA" w:sz="0"/>
          <w:insideV w:val="none" w:color="EDF1FA" w:sz="0"/>
        </w:tblBorders>
      </w:tblPr>
      <w:tblGrid>
        <w:gridCol w:w="9350"/>
      </w:tblGrid>
      <w:tr>
        <w:tc>
          <w:tcPr>
            <w:tcW w:type="dxa" w:w="9350"/>
            <w:shd w:fill="EDF1FA" w:color="auto" w:val="clear"/>
            <w:tcMar>
              <w:top w:type="dxa" w:w="140"/>
              <w:left w:type="dxa" w:w="220"/>
              <w:bottom w:type="dxa" w:w="140"/>
              <w:right w:type="dxa" w:w="220"/>
            </w:tcMar>
          </w:tcPr>
          <w:p>
            <w:pPr>
              <w:spacing w:after="60"/>
            </w:pPr>
            <w:r>
              <w:rPr>
                <w:rFonts w:ascii="Calibri" w:cs="Calibri" w:eastAsia="Calibri" w:hAnsi="Calibri"/>
                <w:b/>
                <w:bCs/>
                <w:color w:val="1E2761"/>
                <w:sz w:val="19"/>
                <w:szCs w:val="19"/>
              </w:rPr>
              <w:t xml:space="preserve">Applies to</w:t>
            </w:r>
          </w:p>
          <w:p>
            <w:r>
              <w:rPr>
                <w:rFonts w:ascii="Calibri" w:cs="Calibri" w:eastAsia="Calibri" w:hAnsi="Calibri"/>
                <w:color w:val="2A2E33"/>
                <w:sz w:val="19"/>
                <w:szCs w:val="19"/>
              </w:rPr>
              <w:t xml:space="preserve">Payment switch integration team (UPI, IMPS) and card network / issuer processor integration team. Requires a machine credential scoped decide (§3.2).</w:t>
            </w:r>
          </w:p>
        </w:tc>
      </w:tr>
    </w:tbl>
    <w:p>
      <w:pPr>
        <w:pStyle w:val="Heading2"/>
        <w:spacing w:after="140" w:before="360"/>
      </w:pPr>
      <w:r>
        <w:rPr>
          <w:rFonts w:ascii="Calibri" w:cs="Calibri" w:eastAsia="Calibri" w:hAnsi="Calibri"/>
          <w:b/>
          <w:bCs/>
          <w:color w:val="1E2761"/>
          <w:sz w:val="24"/>
          <w:szCs w:val="24"/>
        </w:rPr>
        <w:t xml:space="preserve">4.1  What This Integration Is For</w:t>
      </w:r>
    </w:p>
    <w:p>
      <w:pPr>
        <w:spacing w:after="160" w:line="276"/>
      </w:pPr>
      <w:r>
        <w:rPr>
          <w:rFonts w:ascii="Calibri" w:cs="Calibri" w:eastAsia="Calibri" w:hAnsi="Calibri"/>
          <w:sz w:val="21"/>
          <w:szCs w:val="21"/>
        </w:rPr>
        <w:t xml:space="preserve">Your system calls </w:t>
      </w:r>
      <w:r>
        <w:rPr>
          <w:rFonts w:ascii="Consolas" w:cs="Consolas" w:eastAsia="Consolas" w:hAnsi="Consolas"/>
          <w:sz w:val="19"/>
          <w:szCs w:val="19"/>
        </w:rPr>
        <w:t xml:space="preserve">POST /decide</w:t>
      </w:r>
      <w:r>
        <w:rPr>
          <w:rFonts w:ascii="Calibri" w:cs="Calibri" w:eastAsia="Calibri" w:hAnsi="Calibri"/>
          <w:sz w:val="21"/>
          <w:szCs w:val="21"/>
        </w:rPr>
        <w:t xml:space="preserve"> once per UPI, IMPS or Card authorisation, synchronously, before the payment is completed. Fraud360 evaluates the payment against the bank's configured rule catalogue and returns an </w:t>
      </w:r>
      <w:r>
        <w:rPr>
          <w:rFonts w:ascii="Consolas" w:cs="Consolas" w:eastAsia="Consolas" w:hAnsi="Consolas"/>
          <w:sz w:val="19"/>
          <w:szCs w:val="19"/>
        </w:rPr>
        <w:t xml:space="preserve">action</w:t>
      </w:r>
      <w:r>
        <w:rPr>
          <w:rFonts w:ascii="Calibri" w:cs="Calibri" w:eastAsia="Calibri" w:hAnsi="Calibri"/>
          <w:sz w:val="21"/>
          <w:szCs w:val="21"/>
        </w:rPr>
        <w:t xml:space="preserve"> your system must act on. There is no separate "submit" step for this lane — the call to /decide </w:t>
      </w:r>
      <w:r>
        <w:rPr>
          <w:rFonts w:ascii="Calibri" w:cs="Calibri" w:eastAsia="Calibri" w:hAnsi="Calibri"/>
          <w:i/>
          <w:iCs/>
          <w:color w:val="44546A"/>
          <w:sz w:val="21"/>
          <w:szCs w:val="21"/>
        </w:rPr>
        <w:t xml:space="preserve">is</w:t>
      </w:r>
      <w:r>
        <w:rPr>
          <w:rFonts w:ascii="Calibri" w:cs="Calibri" w:eastAsia="Calibri" w:hAnsi="Calibri"/>
          <w:sz w:val="21"/>
          <w:szCs w:val="21"/>
        </w:rPr>
        <w:t xml:space="preserve"> the submission, and Fraud360 records the decision after responding so persistence never adds to your wait.</w:t>
      </w:r>
    </w:p>
    <w:p>
      <w:pPr>
        <w:pStyle w:val="Heading2"/>
        <w:spacing w:after="140" w:before="360"/>
      </w:pPr>
      <w:r>
        <w:rPr>
          <w:rFonts w:ascii="Calibri" w:cs="Calibri" w:eastAsia="Calibri" w:hAnsi="Calibri"/>
          <w:b/>
          <w:bCs/>
          <w:color w:val="1E2761"/>
          <w:sz w:val="24"/>
          <w:szCs w:val="24"/>
        </w:rPr>
        <w:t xml:space="preserve">4.2  POST /decide — Request and Response Contract</w:t>
      </w:r>
    </w:p>
    <w:p>
      <w:pPr>
        <w:spacing w:after="160" w:line="276"/>
      </w:pPr>
      <w:r>
        <w:rPr>
          <w:rFonts w:ascii="Calibri" w:cs="Calibri" w:eastAsia="Calibri" w:hAnsi="Calibri"/>
          <w:sz w:val="21"/>
          <w:szCs w:val="21"/>
        </w:rPr>
        <w:t xml:space="preserve">Called directly at the decision-service base URL (§3.1) — never through the API gateway. </w:t>
      </w:r>
      <w:r>
        <w:rPr>
          <w:rFonts w:ascii="Consolas" w:cs="Consolas" w:eastAsia="Consolas" w:hAnsi="Consolas"/>
          <w:sz w:val="19"/>
          <w:szCs w:val="19"/>
        </w:rPr>
        <w:t xml:space="preserve">tenant_id</w:t>
      </w:r>
      <w:r>
        <w:rPr>
          <w:rFonts w:ascii="Calibri" w:cs="Calibri" w:eastAsia="Calibri" w:hAnsi="Calibri"/>
          <w:sz w:val="21"/>
          <w:szCs w:val="21"/>
        </w:rPr>
        <w:t xml:space="preserve"> is a query parameter, not part of the path.</w:t>
      </w:r>
    </w:p>
    <w:p>
      <w:pPr>
        <w:pStyle w:val="Heading3"/>
        <w:spacing w:after="100" w:before="240"/>
      </w:pPr>
      <w:r>
        <w:rPr>
          <w:rFonts w:ascii="Calibri" w:cs="Calibri" w:eastAsia="Calibri" w:hAnsi="Calibri"/>
          <w:b/>
          <w:bCs/>
          <w:color w:val="44546A"/>
          <w:sz w:val="21"/>
          <w:szCs w:val="21"/>
        </w:rPr>
        <w:t xml:space="preserve">Request fields</w:t>
      </w:r>
    </w:p>
    <w:tbl>
      <w:tblPr>
        <w:tblW w:type="dxa" w:w="9350"/>
        <w:tblBorders>
          <w:top w:val="single" w:color="C7D2E6" w:sz="4"/>
          <w:left w:val="single" w:color="C7D2E6" w:sz="4"/>
          <w:bottom w:val="single" w:color="C7D2E6" w:sz="4"/>
          <w:right w:val="single" w:color="C7D2E6" w:sz="4"/>
          <w:insideH w:val="single" w:color="C7D2E6" w:sz="4"/>
          <w:insideV w:val="single" w:color="C7D2E6" w:sz="4"/>
        </w:tblBorders>
      </w:tblPr>
      <w:tblGrid>
        <w:gridCol w:w="2100"/>
        <w:gridCol w:w="1500"/>
        <w:gridCol w:w="1300"/>
        <w:gridCol w:w="4450"/>
      </w:tblGrid>
      <w:tr>
        <w:trPr>
          <w:tblHeader/>
        </w:trPr>
        <w:tc>
          <w:tcPr>
            <w:tcW w:type="dxa" w:w="21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Field</w:t>
            </w:r>
          </w:p>
        </w:tc>
        <w:tc>
          <w:tcPr>
            <w:tcW w:type="dxa" w:w="15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Type</w:t>
            </w:r>
          </w:p>
        </w:tc>
        <w:tc>
          <w:tcPr>
            <w:tcW w:type="dxa" w:w="13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Required</w:t>
            </w:r>
          </w:p>
        </w:tc>
        <w:tc>
          <w:tcPr>
            <w:tcW w:type="dxa" w:w="44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Notes</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txn_ref</w:t>
            </w:r>
          </w:p>
        </w:tc>
        <w:tc>
          <w:tcPr>
            <w:tcW w:type="dxa" w:w="15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string ≤64</w:t>
            </w:r>
          </w:p>
        </w:tc>
        <w:tc>
          <w:tcPr>
            <w:tcW w:type="dxa" w:w="13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Yes</w:t>
            </w:r>
          </w:p>
        </w:tc>
        <w:tc>
          <w:tcPr>
            <w:tcW w:type="dxa" w:w="44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Your own reference for this payment. Echoed nowhere in the response — kept only in Fraud360's decision log for later lookup.</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rail</w:t>
            </w:r>
          </w:p>
        </w:tc>
        <w:tc>
          <w:tcPr>
            <w:tcW w:type="dxa" w:w="15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string ≤8</w:t>
            </w:r>
          </w:p>
        </w:tc>
        <w:tc>
          <w:tcPr>
            <w:tcW w:type="dxa" w:w="13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Yes</w:t>
            </w:r>
          </w:p>
        </w:tc>
        <w:tc>
          <w:tcPr>
            <w:tcW w:type="dxa" w:w="44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One of UPI, IMPS, CARD (for this integration). Determines which policy and latency budget apply.</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debtor_account</w:t>
            </w:r>
          </w:p>
        </w:tc>
        <w:tc>
          <w:tcPr>
            <w:tcW w:type="dxa" w:w="15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string ≤64</w:t>
            </w:r>
          </w:p>
        </w:tc>
        <w:tc>
          <w:tcPr>
            <w:tcW w:type="dxa" w:w="13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Yes</w:t>
            </w:r>
          </w:p>
        </w:tc>
        <w:tc>
          <w:tcPr>
            <w:tcW w:type="dxa" w:w="44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The paying side.</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creditor_account</w:t>
            </w:r>
          </w:p>
        </w:tc>
        <w:tc>
          <w:tcPr>
            <w:tcW w:type="dxa" w:w="15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string ≤64</w:t>
            </w:r>
          </w:p>
        </w:tc>
        <w:tc>
          <w:tcPr>
            <w:tcW w:type="dxa" w:w="13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No (default "")</w:t>
            </w:r>
          </w:p>
        </w:tc>
        <w:tc>
          <w:tcPr>
            <w:tcW w:type="dxa" w:w="44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The receiving side.</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amount_paise</w:t>
            </w:r>
          </w:p>
        </w:tc>
        <w:tc>
          <w:tcPr>
            <w:tcW w:type="dxa" w:w="15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integer ≥0</w:t>
            </w:r>
          </w:p>
        </w:tc>
        <w:tc>
          <w:tcPr>
            <w:tcW w:type="dxa" w:w="13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Yes</w:t>
            </w:r>
          </w:p>
        </w:tc>
        <w:tc>
          <w:tcPr>
            <w:tcW w:type="dxa" w:w="44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Integer paise — see §3.3. Never a decimal rupee value.</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channel</w:t>
            </w:r>
          </w:p>
        </w:tc>
        <w:tc>
          <w:tcPr>
            <w:tcW w:type="dxa" w:w="15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string ≤16</w:t>
            </w:r>
          </w:p>
        </w:tc>
        <w:tc>
          <w:tcPr>
            <w:tcW w:type="dxa" w:w="13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No</w:t>
            </w:r>
          </w:p>
        </w:tc>
        <w:tc>
          <w:tcPr>
            <w:tcW w:type="dxa" w:w="44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e.g. mobile, netbanking, pos. Free text, used only as a detection signal.</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device_id</w:t>
            </w:r>
          </w:p>
        </w:tc>
        <w:tc>
          <w:tcPr>
            <w:tcW w:type="dxa" w:w="15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string ≤64</w:t>
            </w:r>
          </w:p>
        </w:tc>
        <w:tc>
          <w:tcPr>
            <w:tcW w:type="dxa" w:w="13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No</w:t>
            </w:r>
          </w:p>
        </w:tc>
        <w:tc>
          <w:tcPr>
            <w:tcW w:type="dxa" w:w="44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Device fingerprint if your channel captures one.</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signals</w:t>
            </w:r>
          </w:p>
        </w:tc>
        <w:tc>
          <w:tcPr>
            <w:tcW w:type="dxa" w:w="15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object (string→number)</w:t>
            </w:r>
          </w:p>
        </w:tc>
        <w:tc>
          <w:tcPr>
            <w:tcW w:type="dxa" w:w="13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No (default {})</w:t>
            </w:r>
          </w:p>
        </w:tc>
        <w:tc>
          <w:tcPr>
            <w:tcW w:type="dxa" w:w="44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Observations your channel already holds at authorisation time — see note below.</w:t>
            </w:r>
          </w:p>
        </w:tc>
      </w:tr>
    </w:tbl>
    <w:tbl>
      <w:tblPr>
        <w:tblW w:type="dxa" w:w="9350"/>
        <w:tblBorders>
          <w:top w:val="single" w:color="EDF1FA" w:sz="4"/>
          <w:left w:val="single" w:color="1E2761" w:sz="24"/>
          <w:bottom w:val="single" w:color="EDF1FA" w:sz="4"/>
          <w:right w:val="single" w:color="EDF1FA" w:sz="4"/>
          <w:insideH w:val="none" w:color="EDF1FA" w:sz="0"/>
          <w:insideV w:val="none" w:color="EDF1FA" w:sz="0"/>
        </w:tblBorders>
      </w:tblPr>
      <w:tblGrid>
        <w:gridCol w:w="9350"/>
      </w:tblGrid>
      <w:tr>
        <w:tc>
          <w:tcPr>
            <w:tcW w:type="dxa" w:w="9350"/>
            <w:shd w:fill="EDF1FA" w:color="auto" w:val="clear"/>
            <w:tcMar>
              <w:top w:type="dxa" w:w="140"/>
              <w:left w:type="dxa" w:w="220"/>
              <w:bottom w:type="dxa" w:w="140"/>
              <w:right w:type="dxa" w:w="220"/>
            </w:tcMar>
          </w:tcPr>
          <w:p>
            <w:pPr>
              <w:spacing w:after="60"/>
            </w:pPr>
            <w:r>
              <w:rPr>
                <w:rFonts w:ascii="Calibri" w:cs="Calibri" w:eastAsia="Calibri" w:hAnsi="Calibri"/>
                <w:b/>
                <w:bCs/>
                <w:color w:val="1E2761"/>
                <w:sz w:val="19"/>
                <w:szCs w:val="19"/>
              </w:rPr>
              <w:t xml:space="preserve">The signals object — send what you already know</w:t>
            </w:r>
          </w:p>
          <w:p>
            <w:r>
              <w:rPr>
                <w:rFonts w:ascii="Calibri" w:cs="Calibri" w:eastAsia="Calibri" w:hAnsi="Calibri"/>
                <w:color w:val="2A2E33"/>
                <w:sz w:val="19"/>
                <w:szCs w:val="19"/>
              </w:rPr>
              <w:t xml:space="preserve">Fraud360 does not re-derive per-session observations (e.g. "is this a new device paying a new beneficiary") inside the 80–150 ms budget, because a freshly rebuilt context has no memory of prior sessions and would misreport every payment as novel. Your channel is the better-informed party for this one figure — send it as signals.risk_signals (a small integer count of risk indicators your channel has already flagged, e.g. new device + new payee + odd hour = 3). If omitted, the rule that depends on it is reported in the response's skipped array with its reason, not silently treated as zero.</w:t>
            </w:r>
          </w:p>
        </w:tc>
      </w:tr>
    </w:tbl>
    <w:p>
      <w:pPr>
        <w:pStyle w:val="Heading3"/>
        <w:spacing w:after="100" w:before="240"/>
      </w:pPr>
      <w:r>
        <w:rPr>
          <w:rFonts w:ascii="Calibri" w:cs="Calibri" w:eastAsia="Calibri" w:hAnsi="Calibri"/>
          <w:b/>
          <w:bCs/>
          <w:color w:val="44546A"/>
          <w:sz w:val="21"/>
          <w:szCs w:val="21"/>
        </w:rPr>
        <w:t xml:space="preserve">Response fields</w:t>
      </w:r>
    </w:p>
    <w:tbl>
      <w:tblPr>
        <w:tblW w:type="dxa" w:w="9350"/>
        <w:tblBorders>
          <w:top w:val="single" w:color="C7D2E6" w:sz="4"/>
          <w:left w:val="single" w:color="C7D2E6" w:sz="4"/>
          <w:bottom w:val="single" w:color="C7D2E6" w:sz="4"/>
          <w:right w:val="single" w:color="C7D2E6" w:sz="4"/>
          <w:insideH w:val="single" w:color="C7D2E6" w:sz="4"/>
          <w:insideV w:val="single" w:color="C7D2E6" w:sz="4"/>
        </w:tblBorders>
      </w:tblPr>
      <w:tblGrid>
        <w:gridCol w:w="2100"/>
        <w:gridCol w:w="2000"/>
        <w:gridCol w:w="5250"/>
      </w:tblGrid>
      <w:tr>
        <w:trPr>
          <w:tblHeader/>
        </w:trPr>
        <w:tc>
          <w:tcPr>
            <w:tcW w:type="dxa" w:w="21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Field</w:t>
            </w:r>
          </w:p>
        </w:tc>
        <w:tc>
          <w:tcPr>
            <w:tcW w:type="dxa" w:w="20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Type</w:t>
            </w:r>
          </w:p>
        </w:tc>
        <w:tc>
          <w:tcPr>
            <w:tcW w:type="dxa" w:w="52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Meaning</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action</w:t>
            </w:r>
          </w:p>
        </w:tc>
        <w:tc>
          <w:tcPr>
            <w:tcW w:type="dxa" w:w="20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string</w:t>
            </w:r>
          </w:p>
        </w:tc>
        <w:tc>
          <w:tcPr>
            <w:tcW w:type="dxa" w:w="5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What your system must act on: allow / decline / challenge. This already accounts for shadow mode (below) — always act on this field, never on would_be.</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would_be</w:t>
            </w:r>
          </w:p>
        </w:tc>
        <w:tc>
          <w:tcPr>
            <w:tcW w:type="dxa" w:w="20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string</w:t>
            </w:r>
          </w:p>
        </w:tc>
        <w:tc>
          <w:tcPr>
            <w:tcW w:type="dxa" w:w="5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What enforcement would have returned, whether or not shadow mode suppressed it. For reporting only — never act on this field.</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outcome</w:t>
            </w:r>
          </w:p>
        </w:tc>
        <w:tc>
          <w:tcPr>
            <w:tcW w:type="dxa" w:w="20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string</w:t>
            </w:r>
          </w:p>
        </w:tc>
        <w:tc>
          <w:tcPr>
            <w:tcW w:type="dxa" w:w="5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clean (screened, nothing matched) / matched / not_screened / store_unavailable / budget_exceeded. See §4.6.</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enforced</w:t>
            </w:r>
          </w:p>
        </w:tc>
        <w:tc>
          <w:tcPr>
            <w:tcW w:type="dxa" w:w="20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boolean</w:t>
            </w:r>
          </w:p>
        </w:tc>
        <w:tc>
          <w:tcPr>
            <w:tcW w:type="dxa" w:w="5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true if action reflects real enforcement; false if the rail is in shadow mode (action is forced to allow).</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shadow</w:t>
            </w:r>
          </w:p>
        </w:tc>
        <w:tc>
          <w:tcPr>
            <w:tcW w:type="dxa" w:w="20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boolean</w:t>
            </w:r>
          </w:p>
        </w:tc>
        <w:tc>
          <w:tcPr>
            <w:tcW w:type="dxa" w:w="5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Whether this rail is currently in shadow mode.</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score</w:t>
            </w:r>
          </w:p>
        </w:tc>
        <w:tc>
          <w:tcPr>
            <w:tcW w:type="dxa" w:w="20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number</w:t>
            </w:r>
          </w:p>
        </w:tc>
        <w:tc>
          <w:tcPr>
            <w:tcW w:type="dxa" w:w="5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Aggregate rule score.</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severity</w:t>
            </w:r>
          </w:p>
        </w:tc>
        <w:tc>
          <w:tcPr>
            <w:tcW w:type="dxa" w:w="20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string</w:t>
            </w:r>
          </w:p>
        </w:tc>
        <w:tc>
          <w:tcPr>
            <w:tcW w:type="dxa" w:w="5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low / medium / high / critical, per the tenant's configured bands.</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matched</w:t>
            </w:r>
          </w:p>
        </w:tc>
        <w:tc>
          <w:tcPr>
            <w:tcW w:type="dxa" w:w="20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array</w:t>
            </w:r>
          </w:p>
        </w:tc>
        <w:tc>
          <w:tcPr>
            <w:tcW w:type="dxa" w:w="5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Each matched rule: rule_id, family, sub_rule_ref, observed, threshold, observed_unit, reason.</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skipped</w:t>
            </w:r>
          </w:p>
        </w:tc>
        <w:tc>
          <w:tcPr>
            <w:tcW w:type="dxa" w:w="20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array</w:t>
            </w:r>
          </w:p>
        </w:tc>
        <w:tc>
          <w:tcPr>
            <w:tcW w:type="dxa" w:w="5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Each rule that could not be measured for this payment, with a reason. Not a failure — an honest "not evaluated", never counted as a pass.</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took_ms</w:t>
            </w:r>
          </w:p>
        </w:tc>
        <w:tc>
          <w:tcPr>
            <w:tcW w:type="dxa" w:w="20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number</w:t>
            </w:r>
          </w:p>
        </w:tc>
        <w:tc>
          <w:tcPr>
            <w:tcW w:type="dxa" w:w="5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How long Fraud360 took to answer.</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budget_ms</w:t>
            </w:r>
          </w:p>
        </w:tc>
        <w:tc>
          <w:tcPr>
            <w:tcW w:type="dxa" w:w="20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integer</w:t>
            </w:r>
          </w:p>
        </w:tc>
        <w:tc>
          <w:tcPr>
            <w:tcW w:type="dxa" w:w="5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The latency budget configured for this rail (§4.3).</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policy_version</w:t>
            </w:r>
          </w:p>
        </w:tc>
        <w:tc>
          <w:tcPr>
            <w:tcW w:type="dxa" w:w="20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string</w:t>
            </w:r>
          </w:p>
        </w:tc>
        <w:tc>
          <w:tcPr>
            <w:tcW w:type="dxa" w:w="5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Which configuration version produced this decision — needed to interpret a decision correctly months later, after thresholds have moved.</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reference</w:t>
            </w:r>
          </w:p>
        </w:tc>
        <w:tc>
          <w:tcPr>
            <w:tcW w:type="dxa" w:w="20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string</w:t>
            </w:r>
          </w:p>
        </w:tc>
        <w:tc>
          <w:tcPr>
            <w:tcW w:type="dxa" w:w="5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Fraud360's own reference for this decision, for later lookup/dispute.</w:t>
            </w:r>
          </w:p>
        </w:tc>
      </w:tr>
    </w:tbl>
    <w:p>
      <w:pPr>
        <w:pStyle w:val="Heading2"/>
        <w:spacing w:after="140" w:before="360"/>
      </w:pPr>
      <w:r>
        <w:rPr>
          <w:rFonts w:ascii="Calibri" w:cs="Calibri" w:eastAsia="Calibri" w:hAnsi="Calibri"/>
          <w:b/>
          <w:bCs/>
          <w:color w:val="1E2761"/>
          <w:sz w:val="24"/>
          <w:szCs w:val="24"/>
        </w:rPr>
        <w:t xml:space="preserve">4.3  Rail Capabilities, Latency Budgets and Fail Policy</w:t>
      </w:r>
    </w:p>
    <w:p>
      <w:pPr>
        <w:spacing w:after="160" w:line="276"/>
      </w:pPr>
      <w:r>
        <w:rPr>
          <w:rFonts w:ascii="Calibri" w:cs="Calibri" w:eastAsia="Calibri" w:hAnsi="Calibri"/>
          <w:sz w:val="21"/>
          <w:szCs w:val="21"/>
        </w:rPr>
        <w:t xml:space="preserve">An action your rail cannot actually execute is worse than no action at all — a challenge returned to a rail with no step-up path is simply ignored by the switch while the record shows a control that fired. Fraud360 enforces this by construction: a rail is only ever configured with actions it can carry.</w:t>
      </w:r>
    </w:p>
    <w:tbl>
      <w:tblPr>
        <w:tblW w:type="dxa" w:w="9350"/>
        <w:tblBorders>
          <w:top w:val="single" w:color="C7D2E6" w:sz="4"/>
          <w:left w:val="single" w:color="C7D2E6" w:sz="4"/>
          <w:bottom w:val="single" w:color="C7D2E6" w:sz="4"/>
          <w:right w:val="single" w:color="C7D2E6" w:sz="4"/>
          <w:insideH w:val="single" w:color="C7D2E6" w:sz="4"/>
          <w:insideV w:val="single" w:color="C7D2E6" w:sz="4"/>
        </w:tblBorders>
      </w:tblPr>
      <w:tblGrid>
        <w:gridCol w:w="1100"/>
        <w:gridCol w:w="2300"/>
        <w:gridCol w:w="3400"/>
        <w:gridCol w:w="1500"/>
        <w:gridCol w:w="1050"/>
      </w:tblGrid>
      <w:tr>
        <w:trPr>
          <w:tblHeader/>
        </w:trPr>
        <w:tc>
          <w:tcPr>
            <w:tcW w:type="dxa" w:w="11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Rail</w:t>
            </w:r>
          </w:p>
        </w:tc>
        <w:tc>
          <w:tcPr>
            <w:tcW w:type="dxa" w:w="23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Actions it can carry</w:t>
            </w:r>
          </w:p>
        </w:tc>
        <w:tc>
          <w:tcPr>
            <w:tcW w:type="dxa" w:w="34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Why</w:t>
            </w:r>
          </w:p>
        </w:tc>
        <w:tc>
          <w:tcPr>
            <w:tcW w:type="dxa" w:w="15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Latency budget (starter policy)</w:t>
            </w:r>
          </w:p>
        </w:tc>
        <w:tc>
          <w:tcPr>
            <w:tcW w:type="dxa" w:w="10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Fail policy</w:t>
            </w:r>
          </w:p>
        </w:tc>
      </w:tr>
      <w:tr>
        <w:tc>
          <w:tcPr>
            <w:tcW w:type="dxa" w:w="11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UPI</w:t>
            </w:r>
          </w:p>
        </w:tc>
        <w:tc>
          <w:tcPr>
            <w:tcW w:type="dxa" w:w="23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decline only</w:t>
            </w:r>
          </w:p>
        </w:tc>
        <w:tc>
          <w:tcPr>
            <w:tcW w:type="dxa" w:w="3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The PIN is captured at the remitter PSP before the request reaches the bank — the customer has already authenticated, so the only possible answers are approve or decline. A returned challenge would be ignored.</w:t>
            </w:r>
          </w:p>
        </w:tc>
        <w:tc>
          <w:tcPr>
            <w:tcW w:type="dxa" w:w="15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80 ms</w:t>
            </w:r>
          </w:p>
        </w:tc>
        <w:tc>
          <w:tcPr>
            <w:tcW w:type="dxa" w:w="10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open*</w:t>
            </w:r>
          </w:p>
        </w:tc>
      </w:tr>
      <w:tr>
        <w:tc>
          <w:tcPr>
            <w:tcW w:type="dxa" w:w="11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IMPS</w:t>
            </w:r>
          </w:p>
        </w:tc>
        <w:tc>
          <w:tcPr>
            <w:tcW w:type="dxa" w:w="23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decline only</w:t>
            </w:r>
          </w:p>
        </w:tc>
        <w:tc>
          <w:tcPr>
            <w:tcW w:type="dxa" w:w="3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Authenticated upstream in the initiating channel; there is no step-up the beneficiary-side decision can insert.</w:t>
            </w:r>
          </w:p>
        </w:tc>
        <w:tc>
          <w:tcPr>
            <w:tcW w:type="dxa" w:w="15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150 ms</w:t>
            </w:r>
          </w:p>
        </w:tc>
        <w:tc>
          <w:tcPr>
            <w:tcW w:type="dxa" w:w="10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open*</w:t>
            </w:r>
          </w:p>
        </w:tc>
      </w:tr>
      <w:tr>
        <w:tc>
          <w:tcPr>
            <w:tcW w:type="dxa" w:w="11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CARD</w:t>
            </w:r>
          </w:p>
        </w:tc>
        <w:tc>
          <w:tcPr>
            <w:tcW w:type="dxa" w:w="23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challenge, decline</w:t>
            </w:r>
          </w:p>
        </w:tc>
        <w:tc>
          <w:tcPr>
            <w:tcW w:type="dxa" w:w="3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3-D Secure makes a challenge a first-class protocol outcome — the one rail in this integration where a genuine step-up is available inside the authorisation.</w:t>
            </w:r>
          </w:p>
        </w:tc>
        <w:tc>
          <w:tcPr>
            <w:tcW w:type="dxa" w:w="15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100 ms</w:t>
            </w:r>
          </w:p>
        </w:tc>
        <w:tc>
          <w:tcPr>
            <w:tcW w:type="dxa" w:w="10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open*</w:t>
            </w:r>
          </w:p>
        </w:tc>
      </w:tr>
    </w:tbl>
    <w:p>
      <w:pPr>
        <w:spacing w:after="160" w:line="276"/>
      </w:pPr>
      <w:r>
        <w:rPr>
          <w:rFonts w:ascii="Calibri" w:cs="Calibri" w:eastAsia="Calibri" w:hAnsi="Calibri"/>
          <w:i/>
          <w:iCs/>
          <w:sz w:val="21"/>
          <w:szCs w:val="21"/>
        </w:rPr>
        <w:t xml:space="preserve">* fail policy is configured per rail by the bank, not defaulted by Fraud360 — see box below.</w:t>
      </w:r>
    </w:p>
    <w:tbl>
      <w:tblPr>
        <w:tblW w:type="dxa" w:w="9350"/>
        <w:tblBorders>
          <w:top w:val="single" w:color="FCEEEE" w:sz="4"/>
          <w:left w:val="single" w:color="A23B3B" w:sz="24"/>
          <w:bottom w:val="single" w:color="FCEEEE" w:sz="4"/>
          <w:right w:val="single" w:color="FCEEEE" w:sz="4"/>
          <w:insideH w:val="none" w:color="FCEEEE" w:sz="0"/>
          <w:insideV w:val="none" w:color="FCEEEE" w:sz="0"/>
        </w:tblBorders>
      </w:tblPr>
      <w:tblGrid>
        <w:gridCol w:w="9350"/>
      </w:tblGrid>
      <w:tr>
        <w:tc>
          <w:tcPr>
            <w:tcW w:type="dxa" w:w="9350"/>
            <w:shd w:fill="FCEEEE" w:color="auto" w:val="clear"/>
            <w:tcMar>
              <w:top w:type="dxa" w:w="140"/>
              <w:left w:type="dxa" w:w="220"/>
              <w:bottom w:type="dxa" w:w="140"/>
              <w:right w:type="dxa" w:w="220"/>
            </w:tcMar>
          </w:tcPr>
          <w:p>
            <w:pPr>
              <w:spacing w:after="60"/>
            </w:pPr>
            <w:r>
              <w:rPr>
                <w:rFonts w:ascii="Calibri" w:cs="Calibri" w:eastAsia="Calibri" w:hAnsi="Calibri"/>
                <w:b/>
                <w:bCs/>
                <w:color w:val="A23B3B"/>
                <w:sz w:val="19"/>
                <w:szCs w:val="19"/>
              </w:rPr>
              <w:t xml:space="preserve">What "fail open" means, and who decides it</w:t>
            </w:r>
          </w:p>
          <w:p>
            <w:r>
              <w:rPr>
                <w:rFonts w:ascii="Calibri" w:cs="Calibri" w:eastAsia="Calibri" w:hAnsi="Calibri"/>
                <w:color w:val="2A2E33"/>
                <w:sz w:val="19"/>
                <w:szCs w:val="19"/>
              </w:rPr>
              <w:t xml:space="preserve">If Fraud360 is unreachable or does not answer inside your timeout, your system applies its own timeout and the rail's fail policy decides what happens next: fail-open lets the payment proceed unscreened, fail-closed declines it. Fraud360 never defaults this silently — every inline rail has an explicit fail policy set by the bank. Confirm the fail policy for each rail with your Fraud360 onboarding contact before go-live; it determines what your integration should do on a timeout, and it may differ from the starter values shown above once the bank tunes its own policy.</w:t>
            </w:r>
          </w:p>
        </w:tc>
      </w:tr>
    </w:tbl>
    <w:p>
      <w:pPr>
        <w:spacing w:after="160" w:line="276"/>
      </w:pPr>
      <w:r>
        <w:rPr>
          <w:rFonts w:ascii="Calibri" w:cs="Calibri" w:eastAsia="Calibri" w:hAnsi="Calibri"/>
          <w:sz w:val="21"/>
          <w:szCs w:val="21"/>
        </w:rPr>
        <w:t xml:space="preserve">Requesting an action a rail cannot carry is a configuration error the bank makes when setting up the policy, not something your integration triggers — but if you ever see an </w:t>
      </w:r>
      <w:r>
        <w:rPr>
          <w:rFonts w:ascii="Consolas" w:cs="Consolas" w:eastAsia="Consolas" w:hAnsi="Consolas"/>
          <w:sz w:val="19"/>
          <w:szCs w:val="19"/>
        </w:rPr>
        <w:t xml:space="preserve">action</w:t>
      </w:r>
      <w:r>
        <w:rPr>
          <w:rFonts w:ascii="Calibri" w:cs="Calibri" w:eastAsia="Calibri" w:hAnsi="Calibri"/>
          <w:sz w:val="21"/>
          <w:szCs w:val="21"/>
        </w:rPr>
        <w:t xml:space="preserve"> value your rail cannot execute, treat it as a defect to report immediately rather than something to work around.</w:t>
      </w:r>
    </w:p>
    <w:p>
      <w:pPr>
        <w:pStyle w:val="Heading2"/>
        <w:spacing w:after="140" w:before="360"/>
      </w:pPr>
      <w:r>
        <w:rPr>
          <w:rFonts w:ascii="Calibri" w:cs="Calibri" w:eastAsia="Calibri" w:hAnsi="Calibri"/>
          <w:b/>
          <w:bCs/>
          <w:color w:val="1E2761"/>
          <w:sz w:val="24"/>
          <w:szCs w:val="24"/>
        </w:rPr>
        <w:t xml:space="preserve">4.4  Shadow Mode</w:t>
      </w:r>
    </w:p>
    <w:p>
      <w:pPr>
        <w:spacing w:after="160" w:line="276"/>
      </w:pPr>
      <w:r>
        <w:rPr>
          <w:rFonts w:ascii="Calibri" w:cs="Calibri" w:eastAsia="Calibri" w:hAnsi="Calibri"/>
          <w:sz w:val="21"/>
          <w:szCs w:val="21"/>
        </w:rPr>
        <w:t xml:space="preserve">Every rail starts in shadow mode (</w:t>
      </w:r>
      <w:r>
        <w:rPr>
          <w:rFonts w:ascii="Consolas" w:cs="Consolas" w:eastAsia="Consolas" w:hAnsi="Consolas"/>
          <w:sz w:val="19"/>
          <w:szCs w:val="19"/>
        </w:rPr>
        <w:t xml:space="preserve">shadow: true</w:t>
      </w:r>
      <w:r>
        <w:rPr>
          <w:rFonts w:ascii="Calibri" w:cs="Calibri" w:eastAsia="Calibri" w:hAnsi="Calibri"/>
          <w:sz w:val="21"/>
          <w:szCs w:val="21"/>
        </w:rPr>
        <w:t xml:space="preserve">). Fraud360 computes the real decision, records what it </w:t>
      </w:r>
      <w:r>
        <w:rPr>
          <w:rFonts w:ascii="Calibri" w:cs="Calibri" w:eastAsia="Calibri" w:hAnsi="Calibri"/>
          <w:i/>
          <w:iCs/>
          <w:color w:val="44546A"/>
          <w:sz w:val="21"/>
          <w:szCs w:val="21"/>
        </w:rPr>
        <w:t xml:space="preserve">would</w:t>
      </w:r>
      <w:r>
        <w:t xml:space="preserve"> have returned in </w:t>
      </w:r>
      <w:r>
        <w:rPr>
          <w:rFonts w:ascii="Consolas" w:cs="Consolas" w:eastAsia="Consolas" w:hAnsi="Consolas"/>
          <w:sz w:val="19"/>
          <w:szCs w:val="19"/>
        </w:rPr>
        <w:t xml:space="preserve">would_be</w:t>
      </w:r>
      <w:r>
        <w:t xml:space="preserve">, and always returns </w:t>
      </w:r>
      <w:r>
        <w:rPr>
          <w:rFonts w:ascii="Consolas" w:cs="Consolas" w:eastAsia="Consolas" w:hAnsi="Consolas"/>
          <w:sz w:val="19"/>
          <w:szCs w:val="19"/>
        </w:rPr>
        <w:t xml:space="preserve">action: "allow"</w:t>
      </w:r>
      <w:r>
        <w:rPr>
          <w:rFonts w:ascii="Calibri" w:cs="Calibri" w:eastAsia="Calibri" w:hAnsi="Calibri"/>
          <w:sz w:val="21"/>
          <w:szCs w:val="21"/>
        </w:rPr>
        <w:t xml:space="preserve"> while shadow is on — so the bank can run Fraud360 against live traffic and measure false-positive cost before a single real payment is ever declined. Enforcement is turned on per rail by the bank as a deliberate configuration change with its own approval trail; it is not something your integration requests or controls. Your integration code should be written once, against </w:t>
      </w:r>
      <w:r>
        <w:rPr>
          <w:rFonts w:ascii="Consolas" w:cs="Consolas" w:eastAsia="Consolas" w:hAnsi="Consolas"/>
          <w:sz w:val="19"/>
          <w:szCs w:val="19"/>
        </w:rPr>
        <w:t xml:space="preserve">action</w:t>
      </w:r>
      <w:r>
        <w:rPr>
          <w:rFonts w:ascii="Calibri" w:cs="Calibri" w:eastAsia="Calibri" w:hAnsi="Calibri"/>
          <w:sz w:val="21"/>
          <w:szCs w:val="21"/>
        </w:rPr>
        <w:t xml:space="preserve">, and does not need to change when the bank later turns enforcement on.</w:t>
      </w:r>
    </w:p>
    <w:p>
      <w:pPr>
        <w:pStyle w:val="Heading2"/>
        <w:spacing w:after="140" w:before="360"/>
      </w:pPr>
      <w:r>
        <w:rPr>
          <w:rFonts w:ascii="Calibri" w:cs="Calibri" w:eastAsia="Calibri" w:hAnsi="Calibri"/>
          <w:b/>
          <w:bCs/>
          <w:color w:val="1E2761"/>
          <w:sz w:val="24"/>
          <w:szCs w:val="24"/>
        </w:rPr>
        <w:t xml:space="preserve">4.5  Worked Examples</w:t>
      </w:r>
    </w:p>
    <w:p>
      <w:pPr>
        <w:spacing w:after="160" w:line="276"/>
      </w:pPr>
      <w:r>
        <w:rPr>
          <w:rFonts w:ascii="Calibri" w:cs="Calibri" w:eastAsia="Calibri" w:hAnsi="Calibri"/>
          <w:sz w:val="21"/>
          <w:szCs w:val="21"/>
        </w:rPr>
        <w:t xml:space="preserve">All three payloads below are the same endpoint and the same contract; only the rail, the budget and the outcome differ. Bearer tokens are abbreviated; nothing else is edited.</w:t>
      </w:r>
    </w:p>
    <w:p>
      <w:pPr>
        <w:pStyle w:val="Heading3"/>
        <w:spacing w:after="100" w:before="240"/>
      </w:pPr>
      <w:r>
        <w:rPr>
          <w:rFonts w:ascii="Calibri" w:cs="Calibri" w:eastAsia="Calibri" w:hAnsi="Calibri"/>
          <w:b/>
          <w:bCs/>
          <w:color w:val="44546A"/>
          <w:sz w:val="21"/>
          <w:szCs w:val="21"/>
        </w:rPr>
        <w:t xml:space="preserve">Example 1 — UPI, clean (allowed)</w:t>
      </w:r>
    </w:p>
    <w:p>
      <w:pPr>
        <w:spacing w:after="60" w:before="120"/>
      </w:pPr>
      <w:r>
        <w:rPr>
          <w:rFonts w:ascii="Calibri" w:cs="Calibri" w:eastAsia="Calibri" w:hAnsi="Calibri"/>
          <w:b/>
          <w:bCs/>
          <w:color w:val="44546A"/>
          <w:spacing w:val="12"/>
          <w:sz w:val="16"/>
          <w:szCs w:val="16"/>
        </w:rPr>
        <w:t xml:space="preserve">REQUEST</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POST https://decision.fraud360.examplebank.co.in/decide?tenant_id=b3b90261-9663-46c3-b31f-e8afc4a65442</w:t>
            </w:r>
          </w:p>
          <w:p>
            <w:pPr>
              <w:spacing w:after="20"/>
            </w:pPr>
            <w:r>
              <w:rPr>
                <w:rFonts w:ascii="Consolas" w:cs="Consolas" w:eastAsia="Consolas" w:hAnsi="Consolas"/>
                <w:sz w:val="19"/>
                <w:szCs w:val="19"/>
              </w:rPr>
              <w:t xml:space="preserve">Authorization: Bearer eyJhbGciOiJIUzI1NiIsInR5cCI6...</w:t>
            </w:r>
          </w:p>
          <w:p>
            <w:pPr>
              <w:spacing w:after="20"/>
            </w:pPr>
            <w:r>
              <w:rPr>
                <w:rFonts w:ascii="Consolas" w:cs="Consolas" w:eastAsia="Consolas" w:hAnsi="Consolas"/>
                <w:sz w:val="19"/>
                <w:szCs w:val="19"/>
              </w:rPr>
              <w:t xml:space="preserve">Content-Type: application/json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"txn_ref": "UPI-2026-0817-000191",</w:t>
            </w:r>
          </w:p>
          <w:p>
            <w:pPr>
              <w:spacing w:after="20"/>
            </w:pPr>
            <w:r>
              <w:rPr>
                <w:rFonts w:ascii="Consolas" w:cs="Consolas" w:eastAsia="Consolas" w:hAnsi="Consolas"/>
                <w:sz w:val="19"/>
                <w:szCs w:val="19"/>
              </w:rPr>
              <w:t xml:space="preserve">  "rail": "UPI",</w:t>
            </w:r>
          </w:p>
          <w:p>
            <w:pPr>
              <w:spacing w:after="20"/>
            </w:pPr>
            <w:r>
              <w:rPr>
                <w:rFonts w:ascii="Consolas" w:cs="Consolas" w:eastAsia="Consolas" w:hAnsi="Consolas"/>
                <w:sz w:val="19"/>
                <w:szCs w:val="19"/>
              </w:rPr>
              <w:t xml:space="preserve">  "debtor_account": "AC-HLD-CALM",</w:t>
            </w:r>
          </w:p>
          <w:p>
            <w:pPr>
              <w:spacing w:after="20"/>
            </w:pPr>
            <w:r>
              <w:rPr>
                <w:rFonts w:ascii="Consolas" w:cs="Consolas" w:eastAsia="Consolas" w:hAnsi="Consolas"/>
                <w:sz w:val="19"/>
                <w:szCs w:val="19"/>
              </w:rPr>
              <w:t xml:space="preserve">  "creditor_account": "AC-BEN-77120",</w:t>
            </w:r>
          </w:p>
          <w:p>
            <w:pPr>
              <w:spacing w:after="20"/>
            </w:pPr>
            <w:r>
              <w:rPr>
                <w:rFonts w:ascii="Consolas" w:cs="Consolas" w:eastAsia="Consolas" w:hAnsi="Consolas"/>
                <w:sz w:val="19"/>
                <w:szCs w:val="19"/>
              </w:rPr>
              <w:t xml:space="preserve">  "amount_paise": 250000,</w:t>
            </w:r>
          </w:p>
          <w:p>
            <w:pPr>
              <w:spacing w:after="20"/>
            </w:pPr>
            <w:r>
              <w:rPr>
                <w:rFonts w:ascii="Consolas" w:cs="Consolas" w:eastAsia="Consolas" w:hAnsi="Consolas"/>
                <w:sz w:val="19"/>
                <w:szCs w:val="19"/>
              </w:rPr>
              <w:t xml:space="preserve">  "channel": "mobile",</w:t>
            </w:r>
          </w:p>
          <w:p>
            <w:pPr>
              <w:spacing w:after="20"/>
            </w:pPr>
            <w:r>
              <w:rPr>
                <w:rFonts w:ascii="Consolas" w:cs="Consolas" w:eastAsia="Consolas" w:hAnsi="Consolas"/>
                <w:sz w:val="19"/>
                <w:szCs w:val="19"/>
              </w:rPr>
              <w:t xml:space="preserve">  "device_id": "d41d8cd98f00b204",</w:t>
            </w:r>
          </w:p>
          <w:p>
            <w:pPr>
              <w:spacing w:after="20"/>
            </w:pPr>
            <w:r>
              <w:rPr>
                <w:rFonts w:ascii="Consolas" w:cs="Consolas" w:eastAsia="Consolas" w:hAnsi="Consolas"/>
                <w:sz w:val="19"/>
                <w:szCs w:val="19"/>
              </w:rPr>
              <w:t xml:space="preserve">  "signals": { "risk_signals": 0 }</w:t>
            </w:r>
          </w:p>
          <w:p>
            <w:pPr>
              <w:spacing w:after="20"/>
            </w:pPr>
            <w:r>
              <w:rPr>
                <w:rFonts w:ascii="Consolas" w:cs="Consolas" w:eastAsia="Consolas" w:hAnsi="Consolas"/>
                <w:sz w:val="19"/>
                <w:szCs w:val="19"/>
              </w:rPr>
              <w:t xml:space="preserve">}</w:t>
            </w:r>
          </w:p>
        </w:tc>
      </w:tr>
    </w:tbl>
    <w:p>
      <w:pPr>
        <w:spacing w:after="60" w:before="120"/>
      </w:pPr>
      <w:r>
        <w:rPr>
          <w:rFonts w:ascii="Calibri" w:cs="Calibri" w:eastAsia="Calibri" w:hAnsi="Calibri"/>
          <w:b/>
          <w:bCs/>
          <w:color w:val="1B7A43"/>
          <w:spacing w:val="12"/>
          <w:sz w:val="16"/>
          <w:szCs w:val="16"/>
        </w:rPr>
        <w:t xml:space="preserve">RESPONSE — 200, 4.2 MS</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"reference": "72492b3d91e24a4b",</w:t>
            </w:r>
          </w:p>
          <w:p>
            <w:pPr>
              <w:spacing w:after="20"/>
            </w:pPr>
            <w:r>
              <w:rPr>
                <w:rFonts w:ascii="Consolas" w:cs="Consolas" w:eastAsia="Consolas" w:hAnsi="Consolas"/>
                <w:sz w:val="19"/>
                <w:szCs w:val="19"/>
              </w:rPr>
              <w:t xml:space="preserve">  "action": "allow",</w:t>
            </w:r>
          </w:p>
          <w:p>
            <w:pPr>
              <w:spacing w:after="20"/>
            </w:pPr>
            <w:r>
              <w:rPr>
                <w:rFonts w:ascii="Consolas" w:cs="Consolas" w:eastAsia="Consolas" w:hAnsi="Consolas"/>
                <w:sz w:val="19"/>
                <w:szCs w:val="19"/>
              </w:rPr>
              <w:t xml:space="preserve">  "would_be": "allow",</w:t>
            </w:r>
          </w:p>
          <w:p>
            <w:pPr>
              <w:spacing w:after="20"/>
            </w:pPr>
            <w:r>
              <w:rPr>
                <w:rFonts w:ascii="Consolas" w:cs="Consolas" w:eastAsia="Consolas" w:hAnsi="Consolas"/>
                <w:sz w:val="19"/>
                <w:szCs w:val="19"/>
              </w:rPr>
              <w:t xml:space="preserve">  "outcome": "clean",</w:t>
            </w:r>
          </w:p>
          <w:p>
            <w:pPr>
              <w:spacing w:after="20"/>
            </w:pPr>
            <w:r>
              <w:rPr>
                <w:rFonts w:ascii="Consolas" w:cs="Consolas" w:eastAsia="Consolas" w:hAnsi="Consolas"/>
                <w:sz w:val="19"/>
                <w:szCs w:val="19"/>
              </w:rPr>
              <w:t xml:space="preserve">  "score": 0.0,</w:t>
            </w:r>
          </w:p>
          <w:p>
            <w:pPr>
              <w:spacing w:after="20"/>
            </w:pPr>
            <w:r>
              <w:rPr>
                <w:rFonts w:ascii="Consolas" w:cs="Consolas" w:eastAsia="Consolas" w:hAnsi="Consolas"/>
                <w:sz w:val="19"/>
                <w:szCs w:val="19"/>
              </w:rPr>
              <w:t xml:space="preserve">  "severity": "low",</w:t>
            </w:r>
          </w:p>
          <w:p>
            <w:pPr>
              <w:spacing w:after="20"/>
            </w:pPr>
            <w:r>
              <w:rPr>
                <w:rFonts w:ascii="Consolas" w:cs="Consolas" w:eastAsia="Consolas" w:hAnsi="Consolas"/>
                <w:sz w:val="19"/>
                <w:szCs w:val="19"/>
              </w:rPr>
              <w:t xml:space="preserve">  "enforced": false,</w:t>
            </w:r>
          </w:p>
          <w:p>
            <w:pPr>
              <w:spacing w:after="20"/>
            </w:pPr>
            <w:r>
              <w:rPr>
                <w:rFonts w:ascii="Consolas" w:cs="Consolas" w:eastAsia="Consolas" w:hAnsi="Consolas"/>
                <w:sz w:val="19"/>
                <w:szCs w:val="19"/>
              </w:rPr>
              <w:t xml:space="preserve">  "shadow": true,</w:t>
            </w:r>
          </w:p>
          <w:p>
            <w:pPr>
              <w:spacing w:after="20"/>
            </w:pPr>
            <w:r>
              <w:rPr>
                <w:rFonts w:ascii="Consolas" w:cs="Consolas" w:eastAsia="Consolas" w:hAnsi="Consolas"/>
                <w:sz w:val="19"/>
                <w:szCs w:val="19"/>
              </w:rPr>
              <w:t xml:space="preserve">  "matched": [],</w:t>
            </w:r>
          </w:p>
          <w:p>
            <w:pPr>
              <w:spacing w:after="20"/>
            </w:pPr>
            <w:r>
              <w:rPr>
                <w:rFonts w:ascii="Consolas" w:cs="Consolas" w:eastAsia="Consolas" w:hAnsi="Consolas"/>
                <w:sz w:val="19"/>
                <w:szCs w:val="19"/>
              </w:rPr>
              <w:t xml:space="preserve">  "skipped": [ /* rules not measurable from this payload alone, each with its reason */ ],</w:t>
            </w:r>
          </w:p>
          <w:p>
            <w:pPr>
              <w:spacing w:after="20"/>
            </w:pPr>
            <w:r>
              <w:rPr>
                <w:rFonts w:ascii="Consolas" w:cs="Consolas" w:eastAsia="Consolas" w:hAnsi="Consolas"/>
                <w:sz w:val="19"/>
                <w:szCs w:val="19"/>
              </w:rPr>
              <w:t xml:space="preserve">  "took_ms": 4.16,</w:t>
            </w:r>
          </w:p>
          <w:p>
            <w:pPr>
              <w:spacing w:after="20"/>
            </w:pPr>
            <w:r>
              <w:rPr>
                <w:rFonts w:ascii="Consolas" w:cs="Consolas" w:eastAsia="Consolas" w:hAnsi="Consolas"/>
                <w:sz w:val="19"/>
                <w:szCs w:val="19"/>
              </w:rPr>
              <w:t xml:space="preserve">  "budget_ms": 80,</w:t>
            </w:r>
          </w:p>
          <w:p>
            <w:pPr>
              <w:spacing w:after="20"/>
            </w:pPr>
            <w:r>
              <w:rPr>
                <w:rFonts w:ascii="Consolas" w:cs="Consolas" w:eastAsia="Consolas" w:hAnsi="Consolas"/>
                <w:sz w:val="19"/>
                <w:szCs w:val="19"/>
              </w:rPr>
              <w:t xml:space="preserve">  "policy_version": "1.0.0"</w:t>
            </w:r>
          </w:p>
          <w:p>
            <w:pPr>
              <w:spacing w:after="20"/>
            </w:pPr>
            <w:r>
              <w:rPr>
                <w:rFonts w:ascii="Consolas" w:cs="Consolas" w:eastAsia="Consolas" w:hAnsi="Consolas"/>
                <w:sz w:val="19"/>
                <w:szCs w:val="19"/>
              </w:rPr>
              <w:t xml:space="preserve">}</w:t>
            </w:r>
          </w:p>
        </w:tc>
      </w:tr>
    </w:tbl>
    <w:p>
      <w:pPr>
        <w:pStyle w:val="Heading3"/>
        <w:spacing w:after="100" w:before="240"/>
      </w:pPr>
      <w:r>
        <w:rPr>
          <w:rFonts w:ascii="Calibri" w:cs="Calibri" w:eastAsia="Calibri" w:hAnsi="Calibri"/>
          <w:b/>
          <w:bCs/>
          <w:color w:val="44546A"/>
          <w:sz w:val="21"/>
          <w:szCs w:val="21"/>
        </w:rPr>
        <w:t xml:space="preserve">Example 2 — UPI, matched (would be declined)</w:t>
      </w:r>
    </w:p>
    <w:p>
      <w:pPr>
        <w:spacing w:after="60" w:before="120"/>
      </w:pPr>
      <w:r>
        <w:rPr>
          <w:rFonts w:ascii="Calibri" w:cs="Calibri" w:eastAsia="Calibri" w:hAnsi="Calibri"/>
          <w:b/>
          <w:bCs/>
          <w:color w:val="44546A"/>
          <w:spacing w:val="12"/>
          <w:sz w:val="16"/>
          <w:szCs w:val="16"/>
        </w:rPr>
        <w:t xml:space="preserve">REQUEST</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POST https://decision.fraud360.examplebank.co.in/decide?tenant_id=b3b90261-9663-46c3-b31f-e8afc4a65442</w:t>
            </w:r>
          </w:p>
          <w:p>
            <w:pPr>
              <w:spacing w:after="20"/>
            </w:pPr>
            <w:r>
              <w:rPr>
                <w:rFonts w:ascii="Consolas" w:cs="Consolas" w:eastAsia="Consolas" w:hAnsi="Consolas"/>
                <w:sz w:val="19"/>
                <w:szCs w:val="19"/>
              </w:rPr>
              <w:t xml:space="preserve">Authorization: Bearer eyJhbGciOiJIUzI1NiIsInR5cCI6...</w:t>
            </w:r>
          </w:p>
          <w:p>
            <w:pPr>
              <w:spacing w:after="20"/>
            </w:pPr>
            <w:r>
              <w:rPr>
                <w:rFonts w:ascii="Consolas" w:cs="Consolas" w:eastAsia="Consolas" w:hAnsi="Consolas"/>
                <w:sz w:val="19"/>
                <w:szCs w:val="19"/>
              </w:rPr>
              <w:t xml:space="preserve">Content-Type: application/json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"txn_ref": "UPI-2026-0817-000192",</w:t>
            </w:r>
          </w:p>
          <w:p>
            <w:pPr>
              <w:spacing w:after="20"/>
            </w:pPr>
            <w:r>
              <w:rPr>
                <w:rFonts w:ascii="Consolas" w:cs="Consolas" w:eastAsia="Consolas" w:hAnsi="Consolas"/>
                <w:sz w:val="19"/>
                <w:szCs w:val="19"/>
              </w:rPr>
              <w:t xml:space="preserve">  "rail": "UPI",</w:t>
            </w:r>
          </w:p>
          <w:p>
            <w:pPr>
              <w:spacing w:after="20"/>
            </w:pPr>
            <w:r>
              <w:rPr>
                <w:rFonts w:ascii="Consolas" w:cs="Consolas" w:eastAsia="Consolas" w:hAnsi="Consolas"/>
                <w:sz w:val="19"/>
                <w:szCs w:val="19"/>
              </w:rPr>
              <w:t xml:space="preserve">  "debtor_account": "AC-HLD-HOT",</w:t>
            </w:r>
          </w:p>
          <w:p>
            <w:pPr>
              <w:spacing w:after="20"/>
            </w:pPr>
            <w:r>
              <w:rPr>
                <w:rFonts w:ascii="Consolas" w:cs="Consolas" w:eastAsia="Consolas" w:hAnsi="Consolas"/>
                <w:sz w:val="19"/>
                <w:szCs w:val="19"/>
              </w:rPr>
              <w:t xml:space="preserve">  "creditor_account": "AC-BEN-99001",</w:t>
            </w:r>
          </w:p>
          <w:p>
            <w:pPr>
              <w:spacing w:after="20"/>
            </w:pPr>
            <w:r>
              <w:rPr>
                <w:rFonts w:ascii="Consolas" w:cs="Consolas" w:eastAsia="Consolas" w:hAnsi="Consolas"/>
                <w:sz w:val="19"/>
                <w:szCs w:val="19"/>
              </w:rPr>
              <w:t xml:space="preserve">  "amount_paise": 500000,</w:t>
            </w:r>
          </w:p>
          <w:p>
            <w:pPr>
              <w:spacing w:after="20"/>
            </w:pPr>
            <w:r>
              <w:rPr>
                <w:rFonts w:ascii="Consolas" w:cs="Consolas" w:eastAsia="Consolas" w:hAnsi="Consolas"/>
                <w:sz w:val="19"/>
                <w:szCs w:val="19"/>
              </w:rPr>
              <w:t xml:space="preserve">  "channel": "mobile",</w:t>
            </w:r>
          </w:p>
          <w:p>
            <w:pPr>
              <w:spacing w:after="20"/>
            </w:pPr>
            <w:r>
              <w:rPr>
                <w:rFonts w:ascii="Consolas" w:cs="Consolas" w:eastAsia="Consolas" w:hAnsi="Consolas"/>
                <w:sz w:val="19"/>
                <w:szCs w:val="19"/>
              </w:rPr>
              <w:t xml:space="preserve">  "device_id": "9e107d9d372bb682",</w:t>
            </w:r>
          </w:p>
          <w:p>
            <w:pPr>
              <w:spacing w:after="20"/>
            </w:pPr>
            <w:r>
              <w:rPr>
                <w:rFonts w:ascii="Consolas" w:cs="Consolas" w:eastAsia="Consolas" w:hAnsi="Consolas"/>
                <w:sz w:val="19"/>
                <w:szCs w:val="19"/>
              </w:rPr>
              <w:t xml:space="preserve">  "signals": { "risk_signals": 5 }</w:t>
            </w:r>
          </w:p>
          <w:p>
            <w:pPr>
              <w:spacing w:after="20"/>
            </w:pPr>
            <w:r>
              <w:rPr>
                <w:rFonts w:ascii="Consolas" w:cs="Consolas" w:eastAsia="Consolas" w:hAnsi="Consolas"/>
                <w:sz w:val="19"/>
                <w:szCs w:val="19"/>
              </w:rPr>
              <w:t xml:space="preserve">}</w:t>
            </w:r>
          </w:p>
        </w:tc>
      </w:tr>
    </w:tbl>
    <w:p>
      <w:pPr>
        <w:spacing w:after="60" w:before="120"/>
      </w:pPr>
      <w:r>
        <w:rPr>
          <w:rFonts w:ascii="Calibri" w:cs="Calibri" w:eastAsia="Calibri" w:hAnsi="Calibri"/>
          <w:b/>
          <w:bCs/>
          <w:color w:val="1B7A43"/>
          <w:spacing w:val="12"/>
          <w:sz w:val="16"/>
          <w:szCs w:val="16"/>
        </w:rPr>
        <w:t xml:space="preserve">RESPONSE — 200, 1.7 MS</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"reference": "77de6e3a0eba4fb6",</w:t>
            </w:r>
          </w:p>
          <w:p>
            <w:pPr>
              <w:spacing w:after="20"/>
            </w:pPr>
            <w:r>
              <w:rPr>
                <w:rFonts w:ascii="Consolas" w:cs="Consolas" w:eastAsia="Consolas" w:hAnsi="Consolas"/>
                <w:sz w:val="19"/>
                <w:szCs w:val="19"/>
              </w:rPr>
              <w:t xml:space="preserve">  "action": "allow",             // SHADOW: the payment proceeds</w:t>
            </w:r>
          </w:p>
          <w:p>
            <w:pPr>
              <w:spacing w:after="20"/>
            </w:pPr>
            <w:r>
              <w:rPr>
                <w:rFonts w:ascii="Consolas" w:cs="Consolas" w:eastAsia="Consolas" w:hAnsi="Consolas"/>
                <w:sz w:val="19"/>
                <w:szCs w:val="19"/>
              </w:rPr>
              <w:t xml:space="preserve">  "would_be": "decline",         // enforcing, it would not have</w:t>
            </w:r>
          </w:p>
          <w:p>
            <w:pPr>
              <w:spacing w:after="20"/>
            </w:pPr>
            <w:r>
              <w:rPr>
                <w:rFonts w:ascii="Consolas" w:cs="Consolas" w:eastAsia="Consolas" w:hAnsi="Consolas"/>
                <w:sz w:val="19"/>
                <w:szCs w:val="19"/>
              </w:rPr>
              <w:t xml:space="preserve">  "outcome": "matched",</w:t>
            </w:r>
          </w:p>
          <w:p>
            <w:pPr>
              <w:spacing w:after="20"/>
            </w:pPr>
            <w:r>
              <w:rPr>
                <w:rFonts w:ascii="Consolas" w:cs="Consolas" w:eastAsia="Consolas" w:hAnsi="Consolas"/>
                <w:sz w:val="19"/>
                <w:szCs w:val="19"/>
              </w:rPr>
              <w:t xml:space="preserve">  "score": 600.0,</w:t>
            </w:r>
          </w:p>
          <w:p>
            <w:pPr>
              <w:spacing w:after="20"/>
            </w:pPr>
            <w:r>
              <w:rPr>
                <w:rFonts w:ascii="Consolas" w:cs="Consolas" w:eastAsia="Consolas" w:hAnsi="Consolas"/>
                <w:sz w:val="19"/>
                <w:szCs w:val="19"/>
              </w:rPr>
              <w:t xml:space="preserve">  "severity": "critical",</w:t>
            </w:r>
          </w:p>
          <w:p>
            <w:pPr>
              <w:spacing w:after="20"/>
            </w:pPr>
            <w:r>
              <w:rPr>
                <w:rFonts w:ascii="Consolas" w:cs="Consolas" w:eastAsia="Consolas" w:hAnsi="Consolas"/>
                <w:sz w:val="19"/>
                <w:szCs w:val="19"/>
              </w:rPr>
              <w:t xml:space="preserve">  "enforced": false,</w:t>
            </w:r>
          </w:p>
          <w:p>
            <w:pPr>
              <w:spacing w:after="20"/>
            </w:pPr>
            <w:r>
              <w:rPr>
                <w:rFonts w:ascii="Consolas" w:cs="Consolas" w:eastAsia="Consolas" w:hAnsi="Consolas"/>
                <w:sz w:val="19"/>
                <w:szCs w:val="19"/>
              </w:rPr>
              <w:t xml:space="preserve">  "shadow": true,</w:t>
            </w:r>
          </w:p>
          <w:p>
            <w:pPr>
              <w:spacing w:after="20"/>
            </w:pPr>
            <w:r>
              <w:rPr>
                <w:rFonts w:ascii="Consolas" w:cs="Consolas" w:eastAsia="Consolas" w:hAnsi="Consolas"/>
                <w:sz w:val="19"/>
                <w:szCs w:val="19"/>
              </w:rPr>
              <w:t xml:space="preserve">  "matched": [</w:t>
            </w:r>
          </w:p>
          <w:p>
            <w:pPr>
              <w:spacing w:after="20"/>
            </w:pPr>
            <w:r>
              <w:rPr>
                <w:rFonts w:ascii="Consolas" w:cs="Consolas" w:eastAsia="Consolas" w:hAnsi="Consolas"/>
                <w:sz w:val="19"/>
                <w:szCs w:val="19"/>
              </w:rPr>
              <w:t xml:space="preserve">    { "rule_id": "CHN-01", "family": "CHN", "observed": 5.0, "threshold": 3.0,</w:t>
            </w:r>
          </w:p>
          <w:p>
            <w:pPr>
              <w:spacing w:after="20"/>
            </w:pPr>
            <w:r>
              <w:rPr>
                <w:rFonts w:ascii="Consolas" w:cs="Consolas" w:eastAsia="Consolas" w:hAnsi="Consolas"/>
                <w:sz w:val="19"/>
                <w:szCs w:val="19"/>
              </w:rPr>
              <w:t xml:space="preserve">      "observed_unit": "risk_signals",</w:t>
            </w:r>
          </w:p>
          <w:p>
            <w:pPr>
              <w:spacing w:after="20"/>
            </w:pPr>
            <w:r>
              <w:rPr>
                <w:rFonts w:ascii="Consolas" w:cs="Consolas" w:eastAsia="Consolas" w:hAnsi="Consolas"/>
                <w:sz w:val="19"/>
                <w:szCs w:val="19"/>
              </w:rPr>
              <w:t xml:space="preserve">      "reason": "New device + new beneficiary + high value in one session" },</w:t>
            </w:r>
          </w:p>
          <w:p>
            <w:pPr>
              <w:spacing w:after="20"/>
            </w:pPr>
            <w:r>
              <w:rPr>
                <w:rFonts w:ascii="Consolas" w:cs="Consolas" w:eastAsia="Consolas" w:hAnsi="Consolas"/>
                <w:sz w:val="19"/>
                <w:szCs w:val="19"/>
              </w:rPr>
              <w:t xml:space="preserve">    { "rule_id": "LAY-02", "family": "LAY", "observed": 55.0, "threshold": 40.0,</w:t>
            </w:r>
          </w:p>
          <w:p>
            <w:pPr>
              <w:spacing w:after="20"/>
            </w:pPr>
            <w:r>
              <w:rPr>
                <w:rFonts w:ascii="Consolas" w:cs="Consolas" w:eastAsia="Consolas" w:hAnsi="Consolas"/>
                <w:sz w:val="19"/>
                <w:szCs w:val="19"/>
              </w:rPr>
              <w:t xml:space="preserve">      "observed_unit": "distinct_counterparties",</w:t>
            </w:r>
          </w:p>
          <w:p>
            <w:pPr>
              <w:spacing w:after="20"/>
            </w:pPr>
            <w:r>
              <w:rPr>
                <w:rFonts w:ascii="Consolas" w:cs="Consolas" w:eastAsia="Consolas" w:hAnsi="Consolas"/>
                <w:sz w:val="19"/>
                <w:szCs w:val="19"/>
              </w:rPr>
              <w:t xml:space="preserve">      "reason": "40+ distinct counterparties in window (fan-in/fan-out hub)" }</w:t>
            </w:r>
          </w:p>
          <w:p>
            <w:pPr>
              <w:spacing w:after="20"/>
            </w:pPr>
            <w:r>
              <w:rPr>
                <w:rFonts w:ascii="Consolas" w:cs="Consolas" w:eastAsia="Consolas" w:hAnsi="Consolas"/>
                <w:sz w:val="19"/>
                <w:szCs w:val="19"/>
              </w:rPr>
              <w:t xml:space="preserve">    // ... 3 more matches, each with the same shape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"skipped": [ /* 20 entries, each with its reason */ ],</w:t>
            </w:r>
          </w:p>
          <w:p>
            <w:pPr>
              <w:spacing w:after="20"/>
            </w:pPr>
            <w:r>
              <w:rPr>
                <w:rFonts w:ascii="Consolas" w:cs="Consolas" w:eastAsia="Consolas" w:hAnsi="Consolas"/>
                <w:sz w:val="19"/>
                <w:szCs w:val="19"/>
              </w:rPr>
              <w:t xml:space="preserve">  "took_ms": 1.663,</w:t>
            </w:r>
          </w:p>
          <w:p>
            <w:pPr>
              <w:spacing w:after="20"/>
            </w:pPr>
            <w:r>
              <w:rPr>
                <w:rFonts w:ascii="Consolas" w:cs="Consolas" w:eastAsia="Consolas" w:hAnsi="Consolas"/>
                <w:sz w:val="19"/>
                <w:szCs w:val="19"/>
              </w:rPr>
              <w:t xml:space="preserve">  "budget_ms": 80,</w:t>
            </w:r>
          </w:p>
          <w:p>
            <w:pPr>
              <w:spacing w:after="20"/>
            </w:pPr>
            <w:r>
              <w:rPr>
                <w:rFonts w:ascii="Consolas" w:cs="Consolas" w:eastAsia="Consolas" w:hAnsi="Consolas"/>
                <w:sz w:val="19"/>
                <w:szCs w:val="19"/>
              </w:rPr>
              <w:t xml:space="preserve">  "policy_version": "1.0.0"</w:t>
            </w:r>
          </w:p>
          <w:p>
            <w:pPr>
              <w:spacing w:after="20"/>
            </w:pPr>
            <w:r>
              <w:rPr>
                <w:rFonts w:ascii="Consolas" w:cs="Consolas" w:eastAsia="Consolas" w:hAnsi="Consolas"/>
                <w:sz w:val="19"/>
                <w:szCs w:val="19"/>
              </w:rPr>
              <w:t xml:space="preserve">}</w:t>
            </w:r>
          </w:p>
        </w:tc>
      </w:tr>
    </w:tbl>
    <w:p>
      <w:pPr>
        <w:pStyle w:val="Heading3"/>
        <w:spacing w:after="100" w:before="240"/>
      </w:pPr>
      <w:r>
        <w:rPr>
          <w:rFonts w:ascii="Calibri" w:cs="Calibri" w:eastAsia="Calibri" w:hAnsi="Calibri"/>
          <w:b/>
          <w:bCs/>
          <w:color w:val="44546A"/>
          <w:sz w:val="21"/>
          <w:szCs w:val="21"/>
        </w:rPr>
        <w:t xml:space="preserve">Example 3 — IMPS, matched (would be declined)</w:t>
      </w:r>
    </w:p>
    <w:p>
      <w:pPr>
        <w:spacing w:after="160" w:line="276"/>
      </w:pPr>
      <w:r>
        <w:rPr>
          <w:rFonts w:ascii="Calibri" w:cs="Calibri" w:eastAsia="Calibri" w:hAnsi="Calibri"/>
          <w:sz w:val="21"/>
          <w:szCs w:val="21"/>
        </w:rPr>
        <w:t xml:space="preserve">Identical contract to UPI; only the budget differs, and it comes from the rail's own configured policy — IMPS is given 150 ms against UPI's 80 ms because their settlement windows differ, not because the code does.</w:t>
      </w:r>
    </w:p>
    <w:p>
      <w:pPr>
        <w:spacing w:after="60" w:before="120"/>
      </w:pPr>
      <w:r>
        <w:rPr>
          <w:rFonts w:ascii="Calibri" w:cs="Calibri" w:eastAsia="Calibri" w:hAnsi="Calibri"/>
          <w:b/>
          <w:bCs/>
          <w:color w:val="44546A"/>
          <w:spacing w:val="12"/>
          <w:sz w:val="16"/>
          <w:szCs w:val="16"/>
        </w:rPr>
        <w:t xml:space="preserve">REQUEST</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POST https://decision.fraud360.examplebank.co.in/decide?tenant_id=b3b90261-9663-46c3-b31f-e8afc4a65442</w:t>
            </w:r>
          </w:p>
          <w:p>
            <w:pPr>
              <w:spacing w:after="20"/>
            </w:pPr>
            <w:r>
              <w:rPr>
                <w:rFonts w:ascii="Consolas" w:cs="Consolas" w:eastAsia="Consolas" w:hAnsi="Consolas"/>
                <w:sz w:val="19"/>
                <w:szCs w:val="19"/>
              </w:rPr>
              <w:t xml:space="preserve">Authorization: Bearer eyJhbGciOiJIUzI1NiIsInR5cCI6...</w:t>
            </w:r>
          </w:p>
          <w:p>
            <w:pPr>
              <w:spacing w:after="20"/>
            </w:pPr>
            <w:r>
              <w:rPr>
                <w:rFonts w:ascii="Consolas" w:cs="Consolas" w:eastAsia="Consolas" w:hAnsi="Consolas"/>
                <w:sz w:val="19"/>
                <w:szCs w:val="19"/>
              </w:rPr>
              <w:t xml:space="preserve">Content-Type: application/json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"txn_ref": "IMPS-2026-0817-004417",</w:t>
            </w:r>
          </w:p>
          <w:p>
            <w:pPr>
              <w:spacing w:after="20"/>
            </w:pPr>
            <w:r>
              <w:rPr>
                <w:rFonts w:ascii="Consolas" w:cs="Consolas" w:eastAsia="Consolas" w:hAnsi="Consolas"/>
                <w:sz w:val="19"/>
                <w:szCs w:val="19"/>
              </w:rPr>
              <w:t xml:space="preserve">  "rail": "IMPS",</w:t>
            </w:r>
          </w:p>
          <w:p>
            <w:pPr>
              <w:spacing w:after="20"/>
            </w:pPr>
            <w:r>
              <w:rPr>
                <w:rFonts w:ascii="Consolas" w:cs="Consolas" w:eastAsia="Consolas" w:hAnsi="Consolas"/>
                <w:sz w:val="19"/>
                <w:szCs w:val="19"/>
              </w:rPr>
              <w:t xml:space="preserve">  "debtor_account": "AC-HLD-HOT",</w:t>
            </w:r>
          </w:p>
          <w:p>
            <w:pPr>
              <w:spacing w:after="20"/>
            </w:pPr>
            <w:r>
              <w:rPr>
                <w:rFonts w:ascii="Consolas" w:cs="Consolas" w:eastAsia="Consolas" w:hAnsi="Consolas"/>
                <w:sz w:val="19"/>
                <w:szCs w:val="19"/>
              </w:rPr>
              <w:t xml:space="preserve">  "creditor_account": "AC-BEN-99002",</w:t>
            </w:r>
          </w:p>
          <w:p>
            <w:pPr>
              <w:spacing w:after="20"/>
            </w:pPr>
            <w:r>
              <w:rPr>
                <w:rFonts w:ascii="Consolas" w:cs="Consolas" w:eastAsia="Consolas" w:hAnsi="Consolas"/>
                <w:sz w:val="19"/>
                <w:szCs w:val="19"/>
              </w:rPr>
              <w:t xml:space="preserve">  "amount_paise": 4500000,</w:t>
            </w:r>
          </w:p>
          <w:p>
            <w:pPr>
              <w:spacing w:after="20"/>
            </w:pPr>
            <w:r>
              <w:rPr>
                <w:rFonts w:ascii="Consolas" w:cs="Consolas" w:eastAsia="Consolas" w:hAnsi="Consolas"/>
                <w:sz w:val="19"/>
                <w:szCs w:val="19"/>
              </w:rPr>
              <w:t xml:space="preserve">  "channel": "netbanking",</w:t>
            </w:r>
          </w:p>
          <w:p>
            <w:pPr>
              <w:spacing w:after="20"/>
            </w:pPr>
            <w:r>
              <w:rPr>
                <w:rFonts w:ascii="Consolas" w:cs="Consolas" w:eastAsia="Consolas" w:hAnsi="Consolas"/>
                <w:sz w:val="19"/>
                <w:szCs w:val="19"/>
              </w:rPr>
              <w:t xml:space="preserve">  "device_id": "9e107d9d372bb682",</w:t>
            </w:r>
          </w:p>
          <w:p>
            <w:pPr>
              <w:spacing w:after="20"/>
            </w:pPr>
            <w:r>
              <w:rPr>
                <w:rFonts w:ascii="Consolas" w:cs="Consolas" w:eastAsia="Consolas" w:hAnsi="Consolas"/>
                <w:sz w:val="19"/>
                <w:szCs w:val="19"/>
              </w:rPr>
              <w:t xml:space="preserve">  "signals": { "risk_signals": 4 }</w:t>
            </w:r>
          </w:p>
          <w:p>
            <w:pPr>
              <w:spacing w:after="20"/>
            </w:pPr>
            <w:r>
              <w:rPr>
                <w:rFonts w:ascii="Consolas" w:cs="Consolas" w:eastAsia="Consolas" w:hAnsi="Consolas"/>
                <w:sz w:val="19"/>
                <w:szCs w:val="19"/>
              </w:rPr>
              <w:t xml:space="preserve">}</w:t>
            </w:r>
          </w:p>
        </w:tc>
      </w:tr>
    </w:tbl>
    <w:p>
      <w:pPr>
        <w:spacing w:after="60" w:before="120"/>
      </w:pPr>
      <w:r>
        <w:rPr>
          <w:rFonts w:ascii="Calibri" w:cs="Calibri" w:eastAsia="Calibri" w:hAnsi="Calibri"/>
          <w:b/>
          <w:bCs/>
          <w:color w:val="1B7A43"/>
          <w:spacing w:val="12"/>
          <w:sz w:val="16"/>
          <w:szCs w:val="16"/>
        </w:rPr>
        <w:t xml:space="preserve">RESPONSE — 200, 1.5 MS</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"reference": "73c5b65625cb4a7d",</w:t>
            </w:r>
          </w:p>
          <w:p>
            <w:pPr>
              <w:spacing w:after="20"/>
            </w:pPr>
            <w:r>
              <w:rPr>
                <w:rFonts w:ascii="Consolas" w:cs="Consolas" w:eastAsia="Consolas" w:hAnsi="Consolas"/>
                <w:sz w:val="19"/>
                <w:szCs w:val="19"/>
              </w:rPr>
              <w:t xml:space="preserve">  "action": "allow",</w:t>
            </w:r>
          </w:p>
          <w:p>
            <w:pPr>
              <w:spacing w:after="20"/>
            </w:pPr>
            <w:r>
              <w:rPr>
                <w:rFonts w:ascii="Consolas" w:cs="Consolas" w:eastAsia="Consolas" w:hAnsi="Consolas"/>
                <w:sz w:val="19"/>
                <w:szCs w:val="19"/>
              </w:rPr>
              <w:t xml:space="preserve">  "would_be": "decline",</w:t>
            </w:r>
          </w:p>
          <w:p>
            <w:pPr>
              <w:spacing w:after="20"/>
            </w:pPr>
            <w:r>
              <w:rPr>
                <w:rFonts w:ascii="Consolas" w:cs="Consolas" w:eastAsia="Consolas" w:hAnsi="Consolas"/>
                <w:sz w:val="19"/>
                <w:szCs w:val="19"/>
              </w:rPr>
              <w:t xml:space="preserve">  "outcome": "matched",</w:t>
            </w:r>
          </w:p>
          <w:p>
            <w:pPr>
              <w:spacing w:after="20"/>
            </w:pPr>
            <w:r>
              <w:rPr>
                <w:rFonts w:ascii="Consolas" w:cs="Consolas" w:eastAsia="Consolas" w:hAnsi="Consolas"/>
                <w:sz w:val="19"/>
                <w:szCs w:val="19"/>
              </w:rPr>
              <w:t xml:space="preserve">  "score": 600.0,</w:t>
            </w:r>
          </w:p>
          <w:p>
            <w:pPr>
              <w:spacing w:after="20"/>
            </w:pPr>
            <w:r>
              <w:rPr>
                <w:rFonts w:ascii="Consolas" w:cs="Consolas" w:eastAsia="Consolas" w:hAnsi="Consolas"/>
                <w:sz w:val="19"/>
                <w:szCs w:val="19"/>
              </w:rPr>
              <w:t xml:space="preserve">  "severity": "critical",</w:t>
            </w:r>
          </w:p>
          <w:p>
            <w:pPr>
              <w:spacing w:after="20"/>
            </w:pPr>
            <w:r>
              <w:rPr>
                <w:rFonts w:ascii="Consolas" w:cs="Consolas" w:eastAsia="Consolas" w:hAnsi="Consolas"/>
                <w:sz w:val="19"/>
                <w:szCs w:val="19"/>
              </w:rPr>
              <w:t xml:space="preserve">  "enforced": false,</w:t>
            </w:r>
          </w:p>
          <w:p>
            <w:pPr>
              <w:spacing w:after="20"/>
            </w:pPr>
            <w:r>
              <w:rPr>
                <w:rFonts w:ascii="Consolas" w:cs="Consolas" w:eastAsia="Consolas" w:hAnsi="Consolas"/>
                <w:sz w:val="19"/>
                <w:szCs w:val="19"/>
              </w:rPr>
              <w:t xml:space="preserve">  "shadow": true,</w:t>
            </w:r>
          </w:p>
          <w:p>
            <w:pPr>
              <w:spacing w:after="20"/>
            </w:pPr>
            <w:r>
              <w:rPr>
                <w:rFonts w:ascii="Consolas" w:cs="Consolas" w:eastAsia="Consolas" w:hAnsi="Consolas"/>
                <w:sz w:val="19"/>
                <w:szCs w:val="19"/>
              </w:rPr>
              <w:t xml:space="preserve">  "matched": [</w:t>
            </w:r>
          </w:p>
          <w:p>
            <w:pPr>
              <w:spacing w:after="20"/>
            </w:pPr>
            <w:r>
              <w:rPr>
                <w:rFonts w:ascii="Consolas" w:cs="Consolas" w:eastAsia="Consolas" w:hAnsi="Consolas"/>
                <w:sz w:val="19"/>
                <w:szCs w:val="19"/>
              </w:rPr>
              <w:t xml:space="preserve">    { "rule_id": "VEL-01", "family": "VEL", "observed": 450.0, "threshold": 5.0,</w:t>
            </w:r>
          </w:p>
          <w:p>
            <w:pPr>
              <w:spacing w:after="20"/>
            </w:pPr>
            <w:r>
              <w:rPr>
                <w:rFonts w:ascii="Consolas" w:cs="Consolas" w:eastAsia="Consolas" w:hAnsi="Consolas"/>
                <w:sz w:val="19"/>
                <w:szCs w:val="19"/>
              </w:rPr>
              <w:t xml:space="preserve">      "observed_unit": "value_vs_baseline",</w:t>
            </w:r>
          </w:p>
          <w:p>
            <w:pPr>
              <w:spacing w:after="20"/>
            </w:pPr>
            <w:r>
              <w:rPr>
                <w:rFonts w:ascii="Consolas" w:cs="Consolas" w:eastAsia="Consolas" w:hAnsi="Consolas"/>
                <w:sz w:val="19"/>
                <w:szCs w:val="19"/>
              </w:rPr>
              <w:t xml:space="preserve">      "reason": "Transaction value 450x this account's own 30-day baseline"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"skipped": [ /* ... */ ],</w:t>
            </w:r>
          </w:p>
          <w:p>
            <w:pPr>
              <w:spacing w:after="20"/>
            </w:pPr>
            <w:r>
              <w:rPr>
                <w:rFonts w:ascii="Consolas" w:cs="Consolas" w:eastAsia="Consolas" w:hAnsi="Consolas"/>
                <w:sz w:val="19"/>
                <w:szCs w:val="19"/>
              </w:rPr>
              <w:t xml:space="preserve">  "took_ms": 1.476,</w:t>
            </w:r>
          </w:p>
          <w:p>
            <w:pPr>
              <w:spacing w:after="20"/>
            </w:pPr>
            <w:r>
              <w:rPr>
                <w:rFonts w:ascii="Consolas" w:cs="Consolas" w:eastAsia="Consolas" w:hAnsi="Consolas"/>
                <w:sz w:val="19"/>
                <w:szCs w:val="19"/>
              </w:rPr>
              <w:t xml:space="preserve">  "budget_ms": 150,            // IMPS, not UPI's 80</w:t>
            </w:r>
          </w:p>
          <w:p>
            <w:pPr>
              <w:spacing w:after="20"/>
            </w:pPr>
            <w:r>
              <w:rPr>
                <w:rFonts w:ascii="Consolas" w:cs="Consolas" w:eastAsia="Consolas" w:hAnsi="Consolas"/>
                <w:sz w:val="19"/>
                <w:szCs w:val="19"/>
              </w:rPr>
              <w:t xml:space="preserve">  "policy_version": "1.0.0"</w:t>
            </w:r>
          </w:p>
          <w:p>
            <w:pPr>
              <w:spacing w:after="20"/>
            </w:pPr>
            <w:r>
              <w:rPr>
                <w:rFonts w:ascii="Consolas" w:cs="Consolas" w:eastAsia="Consolas" w:hAnsi="Consolas"/>
                <w:sz w:val="19"/>
                <w:szCs w:val="19"/>
              </w:rPr>
              <w:t xml:space="preserve">}</w:t>
            </w:r>
          </w:p>
        </w:tc>
      </w:tr>
    </w:tbl>
    <w:p>
      <w:pPr>
        <w:pStyle w:val="Heading3"/>
        <w:spacing w:after="100" w:before="240"/>
      </w:pPr>
      <w:r>
        <w:rPr>
          <w:rFonts w:ascii="Calibri" w:cs="Calibri" w:eastAsia="Calibri" w:hAnsi="Calibri"/>
          <w:b/>
          <w:bCs/>
          <w:color w:val="44546A"/>
          <w:sz w:val="21"/>
          <w:szCs w:val="21"/>
        </w:rPr>
        <w:t xml:space="preserve">Example 4 — Card, challenge via 3-D Secure</w:t>
      </w:r>
    </w:p>
    <w:p>
      <w:pPr>
        <w:spacing w:after="160" w:line="276"/>
      </w:pPr>
      <w:r>
        <w:rPr>
          <w:rFonts w:ascii="Calibri" w:cs="Calibri" w:eastAsia="Calibri" w:hAnsi="Calibri"/>
          <w:sz w:val="21"/>
          <w:szCs w:val="21"/>
        </w:rPr>
        <w:t xml:space="preserve">Card is the one rail in this integration where </w:t>
      </w:r>
      <w:r>
        <w:rPr>
          <w:rFonts w:ascii="Consolas" w:cs="Consolas" w:eastAsia="Consolas" w:hAnsi="Consolas"/>
          <w:sz w:val="19"/>
          <w:szCs w:val="19"/>
        </w:rPr>
        <w:t xml:space="preserve">action</w:t>
      </w:r>
      <w:r>
        <w:rPr>
          <w:rFonts w:ascii="Calibri" w:cs="Calibri" w:eastAsia="Calibri" w:hAnsi="Calibri"/>
          <w:sz w:val="21"/>
          <w:szCs w:val="21"/>
        </w:rPr>
        <w:t xml:space="preserve"> can be </w:t>
      </w:r>
      <w:r>
        <w:rPr>
          <w:rFonts w:ascii="Consolas" w:cs="Consolas" w:eastAsia="Consolas" w:hAnsi="Consolas"/>
          <w:sz w:val="19"/>
          <w:szCs w:val="19"/>
        </w:rPr>
        <w:t xml:space="preserve">challenge</w:t>
      </w:r>
      <w:r>
        <w:rPr>
          <w:rFonts w:ascii="Calibri" w:cs="Calibri" w:eastAsia="Calibri" w:hAnsi="Calibri"/>
          <w:sz w:val="21"/>
          <w:szCs w:val="21"/>
        </w:rPr>
        <w:t xml:space="preserve"> — your processor should route this to a 3-D Secure step-up rather than declining outright.</w:t>
      </w:r>
    </w:p>
    <w:p>
      <w:pPr>
        <w:spacing w:after="60" w:before="120"/>
      </w:pPr>
      <w:r>
        <w:rPr>
          <w:rFonts w:ascii="Calibri" w:cs="Calibri" w:eastAsia="Calibri" w:hAnsi="Calibri"/>
          <w:b/>
          <w:bCs/>
          <w:color w:val="44546A"/>
          <w:spacing w:val="12"/>
          <w:sz w:val="16"/>
          <w:szCs w:val="16"/>
        </w:rPr>
        <w:t xml:space="preserve">REQUEST</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POST https://decision.fraud360.examplebank.co.in/decide?tenant_id=b3b90261-9663-46c3-b31f-e8afc4a65442</w:t>
            </w:r>
          </w:p>
          <w:p>
            <w:pPr>
              <w:spacing w:after="20"/>
            </w:pPr>
            <w:r>
              <w:rPr>
                <w:rFonts w:ascii="Consolas" w:cs="Consolas" w:eastAsia="Consolas" w:hAnsi="Consolas"/>
                <w:sz w:val="19"/>
                <w:szCs w:val="19"/>
              </w:rPr>
              <w:t xml:space="preserve">Authorization: Bearer eyJhbGciOiJIUzI1NiIsInR5cCI6...</w:t>
            </w:r>
          </w:p>
          <w:p>
            <w:pPr>
              <w:spacing w:after="20"/>
            </w:pPr>
            <w:r>
              <w:rPr>
                <w:rFonts w:ascii="Consolas" w:cs="Consolas" w:eastAsia="Consolas" w:hAnsi="Consolas"/>
                <w:sz w:val="19"/>
                <w:szCs w:val="19"/>
              </w:rPr>
              <w:t xml:space="preserve">Content-Type: application/json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"txn_ref": "CARD-2026-0817-118820",</w:t>
            </w:r>
          </w:p>
          <w:p>
            <w:pPr>
              <w:spacing w:after="20"/>
            </w:pPr>
            <w:r>
              <w:rPr>
                <w:rFonts w:ascii="Consolas" w:cs="Consolas" w:eastAsia="Consolas" w:hAnsi="Consolas"/>
                <w:sz w:val="19"/>
                <w:szCs w:val="19"/>
              </w:rPr>
              <w:t xml:space="preserve">  "rail": "CARD",</w:t>
            </w:r>
          </w:p>
          <w:p>
            <w:pPr>
              <w:spacing w:after="20"/>
            </w:pPr>
            <w:r>
              <w:rPr>
                <w:rFonts w:ascii="Consolas" w:cs="Consolas" w:eastAsia="Consolas" w:hAnsi="Consolas"/>
                <w:sz w:val="19"/>
                <w:szCs w:val="19"/>
              </w:rPr>
              <w:t xml:space="preserve">  "debtor_account": "TOK-4f9e2c7a1b6d",</w:t>
            </w:r>
          </w:p>
          <w:p>
            <w:pPr>
              <w:spacing w:after="20"/>
            </w:pPr>
            <w:r>
              <w:rPr>
                <w:rFonts w:ascii="Consolas" w:cs="Consolas" w:eastAsia="Consolas" w:hAnsi="Consolas"/>
                <w:sz w:val="19"/>
                <w:szCs w:val="19"/>
              </w:rPr>
              <w:t xml:space="preserve">  "creditor_account": "MERCH-88213-ELECTRONICS",</w:t>
            </w:r>
          </w:p>
          <w:p>
            <w:pPr>
              <w:spacing w:after="20"/>
            </w:pPr>
            <w:r>
              <w:rPr>
                <w:rFonts w:ascii="Consolas" w:cs="Consolas" w:eastAsia="Consolas" w:hAnsi="Consolas"/>
                <w:sz w:val="19"/>
                <w:szCs w:val="19"/>
              </w:rPr>
              <w:t xml:space="preserve">  "amount_paise": 1899900,</w:t>
            </w:r>
          </w:p>
          <w:p>
            <w:pPr>
              <w:spacing w:after="20"/>
            </w:pPr>
            <w:r>
              <w:rPr>
                <w:rFonts w:ascii="Consolas" w:cs="Consolas" w:eastAsia="Consolas" w:hAnsi="Consolas"/>
                <w:sz w:val="19"/>
                <w:szCs w:val="19"/>
              </w:rPr>
              <w:t xml:space="preserve">  "channel": "pos",</w:t>
            </w:r>
          </w:p>
          <w:p>
            <w:pPr>
              <w:spacing w:after="20"/>
            </w:pPr>
            <w:r>
              <w:rPr>
                <w:rFonts w:ascii="Consolas" w:cs="Consolas" w:eastAsia="Consolas" w:hAnsi="Consolas"/>
                <w:sz w:val="19"/>
                <w:szCs w:val="19"/>
              </w:rPr>
              <w:t xml:space="preserve">  "device_id": "",</w:t>
            </w:r>
          </w:p>
          <w:p>
            <w:pPr>
              <w:spacing w:after="20"/>
            </w:pPr>
            <w:r>
              <w:rPr>
                <w:rFonts w:ascii="Consolas" w:cs="Consolas" w:eastAsia="Consolas" w:hAnsi="Consolas"/>
                <w:sz w:val="19"/>
                <w:szCs w:val="19"/>
              </w:rPr>
              <w:t xml:space="preserve">  "signals": { "risk_signals": 2 }</w:t>
            </w:r>
          </w:p>
          <w:p>
            <w:pPr>
              <w:spacing w:after="20"/>
            </w:pPr>
            <w:r>
              <w:rPr>
                <w:rFonts w:ascii="Consolas" w:cs="Consolas" w:eastAsia="Consolas" w:hAnsi="Consolas"/>
                <w:sz w:val="19"/>
                <w:szCs w:val="19"/>
              </w:rPr>
              <w:t xml:space="preserve">}</w:t>
            </w:r>
          </w:p>
        </w:tc>
      </w:tr>
    </w:tbl>
    <w:p>
      <w:pPr>
        <w:spacing w:after="60" w:before="120"/>
      </w:pPr>
      <w:r>
        <w:rPr>
          <w:rFonts w:ascii="Calibri" w:cs="Calibri" w:eastAsia="Calibri" w:hAnsi="Calibri"/>
          <w:b/>
          <w:bCs/>
          <w:color w:val="1B7A43"/>
          <w:spacing w:val="12"/>
          <w:sz w:val="16"/>
          <w:szCs w:val="16"/>
        </w:rPr>
        <w:t xml:space="preserve">RESPONSE — 200, 2.9 MS</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"reference": "9a1e5b3c7d2f4088",</w:t>
            </w:r>
          </w:p>
          <w:p>
            <w:pPr>
              <w:spacing w:after="20"/>
            </w:pPr>
            <w:r>
              <w:rPr>
                <w:rFonts w:ascii="Consolas" w:cs="Consolas" w:eastAsia="Consolas" w:hAnsi="Consolas"/>
                <w:sz w:val="19"/>
                <w:szCs w:val="19"/>
              </w:rPr>
              <w:t xml:space="preserve">  "action": "challenge",         // enforced: this rail is no longer in shadow</w:t>
            </w:r>
          </w:p>
          <w:p>
            <w:pPr>
              <w:spacing w:after="20"/>
            </w:pPr>
            <w:r>
              <w:rPr>
                <w:rFonts w:ascii="Consolas" w:cs="Consolas" w:eastAsia="Consolas" w:hAnsi="Consolas"/>
                <w:sz w:val="19"/>
                <w:szCs w:val="19"/>
              </w:rPr>
              <w:t xml:space="preserve">  "would_be": "challenge",</w:t>
            </w:r>
          </w:p>
          <w:p>
            <w:pPr>
              <w:spacing w:after="20"/>
            </w:pPr>
            <w:r>
              <w:rPr>
                <w:rFonts w:ascii="Consolas" w:cs="Consolas" w:eastAsia="Consolas" w:hAnsi="Consolas"/>
                <w:sz w:val="19"/>
                <w:szCs w:val="19"/>
              </w:rPr>
              <w:t xml:space="preserve">  "outcome": "matched",</w:t>
            </w:r>
          </w:p>
          <w:p>
            <w:pPr>
              <w:spacing w:after="20"/>
            </w:pPr>
            <w:r>
              <w:rPr>
                <w:rFonts w:ascii="Consolas" w:cs="Consolas" w:eastAsia="Consolas" w:hAnsi="Consolas"/>
                <w:sz w:val="19"/>
                <w:szCs w:val="19"/>
              </w:rPr>
              <w:t xml:space="preserve">  "score": 210.0,</w:t>
            </w:r>
          </w:p>
          <w:p>
            <w:pPr>
              <w:spacing w:after="20"/>
            </w:pPr>
            <w:r>
              <w:rPr>
                <w:rFonts w:ascii="Consolas" w:cs="Consolas" w:eastAsia="Consolas" w:hAnsi="Consolas"/>
                <w:sz w:val="19"/>
                <w:szCs w:val="19"/>
              </w:rPr>
              <w:t xml:space="preserve">  "severity": "medium",</w:t>
            </w:r>
          </w:p>
          <w:p>
            <w:pPr>
              <w:spacing w:after="20"/>
            </w:pPr>
            <w:r>
              <w:rPr>
                <w:rFonts w:ascii="Consolas" w:cs="Consolas" w:eastAsia="Consolas" w:hAnsi="Consolas"/>
                <w:sz w:val="19"/>
                <w:szCs w:val="19"/>
              </w:rPr>
              <w:t xml:space="preserve">  "enforced": true,</w:t>
            </w:r>
          </w:p>
          <w:p>
            <w:pPr>
              <w:spacing w:after="20"/>
            </w:pPr>
            <w:r>
              <w:rPr>
                <w:rFonts w:ascii="Consolas" w:cs="Consolas" w:eastAsia="Consolas" w:hAnsi="Consolas"/>
                <w:sz w:val="19"/>
                <w:szCs w:val="19"/>
              </w:rPr>
              <w:t xml:space="preserve">  "shadow": false,</w:t>
            </w:r>
          </w:p>
          <w:p>
            <w:pPr>
              <w:spacing w:after="20"/>
            </w:pPr>
            <w:r>
              <w:rPr>
                <w:rFonts w:ascii="Consolas" w:cs="Consolas" w:eastAsia="Consolas" w:hAnsi="Consolas"/>
                <w:sz w:val="19"/>
                <w:szCs w:val="19"/>
              </w:rPr>
              <w:t xml:space="preserve">  "matched": [</w:t>
            </w:r>
          </w:p>
          <w:p>
            <w:pPr>
              <w:spacing w:after="20"/>
            </w:pPr>
            <w:r>
              <w:rPr>
                <w:rFonts w:ascii="Consolas" w:cs="Consolas" w:eastAsia="Consolas" w:hAnsi="Consolas"/>
                <w:sz w:val="19"/>
                <w:szCs w:val="19"/>
              </w:rPr>
              <w:t xml:space="preserve">    { "rule_id": "CHN-02", "family": "CHN", "observed": 2.0, "threshold": 2.0,</w:t>
            </w:r>
          </w:p>
          <w:p>
            <w:pPr>
              <w:spacing w:after="20"/>
            </w:pPr>
            <w:r>
              <w:rPr>
                <w:rFonts w:ascii="Consolas" w:cs="Consolas" w:eastAsia="Consolas" w:hAnsi="Consolas"/>
                <w:sz w:val="19"/>
                <w:szCs w:val="19"/>
              </w:rPr>
              <w:t xml:space="preserve">      "observed_unit": "risk_signals",</w:t>
            </w:r>
          </w:p>
          <w:p>
            <w:pPr>
              <w:spacing w:after="20"/>
            </w:pPr>
            <w:r>
              <w:rPr>
                <w:rFonts w:ascii="Consolas" w:cs="Consolas" w:eastAsia="Consolas" w:hAnsi="Consolas"/>
                <w:sz w:val="19"/>
                <w:szCs w:val="19"/>
              </w:rPr>
              <w:t xml:space="preserve">      "reason": "Card-not-typical merchant category at this value band"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"skipped": [ /* ... */ ],</w:t>
            </w:r>
          </w:p>
          <w:p>
            <w:pPr>
              <w:spacing w:after="20"/>
            </w:pPr>
            <w:r>
              <w:rPr>
                <w:rFonts w:ascii="Consolas" w:cs="Consolas" w:eastAsia="Consolas" w:hAnsi="Consolas"/>
                <w:sz w:val="19"/>
                <w:szCs w:val="19"/>
              </w:rPr>
              <w:t xml:space="preserve">  "took_ms": 2.94,</w:t>
            </w:r>
          </w:p>
          <w:p>
            <w:pPr>
              <w:spacing w:after="20"/>
            </w:pPr>
            <w:r>
              <w:rPr>
                <w:rFonts w:ascii="Consolas" w:cs="Consolas" w:eastAsia="Consolas" w:hAnsi="Consolas"/>
                <w:sz w:val="19"/>
                <w:szCs w:val="19"/>
              </w:rPr>
              <w:t xml:space="preserve">  "budget_ms": 100,</w:t>
            </w:r>
          </w:p>
          <w:p>
            <w:pPr>
              <w:spacing w:after="20"/>
            </w:pPr>
            <w:r>
              <w:rPr>
                <w:rFonts w:ascii="Consolas" w:cs="Consolas" w:eastAsia="Consolas" w:hAnsi="Consolas"/>
                <w:sz w:val="19"/>
                <w:szCs w:val="19"/>
              </w:rPr>
              <w:t xml:space="preserve">  "policy_version": "1.0.0"</w:t>
            </w:r>
          </w:p>
          <w:p>
            <w:pPr>
              <w:spacing w:after="20"/>
            </w:pPr>
            <w:r>
              <w:rPr>
                <w:rFonts w:ascii="Consolas" w:cs="Consolas" w:eastAsia="Consolas" w:hAnsi="Consolas"/>
                <w:sz w:val="19"/>
                <w:szCs w:val="19"/>
              </w:rPr>
              <w:t xml:space="preserve">}</w:t>
            </w:r>
          </w:p>
        </w:tc>
      </w:tr>
    </w:tbl>
    <w:p>
      <w:pPr>
        <w:pStyle w:val="Heading3"/>
        <w:spacing w:after="100" w:before="240"/>
      </w:pPr>
      <w:r>
        <w:rPr>
          <w:rFonts w:ascii="Calibri" w:cs="Calibri" w:eastAsia="Calibri" w:hAnsi="Calibri"/>
          <w:b/>
          <w:bCs/>
          <w:color w:val="44546A"/>
          <w:sz w:val="21"/>
          <w:szCs w:val="21"/>
        </w:rPr>
        <w:t xml:space="preserve">Example 5 — A rail this lane does not handle</w:t>
      </w:r>
    </w:p>
    <w:p>
      <w:pPr>
        <w:spacing w:after="160" w:line="276"/>
      </w:pPr>
      <w:r>
        <w:rPr>
          <w:rFonts w:ascii="Calibri" w:cs="Calibri" w:eastAsia="Calibri" w:hAnsi="Calibri"/>
          <w:sz w:val="21"/>
          <w:szCs w:val="21"/>
        </w:rPr>
        <w:t xml:space="preserve">NEFT and RTGS are scored on Lane B with full account and network context after ingestion. Calling /decide for one is a configuration error and is refused, not answered with allow — an allow here would be indistinguishable from a payment that actually was screened and passed.</w:t>
      </w:r>
    </w:p>
    <w:p>
      <w:pPr>
        <w:spacing w:after="60" w:before="120"/>
      </w:pPr>
      <w:r>
        <w:rPr>
          <w:rFonts w:ascii="Calibri" w:cs="Calibri" w:eastAsia="Calibri" w:hAnsi="Calibri"/>
          <w:b/>
          <w:bCs/>
          <w:color w:val="B4530A"/>
          <w:spacing w:val="12"/>
          <w:sz w:val="16"/>
          <w:szCs w:val="16"/>
        </w:rPr>
        <w:t xml:space="preserve">RESPONSE — 409</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"error": {</w:t>
            </w:r>
          </w:p>
          <w:p>
            <w:pPr>
              <w:spacing w:after="20"/>
            </w:pPr>
            <w:r>
              <w:rPr>
                <w:rFonts w:ascii="Consolas" w:cs="Consolas" w:eastAsia="Consolas" w:hAnsi="Consolas"/>
                <w:sz w:val="19"/>
                <w:szCs w:val="19"/>
              </w:rPr>
              <w:t xml:space="preserve">    "code": "rail_not_inline",</w:t>
            </w:r>
          </w:p>
          <w:p>
            <w:pPr>
              <w:spacing w:after="20"/>
            </w:pPr>
            <w:r>
              <w:rPr>
                <w:rFonts w:ascii="Consolas" w:cs="Consolas" w:eastAsia="Consolas" w:hAnsi="Consolas"/>
                <w:sz w:val="19"/>
                <w:szCs w:val="19"/>
              </w:rPr>
              <w:t xml:space="preserve">    "message": "Rail 'NEFT' is configured for the near-real-time lane. It is scored</w:t>
            </w:r>
          </w:p>
          <w:p>
            <w:pPr>
              <w:spacing w:after="20"/>
            </w:pPr>
            <w:r>
              <w:rPr>
                <w:rFonts w:ascii="Consolas" w:cs="Consolas" w:eastAsia="Consolas" w:hAnsi="Consolas"/>
                <w:sz w:val="19"/>
                <w:szCs w:val="19"/>
              </w:rPr>
              <w:t xml:space="preserve">                with full context after ingestion, not in the payment window."</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p>
      <w:pPr>
        <w:pStyle w:val="Heading2"/>
        <w:spacing w:after="140" w:before="360"/>
      </w:pPr>
      <w:r>
        <w:rPr>
          <w:rFonts w:ascii="Calibri" w:cs="Calibri" w:eastAsia="Calibri" w:hAnsi="Calibri"/>
          <w:b/>
          <w:bCs/>
          <w:color w:val="1E2761"/>
          <w:sz w:val="24"/>
          <w:szCs w:val="24"/>
        </w:rPr>
        <w:t xml:space="preserve">4.6  Response Handling Reference</w:t>
      </w:r>
    </w:p>
    <w:tbl>
      <w:tblPr>
        <w:tblW w:type="dxa" w:w="8950"/>
        <w:tblBorders>
          <w:top w:val="single" w:color="C7D2E6" w:sz="4"/>
          <w:left w:val="single" w:color="C7D2E6" w:sz="4"/>
          <w:bottom w:val="single" w:color="C7D2E6" w:sz="4"/>
          <w:right w:val="single" w:color="C7D2E6" w:sz="4"/>
          <w:insideH w:val="single" w:color="C7D2E6" w:sz="4"/>
          <w:insideV w:val="single" w:color="C7D2E6" w:sz="4"/>
        </w:tblBorders>
      </w:tblPr>
      <w:tblGrid>
        <w:gridCol w:w="900"/>
        <w:gridCol w:w="2200"/>
        <w:gridCol w:w="2900"/>
        <w:gridCol w:w="2950"/>
      </w:tblGrid>
      <w:tr>
        <w:trPr>
          <w:tblHeader/>
        </w:trPr>
        <w:tc>
          <w:tcPr>
            <w:tcW w:type="dxa" w:w="9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Status</w:t>
            </w:r>
          </w:p>
        </w:tc>
        <w:tc>
          <w:tcPr>
            <w:tcW w:type="dxa" w:w="22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Code</w:t>
            </w:r>
          </w:p>
        </w:tc>
        <w:tc>
          <w:tcPr>
            <w:tcW w:type="dxa" w:w="29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When</w:t>
            </w:r>
          </w:p>
        </w:tc>
        <w:tc>
          <w:tcPr>
            <w:tcW w:type="dxa" w:w="29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What your system should do</w:t>
            </w:r>
          </w:p>
        </w:tc>
      </w:tr>
      <w:tr>
        <w:tc>
          <w:tcPr>
            <w:tcW w:type="dxa" w:w="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200</w:t>
            </w:r>
          </w:p>
        </w:tc>
        <w:tc>
          <w:tcPr>
            <w:tcW w:type="dxa" w:w="2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w:t>
            </w:r>
          </w:p>
        </w:tc>
        <w:tc>
          <w:tcPr>
            <w:tcW w:type="dxa" w:w="2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 decision was reached</w:t>
            </w:r>
          </w:p>
        </w:tc>
        <w:tc>
          <w:tcPr>
            <w:tcW w:type="dxa" w:w="29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Act on action. Never act on would_be — it is for reporting only.</w:t>
            </w:r>
          </w:p>
        </w:tc>
      </w:tr>
      <w:tr>
        <w:tc>
          <w:tcPr>
            <w:tcW w:type="dxa" w:w="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401</w:t>
            </w:r>
          </w:p>
        </w:tc>
        <w:tc>
          <w:tcPr>
            <w:tcW w:type="dxa" w:w="2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invalid_client</w:t>
            </w:r>
          </w:p>
        </w:tc>
        <w:tc>
          <w:tcPr>
            <w:tcW w:type="dxa" w:w="2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Unknown client id or wrong secret on token exchange</w:t>
            </w:r>
          </w:p>
        </w:tc>
        <w:tc>
          <w:tcPr>
            <w:tcW w:type="dxa" w:w="29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Do not retry with the same credential; alert your integration team.</w:t>
            </w:r>
          </w:p>
        </w:tc>
      </w:tr>
      <w:tr>
        <w:tc>
          <w:tcPr>
            <w:tcW w:type="dxa" w:w="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403</w:t>
            </w:r>
          </w:p>
        </w:tc>
        <w:tc>
          <w:tcPr>
            <w:tcW w:type="dxa" w:w="2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credential_unusable</w:t>
            </w:r>
          </w:p>
        </w:tc>
        <w:tc>
          <w:tcPr>
            <w:tcW w:type="dxa" w:w="2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Credential expired or revoked, with the reason</w:t>
            </w:r>
          </w:p>
        </w:tc>
        <w:tc>
          <w:tcPr>
            <w:tcW w:type="dxa" w:w="29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Rotate the credential — expiry is deliberate, not a fault.</w:t>
            </w:r>
          </w:p>
        </w:tc>
      </w:tr>
      <w:tr>
        <w:tc>
          <w:tcPr>
            <w:tcW w:type="dxa" w:w="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403</w:t>
            </w:r>
          </w:p>
        </w:tc>
        <w:tc>
          <w:tcPr>
            <w:tcW w:type="dxa" w:w="2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ip_not_allowed / certificate_mismatch</w:t>
            </w:r>
          </w:p>
        </w:tc>
        <w:tc>
          <w:tcPr>
            <w:tcW w:type="dxa" w:w="2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Calling address off the allow-list, or certificate does not match the binding</w:t>
            </w:r>
          </w:p>
        </w:tc>
        <w:tc>
          <w:tcPr>
            <w:tcW w:type="dxa" w:w="29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Treat as a security event, not a configuration bug.</w:t>
            </w:r>
          </w:p>
        </w:tc>
      </w:tr>
      <w:tr>
        <w:tc>
          <w:tcPr>
            <w:tcW w:type="dxa" w:w="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403</w:t>
            </w:r>
          </w:p>
        </w:tc>
        <w:tc>
          <w:tcPr>
            <w:tcW w:type="dxa" w:w="2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tenant_suspended / tenant_offboarded</w:t>
            </w:r>
          </w:p>
        </w:tc>
        <w:tc>
          <w:tcPr>
            <w:tcW w:type="dxa" w:w="2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The bank's Fraud360 service is stopped</w:t>
            </w:r>
          </w:p>
        </w:tc>
        <w:tc>
          <w:tcPr>
            <w:tcW w:type="dxa" w:w="29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Stop calling this endpoint; contact your Fraud360 onboarding lead.</w:t>
            </w:r>
          </w:p>
        </w:tc>
      </w:tr>
      <w:tr>
        <w:tc>
          <w:tcPr>
            <w:tcW w:type="dxa" w:w="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403</w:t>
            </w:r>
          </w:p>
        </w:tc>
        <w:tc>
          <w:tcPr>
            <w:tcW w:type="dxa" w:w="2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(scope refusal)</w:t>
            </w:r>
          </w:p>
        </w:tc>
        <w:tc>
          <w:tcPr>
            <w:tcW w:type="dxa" w:w="2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An ingest-only credential was used to call /decide</w:t>
            </w:r>
          </w:p>
        </w:tc>
        <w:tc>
          <w:tcPr>
            <w:tcW w:type="dxa" w:w="29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Request a credential scoped decide or ingest+decide.</w:t>
            </w:r>
          </w:p>
        </w:tc>
      </w:tr>
      <w:tr>
        <w:tc>
          <w:tcPr>
            <w:tcW w:type="dxa" w:w="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409</w:t>
            </w:r>
          </w:p>
        </w:tc>
        <w:tc>
          <w:tcPr>
            <w:tcW w:type="dxa" w:w="2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rail_not_inline</w:t>
            </w:r>
          </w:p>
        </w:tc>
        <w:tc>
          <w:tcPr>
            <w:tcW w:type="dxa" w:w="2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The rail is configured for Lane B, not real-time decisioning</w:t>
            </w:r>
          </w:p>
        </w:tc>
        <w:tc>
          <w:tcPr>
            <w:tcW w:type="dxa" w:w="29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Do not call /decide for this rail — it is screened on Lane B instead.</w:t>
            </w:r>
          </w:p>
        </w:tc>
      </w:tr>
      <w:tr>
        <w:tc>
          <w:tcPr>
            <w:tcW w:type="dxa" w:w="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409</w:t>
            </w:r>
          </w:p>
        </w:tc>
        <w:tc>
          <w:tcPr>
            <w:tcW w:type="dxa" w:w="2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no_rail_policy</w:t>
            </w:r>
          </w:p>
        </w:tc>
        <w:tc>
          <w:tcPr>
            <w:tcW w:type="dxa" w:w="2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No inline policy exists yet for this rail</w:t>
            </w:r>
          </w:p>
        </w:tc>
        <w:tc>
          <w:tcPr>
            <w:tcW w:type="dxa" w:w="29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 configuration gap on the bank's side. Escalate rather than assume it is safe to treat as allow.</w:t>
            </w:r>
          </w:p>
        </w:tc>
      </w:tr>
      <w:tr>
        <w:tc>
          <w:tcPr>
            <w:tcW w:type="dxa" w:w="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Timeout / no response</w:t>
            </w:r>
          </w:p>
        </w:tc>
        <w:tc>
          <w:tcPr>
            <w:tcW w:type="dxa" w:w="2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w:t>
            </w:r>
          </w:p>
        </w:tc>
        <w:tc>
          <w:tcPr>
            <w:tcW w:type="dxa" w:w="2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Fraud360 did not answer inside your timeout</w:t>
            </w:r>
          </w:p>
        </w:tc>
        <w:tc>
          <w:tcPr>
            <w:tcW w:type="dxa" w:w="29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Apply the rail's configured fail policy (§4.3) — never assume open or closed.</w:t>
            </w:r>
          </w:p>
        </w:tc>
      </w:tr>
    </w:tbl>
    <w:p>
      <w:pPr>
        <w:pStyle w:val="Heading2"/>
        <w:spacing w:after="140" w:before="360"/>
      </w:pPr>
      <w:r>
        <w:rPr>
          <w:rFonts w:ascii="Calibri" w:cs="Calibri" w:eastAsia="Calibri" w:hAnsi="Calibri"/>
          <w:b/>
          <w:bCs/>
          <w:color w:val="1E2761"/>
          <w:sz w:val="24"/>
          <w:szCs w:val="24"/>
        </w:rPr>
        <w:t xml:space="preserve">4.7  Complementary Feed: Settled-Transaction Intake</w:t>
      </w:r>
    </w:p>
    <w:p>
      <w:pPr>
        <w:spacing w:after="160" w:line="276"/>
      </w:pPr>
      <w:r>
        <w:rPr>
          <w:rFonts w:ascii="Calibri" w:cs="Calibri" w:eastAsia="Calibri" w:hAnsi="Calibri"/>
          <w:sz w:val="21"/>
          <w:szCs w:val="21"/>
        </w:rPr>
        <w:t xml:space="preserve">The real-time call in §4.2 decides the payment; it does not, by itself, give Fraud360 the settled transaction record for ongoing account-conduct scoring, historical reporting, or the near-real-time rules that need full context. Send the same payment — after settlement — to the batch intake endpoint below. This is a separate, additive feed, not a replacement for §4.2.</w:t>
      </w:r>
    </w:p>
    <w:tbl>
      <w:tblPr>
        <w:tblW w:type="dxa" w:w="9150"/>
        <w:tblBorders>
          <w:top w:val="single" w:color="C7D2E6" w:sz="4"/>
          <w:left w:val="single" w:color="C7D2E6" w:sz="4"/>
          <w:bottom w:val="single" w:color="C7D2E6" w:sz="4"/>
          <w:right w:val="single" w:color="C7D2E6" w:sz="4"/>
          <w:insideH w:val="single" w:color="C7D2E6" w:sz="4"/>
          <w:insideV w:val="single" w:color="C7D2E6" w:sz="4"/>
        </w:tblBorders>
      </w:tblPr>
      <w:tblGrid>
        <w:gridCol w:w="2200"/>
        <w:gridCol w:w="6950"/>
      </w:tblGrid>
      <w:tr>
        <w:trPr>
          <w:tblHeader/>
        </w:trPr>
        <w:tc>
          <w:tcPr>
            <w:tcW w:type="dxa" w:w="22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Attribute</w:t>
            </w:r>
          </w:p>
        </w:tc>
        <w:tc>
          <w:tcPr>
            <w:tcW w:type="dxa" w:w="69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Detail</w:t>
            </w:r>
          </w:p>
        </w:tc>
      </w:tr>
      <w:tr>
        <w:tc>
          <w:tcPr>
            <w:tcW w:type="dxa" w:w="2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Endpoint</w:t>
            </w:r>
          </w:p>
        </w:tc>
        <w:tc>
          <w:tcPr>
            <w:tcW w:type="dxa" w:w="695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POST https://api.fraud360.examplebank.co.in/api/ingest/{tenant_id}/transactions</w:t>
            </w:r>
          </w:p>
        </w:tc>
      </w:tr>
      <w:tr>
        <w:tc>
          <w:tcPr>
            <w:tcW w:type="dxa" w:w="2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Auth</w:t>
            </w:r>
          </w:p>
        </w:tc>
        <w:tc>
          <w:tcPr>
            <w:tcW w:type="dxa" w:w="69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Machine credential scoped ingest (or ingest+decide)</w:t>
            </w:r>
          </w:p>
        </w:tc>
      </w:tr>
      <w:tr>
        <w:tc>
          <w:tcPr>
            <w:tcW w:type="dxa" w:w="2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Batch semantics</w:t>
            </w:r>
          </w:p>
        </w:tc>
        <w:tc>
          <w:tcPr>
            <w:tcW w:type="dxa" w:w="69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As in §3.4 — 202 Accepted, partial acceptance, max 5,000 rows/request, dedupes on the rail's own transaction id</w:t>
            </w:r>
          </w:p>
        </w:tc>
      </w:tr>
      <w:tr>
        <w:tc>
          <w:tcPr>
            <w:tcW w:type="dxa" w:w="2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Delivery options</w:t>
            </w:r>
          </w:p>
        </w:tc>
        <w:tc>
          <w:tcPr>
            <w:tcW w:type="dxa" w:w="69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REST batch (below) or file/SFTP drop — CSV, JSON-lines, or ISO 20022 (pacs.008 / pain.001) XML. See Appendix A for the file convention.</w:t>
            </w:r>
          </w:p>
        </w:tc>
      </w:tr>
    </w:tbl>
    <w:p>
      <w:pPr>
        <w:pStyle w:val="Heading3"/>
        <w:spacing w:after="100" w:before="240"/>
      </w:pPr>
      <w:r>
        <w:rPr>
          <w:rFonts w:ascii="Calibri" w:cs="Calibri" w:eastAsia="Calibri" w:hAnsi="Calibri"/>
          <w:b/>
          <w:bCs/>
          <w:color w:val="44546A"/>
          <w:sz w:val="21"/>
          <w:szCs w:val="21"/>
        </w:rPr>
        <w:t xml:space="preserve">Sample batch — one row per rail</w:t>
      </w:r>
    </w:p>
    <w:p>
      <w:pPr>
        <w:spacing w:after="60" w:before="120"/>
      </w:pPr>
      <w:r>
        <w:rPr>
          <w:rFonts w:ascii="Calibri" w:cs="Calibri" w:eastAsia="Calibri" w:hAnsi="Calibri"/>
          <w:b/>
          <w:bCs/>
          <w:color w:val="44546A"/>
          <w:spacing w:val="12"/>
          <w:sz w:val="16"/>
          <w:szCs w:val="16"/>
        </w:rPr>
        <w:t xml:space="preserve">REQUEST</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POST https://api.fraud360.examplebank.co.in/api/ingest/b3b90261-9663-46c3-b31f-e8afc4a65442/transactions</w:t>
            </w:r>
          </w:p>
          <w:p>
            <w:pPr>
              <w:spacing w:after="20"/>
            </w:pPr>
            <w:r>
              <w:rPr>
                <w:rFonts w:ascii="Consolas" w:cs="Consolas" w:eastAsia="Consolas" w:hAnsi="Consolas"/>
                <w:sz w:val="19"/>
                <w:szCs w:val="19"/>
              </w:rPr>
              <w:t xml:space="preserve">Authorization: Bearer eyJhbGciOiJIUzI1NiIsInR5cCI6...</w:t>
            </w:r>
          </w:p>
          <w:p>
            <w:pPr>
              <w:spacing w:after="20"/>
            </w:pPr>
            <w:r>
              <w:rPr>
                <w:rFonts w:ascii="Consolas" w:cs="Consolas" w:eastAsia="Consolas" w:hAnsi="Consolas"/>
                <w:sz w:val="19"/>
                <w:szCs w:val="19"/>
              </w:rPr>
              <w:t xml:space="preserve">Content-Type: application/json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"source": "live",</w:t>
            </w:r>
          </w:p>
          <w:p>
            <w:pPr>
              <w:spacing w:after="20"/>
            </w:pPr>
            <w:r>
              <w:rPr>
                <w:rFonts w:ascii="Consolas" w:cs="Consolas" w:eastAsia="Consolas" w:hAnsi="Consolas"/>
                <w:sz w:val="19"/>
                <w:szCs w:val="19"/>
              </w:rPr>
              <w:t xml:space="preserve">  "transactions": [</w:t>
            </w:r>
          </w:p>
          <w:p>
            <w:pPr>
              <w:spacing w:after="20"/>
            </w:pPr>
            <w:r>
              <w:rPr>
                <w:rFonts w:ascii="Consolas" w:cs="Consolas" w:eastAsia="Consolas" w:hAnsi="Consolas"/>
                <w:sz w:val="19"/>
                <w:szCs w:val="19"/>
              </w:rPr>
              <w:t xml:space="preserve">    { "rail": "UPI", "payload": {</w:t>
            </w:r>
          </w:p>
          <w:p>
            <w:pPr>
              <w:spacing w:after="20"/>
            </w:pPr>
            <w:r>
              <w:rPr>
                <w:rFonts w:ascii="Consolas" w:cs="Consolas" w:eastAsia="Consolas" w:hAnsi="Consolas"/>
                <w:sz w:val="19"/>
                <w:szCs w:val="19"/>
              </w:rPr>
              <w:t xml:space="preserve">        "upiTransactionId": "UPI-2026-0817-000191",</w:t>
            </w:r>
          </w:p>
          <w:p>
            <w:pPr>
              <w:spacing w:after="20"/>
            </w:pPr>
            <w:r>
              <w:rPr>
                <w:rFonts w:ascii="Consolas" w:cs="Consolas" w:eastAsia="Consolas" w:hAnsi="Consolas"/>
                <w:sz w:val="19"/>
                <w:szCs w:val="19"/>
              </w:rPr>
              <w:t xml:space="preserve">        "txnTimestamp": "2026-08-17T09:12:04+05:30",</w:t>
            </w:r>
          </w:p>
          <w:p>
            <w:pPr>
              <w:spacing w:after="20"/>
            </w:pPr>
            <w:r>
              <w:rPr>
                <w:rFonts w:ascii="Consolas" w:cs="Consolas" w:eastAsia="Consolas" w:hAnsi="Consolas"/>
                <w:sz w:val="19"/>
                <w:szCs w:val="19"/>
              </w:rPr>
              <w:t xml:space="preserve">        "amountRupees": "2500.00",</w:t>
            </w:r>
          </w:p>
          <w:p>
            <w:pPr>
              <w:spacing w:after="20"/>
            </w:pPr>
            <w:r>
              <w:rPr>
                <w:rFonts w:ascii="Consolas" w:cs="Consolas" w:eastAsia="Consolas" w:hAnsi="Consolas"/>
                <w:sz w:val="19"/>
                <w:szCs w:val="19"/>
              </w:rPr>
              <w:t xml:space="preserve">        "payerAccount": "AC-HLD-CALM", "payeeVpa": "merchant@examplebank",</w:t>
            </w:r>
          </w:p>
          <w:p>
            <w:pPr>
              <w:spacing w:after="20"/>
            </w:pPr>
            <w:r>
              <w:rPr>
                <w:rFonts w:ascii="Consolas" w:cs="Consolas" w:eastAsia="Consolas" w:hAnsi="Consolas"/>
                <w:sz w:val="19"/>
                <w:szCs w:val="19"/>
              </w:rPr>
              <w:t xml:space="preserve">        "channel": "mobile", "status": "settled" } },</w:t>
            </w:r>
          </w:p>
          <w:p>
            <w:pPr>
              <w:spacing w:after="20"/>
            </w:pPr>
            <w:r>
              <w:rPr>
                <w:rFonts w:ascii="Consolas" w:cs="Consolas" w:eastAsia="Consolas" w:hAnsi="Consolas"/>
                <w:sz w:val="19"/>
                <w:szCs w:val="19"/>
              </w:rPr>
              <w:t xml:space="preserve">    { "rail": "IMPS", "payload": {</w:t>
            </w:r>
          </w:p>
          <w:p>
            <w:pPr>
              <w:spacing w:after="20"/>
            </w:pPr>
            <w:r>
              <w:rPr>
                <w:rFonts w:ascii="Consolas" w:cs="Consolas" w:eastAsia="Consolas" w:hAnsi="Consolas"/>
                <w:sz w:val="19"/>
                <w:szCs w:val="19"/>
              </w:rPr>
              <w:t xml:space="preserve">        "rrn": "IMPS-2026-0817-004417",</w:t>
            </w:r>
          </w:p>
          <w:p>
            <w:pPr>
              <w:spacing w:after="20"/>
            </w:pPr>
            <w:r>
              <w:rPr>
                <w:rFonts w:ascii="Consolas" w:cs="Consolas" w:eastAsia="Consolas" w:hAnsi="Consolas"/>
                <w:sz w:val="19"/>
                <w:szCs w:val="19"/>
              </w:rPr>
              <w:t xml:space="preserve">        "txnDate": "2026-08-17T09:14:51+05:30",</w:t>
            </w:r>
          </w:p>
          <w:p>
            <w:pPr>
              <w:spacing w:after="20"/>
            </w:pPr>
            <w:r>
              <w:rPr>
                <w:rFonts w:ascii="Consolas" w:cs="Consolas" w:eastAsia="Consolas" w:hAnsi="Consolas"/>
                <w:sz w:val="19"/>
                <w:szCs w:val="19"/>
              </w:rPr>
              <w:t xml:space="preserve">        "amount": "45000.00",</w:t>
            </w:r>
          </w:p>
          <w:p>
            <w:pPr>
              <w:spacing w:after="20"/>
            </w:pPr>
            <w:r>
              <w:rPr>
                <w:rFonts w:ascii="Consolas" w:cs="Consolas" w:eastAsia="Consolas" w:hAnsi="Consolas"/>
                <w:sz w:val="19"/>
                <w:szCs w:val="19"/>
              </w:rPr>
              <w:t xml:space="preserve">        "remitterAccount": "AC-HLD-HOT", "beneficiaryAccount": "AC-BEN-99002",</w:t>
            </w:r>
          </w:p>
          <w:p>
            <w:pPr>
              <w:spacing w:after="20"/>
            </w:pPr>
            <w:r>
              <w:rPr>
                <w:rFonts w:ascii="Consolas" w:cs="Consolas" w:eastAsia="Consolas" w:hAnsi="Consolas"/>
                <w:sz w:val="19"/>
                <w:szCs w:val="19"/>
              </w:rPr>
              <w:t xml:space="preserve">        "channel": "netbanking" } },</w:t>
            </w:r>
          </w:p>
          <w:p>
            <w:pPr>
              <w:spacing w:after="20"/>
            </w:pPr>
            <w:r>
              <w:rPr>
                <w:rFonts w:ascii="Consolas" w:cs="Consolas" w:eastAsia="Consolas" w:hAnsi="Consolas"/>
                <w:sz w:val="19"/>
                <w:szCs w:val="19"/>
              </w:rPr>
              <w:t xml:space="preserve">    { "rail": "CARD", "payload": {</w:t>
            </w:r>
          </w:p>
          <w:p>
            <w:pPr>
              <w:spacing w:after="20"/>
            </w:pPr>
            <w:r>
              <w:rPr>
                <w:rFonts w:ascii="Consolas" w:cs="Consolas" w:eastAsia="Consolas" w:hAnsi="Consolas"/>
                <w:sz w:val="19"/>
                <w:szCs w:val="19"/>
              </w:rPr>
              <w:t xml:space="preserve">        "authCode": "CARD-2026-0817-118820",</w:t>
            </w:r>
          </w:p>
          <w:p>
            <w:pPr>
              <w:spacing w:after="20"/>
            </w:pPr>
            <w:r>
              <w:rPr>
                <w:rFonts w:ascii="Consolas" w:cs="Consolas" w:eastAsia="Consolas" w:hAnsi="Consolas"/>
                <w:sz w:val="19"/>
                <w:szCs w:val="19"/>
              </w:rPr>
              <w:t xml:space="preserve">        "authTime": "2026-08-17T09:20:33+05:30",</w:t>
            </w:r>
          </w:p>
          <w:p>
            <w:pPr>
              <w:spacing w:after="20"/>
            </w:pPr>
            <w:r>
              <w:rPr>
                <w:rFonts w:ascii="Consolas" w:cs="Consolas" w:eastAsia="Consolas" w:hAnsi="Consolas"/>
                <w:sz w:val="19"/>
                <w:szCs w:val="19"/>
              </w:rPr>
              <w:t xml:space="preserve">        "authAmount": "18999.00",</w:t>
            </w:r>
          </w:p>
          <w:p>
            <w:pPr>
              <w:spacing w:after="20"/>
            </w:pPr>
            <w:r>
              <w:rPr>
                <w:rFonts w:ascii="Consolas" w:cs="Consolas" w:eastAsia="Consolas" w:hAnsi="Consolas"/>
                <w:sz w:val="19"/>
                <w:szCs w:val="19"/>
              </w:rPr>
              <w:t xml:space="preserve">        "pan_token": "TOK-4f9e2c7a1b6d", "merchantId": "MERCH-88213-ELECTRONICS",</w:t>
            </w:r>
          </w:p>
          <w:p>
            <w:pPr>
              <w:spacing w:after="20"/>
            </w:pPr>
            <w:r>
              <w:rPr>
                <w:rFonts w:ascii="Consolas" w:cs="Consolas" w:eastAsia="Consolas" w:hAnsi="Consolas"/>
                <w:sz w:val="19"/>
                <w:szCs w:val="19"/>
              </w:rPr>
              <w:t xml:space="preserve">        "channel": "pos" }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p>
      <w:pPr>
        <w:spacing w:after="60" w:before="120"/>
      </w:pPr>
      <w:r>
        <w:rPr>
          <w:rFonts w:ascii="Calibri" w:cs="Calibri" w:eastAsia="Calibri" w:hAnsi="Calibri"/>
          <w:b/>
          <w:bCs/>
          <w:color w:val="1B7A43"/>
          <w:spacing w:val="12"/>
          <w:sz w:val="16"/>
          <w:szCs w:val="16"/>
        </w:rPr>
        <w:t xml:space="preserve">RESPONSE — 202</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"accepted": 3,</w:t>
            </w:r>
          </w:p>
          <w:p>
            <w:pPr>
              <w:spacing w:after="20"/>
            </w:pPr>
            <w:r>
              <w:rPr>
                <w:rFonts w:ascii="Consolas" w:cs="Consolas" w:eastAsia="Consolas" w:hAnsi="Consolas"/>
                <w:sz w:val="19"/>
                <w:szCs w:val="19"/>
              </w:rPr>
              <w:t xml:space="preserve">  "duplicates": 0,</w:t>
            </w:r>
          </w:p>
          <w:p>
            <w:pPr>
              <w:spacing w:after="20"/>
            </w:pPr>
            <w:r>
              <w:rPr>
                <w:rFonts w:ascii="Consolas" w:cs="Consolas" w:eastAsia="Consolas" w:hAnsi="Consolas"/>
                <w:sz w:val="19"/>
                <w:szCs w:val="19"/>
              </w:rPr>
              <w:t xml:space="preserve">  "rejected": 0,</w:t>
            </w:r>
          </w:p>
          <w:p>
            <w:pPr>
              <w:spacing w:after="20"/>
            </w:pPr>
            <w:r>
              <w:rPr>
                <w:rFonts w:ascii="Consolas" w:cs="Consolas" w:eastAsia="Consolas" w:hAnsi="Consolas"/>
                <w:sz w:val="19"/>
                <w:szCs w:val="19"/>
              </w:rPr>
              <w:t xml:space="preserve">  "errors": [],</w:t>
            </w:r>
          </w:p>
          <w:p>
            <w:pPr>
              <w:spacing w:after="20"/>
            </w:pPr>
            <w:r>
              <w:rPr>
                <w:rFonts w:ascii="Consolas" w:cs="Consolas" w:eastAsia="Consolas" w:hAnsi="Consolas"/>
                <w:sz w:val="19"/>
                <w:szCs w:val="19"/>
              </w:rPr>
              <w:t xml:space="preserve">  "batch_id": "1c9b2a44-6e7d-4f10-9a3c-8d5e2b7f0c11"</w:t>
            </w:r>
          </w:p>
          <w:p>
            <w:pPr>
              <w:spacing w:after="20"/>
            </w:pPr>
            <w:r>
              <w:rPr>
                <w:rFonts w:ascii="Consolas" w:cs="Consolas" w:eastAsia="Consolas" w:hAnsi="Consolas"/>
                <w:sz w:val="19"/>
                <w:szCs w:val="19"/>
              </w:rPr>
              <w:t xml:space="preserve">}</w:t>
            </w:r>
          </w:p>
        </w:tc>
      </w:tr>
    </w:tbl>
    <w:p>
      <w:pPr>
        <w:spacing w:after="160" w:line="276"/>
      </w:pPr>
      <w:r>
        <w:rPr>
          <w:rFonts w:ascii="Calibri" w:cs="Calibri" w:eastAsia="Calibri" w:hAnsi="Calibri"/>
          <w:sz w:val="21"/>
          <w:szCs w:val="21"/>
        </w:rPr>
        <w:t xml:space="preserve">Field-by-field accepted key names for each rail (UPI, IMPS, Card), including every alias Fraud360 recognises, are in Appendix A.</w:t>
      </w:r>
    </w:p>
    <w:p>
      <w:pPr>
        <w:pStyle w:val="Heading2"/>
        <w:spacing w:after="140" w:before="360"/>
      </w:pPr>
      <w:r>
        <w:rPr>
          <w:rFonts w:ascii="Calibri" w:cs="Calibri" w:eastAsia="Calibri" w:hAnsi="Calibri"/>
          <w:b/>
          <w:bCs/>
          <w:color w:val="1E2761"/>
          <w:sz w:val="24"/>
          <w:szCs w:val="24"/>
        </w:rPr>
        <w:t xml:space="preserve">4.8  ISO 8583 (Preview) — for Switches That Cannot Originate JSON</w:t>
      </w:r>
    </w:p>
    <w:tbl>
      <w:tblPr>
        <w:tblW w:type="dxa" w:w="9350"/>
        <w:tblBorders>
          <w:top w:val="single" w:color="FCEEEE" w:sz="4"/>
          <w:left w:val="single" w:color="A23B3B" w:sz="24"/>
          <w:bottom w:val="single" w:color="FCEEEE" w:sz="4"/>
          <w:right w:val="single" w:color="FCEEEE" w:sz="4"/>
          <w:insideH w:val="none" w:color="FCEEEE" w:sz="0"/>
          <w:insideV w:val="none" w:color="FCEEEE" w:sz="0"/>
        </w:tblBorders>
      </w:tblPr>
      <w:tblGrid>
        <w:gridCol w:w="9350"/>
      </w:tblGrid>
      <w:tr>
        <w:tc>
          <w:tcPr>
            <w:tcW w:type="dxa" w:w="9350"/>
            <w:shd w:fill="FCEEEE" w:color="auto" w:val="clear"/>
            <w:tcMar>
              <w:top w:type="dxa" w:w="140"/>
              <w:left w:type="dxa" w:w="220"/>
              <w:bottom w:type="dxa" w:w="140"/>
              <w:right w:type="dxa" w:w="220"/>
            </w:tcMar>
          </w:tcPr>
          <w:p>
            <w:pPr>
              <w:spacing w:after="60"/>
            </w:pPr>
            <w:r>
              <w:rPr>
                <w:rFonts w:ascii="Calibri" w:cs="Calibri" w:eastAsia="Calibri" w:hAnsi="Calibri"/>
                <w:b/>
                <w:bCs/>
                <w:color w:val="A23B3B"/>
                <w:sz w:val="19"/>
                <w:szCs w:val="19"/>
              </w:rPr>
              <w:t xml:space="preserve">Status: Preview, not for production integration yet</w:t>
            </w:r>
          </w:p>
          <w:p>
            <w:r>
              <w:rPr>
                <w:rFonts w:ascii="Calibri" w:cs="Calibri" w:eastAsia="Calibri" w:hAnsi="Calibri"/>
                <w:color w:val="2A2E33"/>
                <w:sz w:val="19"/>
                <w:szCs w:val="19"/>
              </w:rPr>
              <w:t xml:space="preserve">This section describes a second Lane A front door for card/EFT switches that have no practical way to call the JSON /decide contract in §4.2. The core protocol adapter — message codec, field mapping, and connection handling — is built and passes its full test suite, including live end-to-end tests against the real decision engine using synthesised authorisation traffic. It has not been connected to any live switch. Two things must be confirmed with your integration team before this becomes a production contract: your switch's exact ISO 8583 dialect and private-field usage (§4.8.4), and whether Fraud360 terminating your raw PAN brings it into your PCI-DSS cardholder-data scope (§4.8.5). Treat everything below as a preview of the shape this integration will take, not a final specification — do not build production code against it yet.</w:t>
            </w:r>
          </w:p>
        </w:tc>
      </w:tr>
    </w:tbl>
    <w:p>
      <w:pPr>
        <w:pStyle w:val="Heading3"/>
        <w:spacing w:after="100" w:before="240"/>
      </w:pPr>
      <w:r>
        <w:rPr>
          <w:rFonts w:ascii="Calibri" w:cs="Calibri" w:eastAsia="Calibri" w:hAnsi="Calibri"/>
          <w:b/>
          <w:bCs/>
          <w:color w:val="44546A"/>
          <w:sz w:val="21"/>
          <w:szCs w:val="21"/>
        </w:rPr>
        <w:t xml:space="preserve">4.8.1  Why a Second Front Door</w:t>
      </w:r>
    </w:p>
    <w:p>
      <w:pPr>
        <w:spacing w:after="160" w:line="276"/>
      </w:pPr>
      <w:r>
        <w:rPr>
          <w:rFonts w:ascii="Calibri" w:cs="Calibri" w:eastAsia="Calibri" w:hAnsi="Calibri"/>
          <w:sz w:val="21"/>
          <w:szCs w:val="21"/>
        </w:rPr>
        <w:t xml:space="preserve">Card/EFT switches are frequently on-premises, vendor-licensed systems with no REST layer available without a vendor change request. Rather than asking every such vendor to build a JSON translation layer of their own, Fraud360 provides a native ISO 8583 listener that decodes an authorisation message and calls the </w:t>
      </w:r>
      <w:r>
        <w:rPr>
          <w:rFonts w:ascii="Consolas" w:cs="Consolas" w:eastAsia="Consolas" w:hAnsi="Consolas"/>
          <w:sz w:val="19"/>
          <w:szCs w:val="19"/>
        </w:rPr>
        <w:t xml:space="preserve">/decide</w:t>
      </w:r>
      <w:r>
        <w:rPr>
          <w:rFonts w:ascii="Calibri" w:cs="Calibri" w:eastAsia="Calibri" w:hAnsi="Calibri"/>
          <w:sz w:val="21"/>
          <w:szCs w:val="21"/>
        </w:rPr>
        <w:t xml:space="preserve"> contract in §4.2 internally — same rule catalogue, same policy, same decision log. Two front doors, one decision engine: nothing about how a payment is scored differs based on which protocol carried it in.</w:t>
      </w:r>
    </w:p>
    <w:p>
      <w:pPr>
        <w:pStyle w:val="Heading3"/>
        <w:spacing w:after="100" w:before="240"/>
      </w:pPr>
      <w:r>
        <w:rPr>
          <w:rFonts w:ascii="Calibri" w:cs="Calibri" w:eastAsia="Calibri" w:hAnsi="Calibri"/>
          <w:b/>
          <w:bCs/>
          <w:color w:val="44546A"/>
          <w:sz w:val="21"/>
          <w:szCs w:val="21"/>
        </w:rPr>
        <w:t xml:space="preserve">4.8.2  Transport and Message Types</w:t>
      </w:r>
    </w:p>
    <w:tbl>
      <w:tblPr>
        <w:tblW w:type="dxa" w:w="9150"/>
        <w:tblBorders>
          <w:top w:val="single" w:color="C7D2E6" w:sz="4"/>
          <w:left w:val="single" w:color="C7D2E6" w:sz="4"/>
          <w:bottom w:val="single" w:color="C7D2E6" w:sz="4"/>
          <w:right w:val="single" w:color="C7D2E6" w:sz="4"/>
          <w:insideH w:val="single" w:color="C7D2E6" w:sz="4"/>
          <w:insideV w:val="single" w:color="C7D2E6" w:sz="4"/>
        </w:tblBorders>
      </w:tblPr>
      <w:tblGrid>
        <w:gridCol w:w="2400"/>
        <w:gridCol w:w="6750"/>
      </w:tblGrid>
      <w:tr>
        <w:trPr>
          <w:tblHeader/>
        </w:trPr>
        <w:tc>
          <w:tcPr>
            <w:tcW w:type="dxa" w:w="24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Attribute</w:t>
            </w:r>
          </w:p>
        </w:tc>
        <w:tc>
          <w:tcPr>
            <w:tcW w:type="dxa" w:w="67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Detail</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Transport</w:t>
            </w:r>
          </w:p>
        </w:tc>
        <w:tc>
          <w:tcPr>
            <w:tcW w:type="dxa" w:w="67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Persistent TCP connection, one per switch. Base host/port issued per bank at onboarding — separate from the base URLs in §3.1.</w:t>
            </w:r>
          </w:p>
        </w:tc>
      </w:tr>
      <w:tr>
        <w:tc>
          <w:tcPr>
            <w:tcW w:type="dxa" w:w="2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Framing</w:t>
            </w:r>
          </w:p>
        </w:tc>
        <w:tc>
          <w:tcPr>
            <w:tcW w:type="dxa" w:w="67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2-byte big-endian length header, followed by the MTI + bitmap + field data. (A 4-byte header is a documented alternative if your switch requires it — confirm at onboarding.)</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Encoding</w:t>
            </w:r>
          </w:p>
        </w:tc>
        <w:tc>
          <w:tcPr>
            <w:tcW w:type="dxa" w:w="67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ASCII only, in this preview. BCD/EBCDIC-encoded fields are not yet supported.</w:t>
            </w:r>
          </w:p>
        </w:tc>
      </w:tr>
      <w:tr>
        <w:tc>
          <w:tcPr>
            <w:tcW w:type="dxa" w:w="2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Request MTI</w:t>
            </w:r>
          </w:p>
        </w:tc>
        <w:tc>
          <w:tcPr>
            <w:tcW w:type="dxa" w:w="675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0100</w:t>
            </w:r>
          </w:p>
          <w:p>
            <w:r>
              <w:rPr>
                <w:rFonts w:ascii="Calibri" w:cs="Calibri" w:eastAsia="Calibri" w:hAnsi="Calibri"/>
                <w:sz w:val="18"/>
                <w:szCs w:val="18"/>
              </w:rPr>
              <w:t xml:space="preserve"> (authorisation request) or </w:t>
            </w:r>
          </w:p>
          <w:p>
            <w:r>
              <w:rPr>
                <w:rFonts w:ascii="Consolas" w:cs="Consolas" w:eastAsia="Consolas" w:hAnsi="Consolas"/>
                <w:sz w:val="19"/>
                <w:szCs w:val="19"/>
              </w:rPr>
              <w:t xml:space="preserve">0120</w:t>
            </w:r>
          </w:p>
          <w:p>
            <w:r>
              <w:rPr>
                <w:rFonts w:ascii="Calibri" w:cs="Calibri" w:eastAsia="Calibri" w:hAnsi="Calibri"/>
                <w:sz w:val="18"/>
                <w:szCs w:val="18"/>
              </w:rPr>
              <w:t xml:space="preserve"> (authorisation request — advice)</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Response MTI</w:t>
            </w:r>
          </w:p>
        </w:tc>
        <w:tc>
          <w:tcPr>
            <w:tcW w:type="dxa" w:w="675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0110</w:t>
            </w:r>
          </w:p>
          <w:p>
            <w:r>
              <w:rPr>
                <w:rFonts w:ascii="Calibri" w:cs="Calibri" w:eastAsia="Calibri" w:hAnsi="Calibri"/>
                <w:sz w:val="18"/>
                <w:szCs w:val="18"/>
              </w:rPr>
              <w:t xml:space="preserve"> or </w:t>
            </w:r>
          </w:p>
          <w:p>
            <w:r>
              <w:rPr>
                <w:rFonts w:ascii="Consolas" w:cs="Consolas" w:eastAsia="Consolas" w:hAnsi="Consolas"/>
                <w:sz w:val="19"/>
                <w:szCs w:val="19"/>
              </w:rPr>
              <w:t xml:space="preserve">0130</w:t>
            </w:r>
          </w:p>
          <w:p>
            <w:r>
              <w:rPr>
                <w:rFonts w:ascii="Calibri" w:cs="Calibri" w:eastAsia="Calibri" w:hAnsi="Calibri"/>
                <w:sz w:val="18"/>
                <w:szCs w:val="18"/>
              </w:rPr>
              <w:t xml:space="preserve"> respectively</w:t>
            </w:r>
          </w:p>
        </w:tc>
      </w:tr>
    </w:tbl>
    <w:p>
      <w:pPr>
        <w:pStyle w:val="Heading3"/>
        <w:spacing w:after="100" w:before="240"/>
      </w:pPr>
      <w:r>
        <w:rPr>
          <w:rFonts w:ascii="Calibri" w:cs="Calibri" w:eastAsia="Calibri" w:hAnsi="Calibri"/>
          <w:b/>
          <w:bCs/>
          <w:color w:val="44546A"/>
          <w:sz w:val="21"/>
          <w:szCs w:val="21"/>
        </w:rPr>
        <w:t xml:space="preserve">4.8.3  Data Element Mapping (Standard Fields Only)</w:t>
      </w:r>
    </w:p>
    <w:p>
      <w:pPr>
        <w:spacing w:after="160" w:line="276"/>
      </w:pPr>
      <w:r>
        <w:rPr>
          <w:rFonts w:ascii="Calibri" w:cs="Calibri" w:eastAsia="Calibri" w:hAnsi="Calibri"/>
          <w:sz w:val="21"/>
          <w:szCs w:val="21"/>
        </w:rPr>
        <w:t xml:space="preserve">Only the public, standard data elements defined by the ISO 8583:1987 base standard are mapped in this preview. Every switch vendor's private-use fields (DE48, DE62, DE120–127) differ, and none are mapped here until confirmed against your switch's own specification — see §4.8.4.</w:t>
      </w:r>
    </w:p>
    <w:tbl>
      <w:tblPr>
        <w:tblW w:type="dxa" w:w="9150"/>
        <w:tblBorders>
          <w:top w:val="single" w:color="C7D2E6" w:sz="4"/>
          <w:left w:val="single" w:color="C7D2E6" w:sz="4"/>
          <w:bottom w:val="single" w:color="C7D2E6" w:sz="4"/>
          <w:right w:val="single" w:color="C7D2E6" w:sz="4"/>
          <w:insideH w:val="single" w:color="C7D2E6" w:sz="4"/>
          <w:insideV w:val="single" w:color="C7D2E6" w:sz="4"/>
        </w:tblBorders>
      </w:tblPr>
      <w:tblGrid>
        <w:gridCol w:w="2600"/>
        <w:gridCol w:w="3700"/>
        <w:gridCol w:w="2850"/>
      </w:tblGrid>
      <w:tr>
        <w:trPr>
          <w:tblHeader/>
        </w:trPr>
        <w:tc>
          <w:tcPr>
            <w:tcW w:type="dxa" w:w="26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ISO 8583 DE</w:t>
            </w:r>
          </w:p>
        </w:tc>
        <w:tc>
          <w:tcPr>
            <w:tcW w:type="dxa" w:w="37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Canonical /decide field</w:t>
            </w:r>
          </w:p>
        </w:tc>
        <w:tc>
          <w:tcPr>
            <w:tcW w:type="dxa" w:w="28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Notes</w:t>
            </w:r>
          </w:p>
        </w:tc>
      </w:tr>
      <w:tr>
        <w:tc>
          <w:tcPr>
            <w:tcW w:type="dxa" w:w="26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DE2</w:t>
            </w:r>
          </w:p>
          <w:p>
            <w:r>
              <w:rPr>
                <w:rFonts w:ascii="Calibri" w:cs="Calibri" w:eastAsia="Calibri" w:hAnsi="Calibri"/>
                <w:sz w:val="18"/>
                <w:szCs w:val="18"/>
              </w:rPr>
              <w:t xml:space="preserve"> (PAN)</w:t>
            </w:r>
          </w:p>
        </w:tc>
        <w:tc>
          <w:tcPr>
            <w:tcW w:type="dxa" w:w="37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debtor_account</w:t>
            </w:r>
          </w:p>
        </w:tc>
        <w:tc>
          <w:tcPr>
            <w:tcW w:type="dxa" w:w="28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Masked at the point it first arrives (hash + last 4). The raw PAN is never sent to /decide, logged, or stored.</w:t>
            </w:r>
          </w:p>
        </w:tc>
      </w:tr>
      <w:tr>
        <w:tc>
          <w:tcPr>
            <w:tcW w:type="dxa" w:w="26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DE4</w:t>
            </w:r>
          </w:p>
          <w:p>
            <w:r>
              <w:rPr>
                <w:rFonts w:ascii="Calibri" w:cs="Calibri" w:eastAsia="Calibri" w:hAnsi="Calibri"/>
                <w:sz w:val="18"/>
                <w:szCs w:val="18"/>
              </w:rPr>
              <w:t xml:space="preserve"> (amount)</w:t>
            </w:r>
          </w:p>
        </w:tc>
        <w:tc>
          <w:tcPr>
            <w:tcW w:type="dxa" w:w="37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amount_paise</w:t>
            </w:r>
          </w:p>
        </w:tc>
        <w:tc>
          <w:tcPr>
            <w:tcW w:type="dxa" w:w="28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w:t>
            </w:r>
          </w:p>
        </w:tc>
      </w:tr>
      <w:tr>
        <w:tc>
          <w:tcPr>
            <w:tcW w:type="dxa" w:w="26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DE7</w:t>
            </w:r>
          </w:p>
          <w:p>
            <w:r>
              <w:rPr>
                <w:rFonts w:ascii="Calibri" w:cs="Calibri" w:eastAsia="Calibri" w:hAnsi="Calibri"/>
                <w:sz w:val="18"/>
                <w:szCs w:val="18"/>
              </w:rPr>
              <w:t xml:space="preserve"> (transmission date/time)</w:t>
            </w:r>
          </w:p>
        </w:tc>
        <w:tc>
          <w:tcPr>
            <w:tcW w:type="dxa" w:w="37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Used to build the decision timestamp</w:t>
            </w:r>
          </w:p>
        </w:tc>
        <w:tc>
          <w:tcPr>
            <w:tcW w:type="dxa" w:w="28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Carries no year and no timezone offset — both are inferred against a bank-configured local offset, documented at onboarding.</w:t>
            </w:r>
          </w:p>
        </w:tc>
      </w:tr>
      <w:tr>
        <w:tc>
          <w:tcPr>
            <w:tcW w:type="dxa" w:w="26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DE11</w:t>
            </w:r>
          </w:p>
          <w:p>
            <w:r>
              <w:rPr>
                <w:rFonts w:ascii="Calibri" w:cs="Calibri" w:eastAsia="Calibri" w:hAnsi="Calibri"/>
                <w:sz w:val="18"/>
                <w:szCs w:val="18"/>
              </w:rPr>
              <w:t xml:space="preserve"> / </w:t>
            </w:r>
          </w:p>
          <w:p>
            <w:r>
              <w:rPr>
                <w:rFonts w:ascii="Consolas" w:cs="Consolas" w:eastAsia="Consolas" w:hAnsi="Consolas"/>
                <w:sz w:val="19"/>
                <w:szCs w:val="19"/>
              </w:rPr>
              <w:t xml:space="preserve">DE37</w:t>
            </w:r>
          </w:p>
          <w:p>
            <w:r>
              <w:rPr>
                <w:rFonts w:ascii="Calibri" w:cs="Calibri" w:eastAsia="Calibri" w:hAnsi="Calibri"/>
                <w:sz w:val="18"/>
                <w:szCs w:val="18"/>
              </w:rPr>
              <w:t xml:space="preserve"> (STAN / RRN)</w:t>
            </w:r>
          </w:p>
        </w:tc>
        <w:tc>
          <w:tcPr>
            <w:tcW w:type="dxa" w:w="37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txn_ref</w:t>
            </w:r>
          </w:p>
        </w:tc>
        <w:tc>
          <w:tcPr>
            <w:tcW w:type="dxa" w:w="28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RRN preferred where present</w:t>
            </w:r>
          </w:p>
        </w:tc>
      </w:tr>
      <w:tr>
        <w:tc>
          <w:tcPr>
            <w:tcW w:type="dxa" w:w="26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DE41</w:t>
            </w:r>
          </w:p>
          <w:p>
            <w:r>
              <w:rPr>
                <w:rFonts w:ascii="Calibri" w:cs="Calibri" w:eastAsia="Calibri" w:hAnsi="Calibri"/>
                <w:sz w:val="18"/>
                <w:szCs w:val="18"/>
              </w:rPr>
              <w:t xml:space="preserve"> (terminal id)</w:t>
            </w:r>
          </w:p>
        </w:tc>
        <w:tc>
          <w:tcPr>
            <w:tcW w:type="dxa" w:w="37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device_id</w:t>
            </w:r>
          </w:p>
        </w:tc>
        <w:tc>
          <w:tcPr>
            <w:tcW w:type="dxa" w:w="28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w:t>
            </w:r>
          </w:p>
        </w:tc>
      </w:tr>
      <w:tr>
        <w:tc>
          <w:tcPr>
            <w:tcW w:type="dxa" w:w="26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DE42</w:t>
            </w:r>
          </w:p>
          <w:p>
            <w:r>
              <w:rPr>
                <w:rFonts w:ascii="Calibri" w:cs="Calibri" w:eastAsia="Calibri" w:hAnsi="Calibri"/>
                <w:sz w:val="18"/>
                <w:szCs w:val="18"/>
              </w:rPr>
              <w:t xml:space="preserve"> (card acceptor id)</w:t>
            </w:r>
          </w:p>
        </w:tc>
        <w:tc>
          <w:tcPr>
            <w:tcW w:type="dxa" w:w="37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creditor_account</w:t>
            </w:r>
          </w:p>
        </w:tc>
        <w:tc>
          <w:tcPr>
            <w:tcW w:type="dxa" w:w="28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w:t>
            </w:r>
          </w:p>
        </w:tc>
      </w:tr>
      <w:tr>
        <w:tc>
          <w:tcPr>
            <w:tcW w:type="dxa" w:w="26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DE39</w:t>
            </w:r>
          </w:p>
          <w:p>
            <w:r>
              <w:rPr>
                <w:rFonts w:ascii="Calibri" w:cs="Calibri" w:eastAsia="Calibri" w:hAnsi="Calibri"/>
                <w:sz w:val="18"/>
                <w:szCs w:val="18"/>
              </w:rPr>
              <w:t xml:space="preserve"> (response code, response only)</w:t>
            </w:r>
          </w:p>
        </w:tc>
        <w:tc>
          <w:tcPr>
            <w:tcW w:type="dxa" w:w="37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Built from </w:t>
            </w:r>
          </w:p>
          <w:p>
            <w:r>
              <w:rPr>
                <w:rFonts w:ascii="Consolas" w:cs="Consolas" w:eastAsia="Consolas" w:hAnsi="Consolas"/>
                <w:sz w:val="19"/>
                <w:szCs w:val="19"/>
              </w:rPr>
              <w:t xml:space="preserve">action</w:t>
            </w:r>
          </w:p>
        </w:tc>
        <w:tc>
          <w:tcPr>
            <w:tcW w:type="dxa" w:w="28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00 = allow, 05 = decline, 01 = challenge (referral — the closest analogue ISO 8583 has to a step-up)</w:t>
            </w:r>
          </w:p>
        </w:tc>
      </w:tr>
    </w:tbl>
    <w:p>
      <w:pPr>
        <w:pStyle w:val="Heading3"/>
        <w:spacing w:after="100" w:before="240"/>
      </w:pPr>
      <w:r>
        <w:rPr>
          <w:rFonts w:ascii="Calibri" w:cs="Calibri" w:eastAsia="Calibri" w:hAnsi="Calibri"/>
          <w:b/>
          <w:bCs/>
          <w:color w:val="44546A"/>
          <w:sz w:val="21"/>
          <w:szCs w:val="21"/>
        </w:rPr>
        <w:t xml:space="preserve">4.8.4  What Is Not Yet Confirmed</w:t>
      </w:r>
    </w:p>
    <w:p>
      <w:pPr>
        <w:pStyle w:val="ListParagraph"/>
        <w:numPr>
          <w:ilvl w:val="0"/>
          <w:numId w:val="2"/>
        </w:numPr>
        <w:spacing w:after="90"/>
      </w:pPr>
      <w:r>
        <w:rPr>
          <w:rFonts w:ascii="Calibri" w:cs="Calibri" w:eastAsia="Calibri" w:hAnsi="Calibri"/>
          <w:b/>
          <w:bCs/>
          <w:sz w:val="21"/>
          <w:szCs w:val="21"/>
        </w:rPr>
        <w:t xml:space="preserve">Your switch's exact dialect </w:t>
      </w:r>
      <w:r>
        <w:rPr>
          <w:rFonts w:ascii="Calibri" w:cs="Calibri" w:eastAsia="Calibri" w:hAnsi="Calibri"/>
          <w:sz w:val="21"/>
          <w:szCs w:val="21"/>
        </w:rPr>
        <w:t xml:space="preserve">— 1987 vs. 1993 vs. 2003, and which card network's private-field conventions apply (Visa Base I, Mastercard, RuPay/NPCI). No two switches implement ISO 8583 identically outside the standard fields above.</w:t>
      </w:r>
    </w:p>
    <w:p>
      <w:pPr>
        <w:pStyle w:val="ListParagraph"/>
        <w:numPr>
          <w:ilvl w:val="0"/>
          <w:numId w:val="2"/>
        </w:numPr>
        <w:spacing w:after="90"/>
      </w:pPr>
      <w:r>
        <w:rPr>
          <w:rFonts w:ascii="Calibri" w:cs="Calibri" w:eastAsia="Calibri" w:hAnsi="Calibri"/>
          <w:b/>
          <w:bCs/>
          <w:sz w:val="21"/>
          <w:szCs w:val="21"/>
        </w:rPr>
        <w:t xml:space="preserve">Framing details </w:t>
      </w:r>
      <w:r>
        <w:rPr>
          <w:rFonts w:ascii="Calibri" w:cs="Calibri" w:eastAsia="Calibri" w:hAnsi="Calibri"/>
          <w:sz w:val="21"/>
          <w:szCs w:val="21"/>
        </w:rPr>
        <w:t xml:space="preserve">— length-header width and encoding are confirmed per connection, not assumed from this document.</w:t>
      </w:r>
    </w:p>
    <w:p>
      <w:pPr>
        <w:pStyle w:val="ListParagraph"/>
        <w:numPr>
          <w:ilvl w:val="0"/>
          <w:numId w:val="2"/>
        </w:numPr>
        <w:spacing w:after="90"/>
      </w:pPr>
      <w:r>
        <w:rPr>
          <w:rFonts w:ascii="Calibri" w:cs="Calibri" w:eastAsia="Calibri" w:hAnsi="Calibri"/>
          <w:b/>
          <w:bCs/>
          <w:sz w:val="21"/>
          <w:szCs w:val="21"/>
        </w:rPr>
        <w:t xml:space="preserve">Response code table </w:t>
      </w:r>
      <w:r>
        <w:rPr>
          <w:rFonts w:ascii="Calibri" w:cs="Calibri" w:eastAsia="Calibri" w:hAnsi="Calibri"/>
          <w:sz w:val="21"/>
          <w:szCs w:val="21"/>
        </w:rPr>
        <w:t xml:space="preserve">— DE39 codes are not perfectly standardised across networks; the mapping in §4.8.3 is a starting point, confirmed against your network's own table before go-live.</w:t>
      </w:r>
    </w:p>
    <w:p>
      <w:pPr>
        <w:pStyle w:val="ListParagraph"/>
        <w:numPr>
          <w:ilvl w:val="0"/>
          <w:numId w:val="2"/>
        </w:numPr>
        <w:spacing w:after="90"/>
      </w:pPr>
      <w:r>
        <w:rPr>
          <w:rFonts w:ascii="Calibri" w:cs="Calibri" w:eastAsia="Calibri" w:hAnsi="Calibri"/>
          <w:b/>
          <w:bCs/>
          <w:sz w:val="21"/>
          <w:szCs w:val="21"/>
        </w:rPr>
        <w:t xml:space="preserve">Certification testing </w:t>
      </w:r>
      <w:r>
        <w:rPr>
          <w:rFonts w:ascii="Calibri" w:cs="Calibri" w:eastAsia="Calibri" w:hAnsi="Calibri"/>
          <w:sz w:val="21"/>
          <w:szCs w:val="21"/>
        </w:rPr>
        <w:t xml:space="preserve">— many card networks and switch vendors require a certification pass before production traffic. Plan for this as a separate step with its own timeline.</w:t>
      </w:r>
    </w:p>
    <w:p>
      <w:pPr>
        <w:pStyle w:val="Heading3"/>
        <w:spacing w:after="100" w:before="240"/>
      </w:pPr>
      <w:r>
        <w:rPr>
          <w:rFonts w:ascii="Calibri" w:cs="Calibri" w:eastAsia="Calibri" w:hAnsi="Calibri"/>
          <w:b/>
          <w:bCs/>
          <w:color w:val="44546A"/>
          <w:sz w:val="21"/>
          <w:szCs w:val="21"/>
        </w:rPr>
        <w:t xml:space="preserve">4.8.5  Compliance: PCI-DSS Scope</w:t>
      </w:r>
    </w:p>
    <w:tbl>
      <w:tblPr>
        <w:tblW w:type="dxa" w:w="9350"/>
        <w:tblBorders>
          <w:top w:val="single" w:color="FCEEEE" w:sz="4"/>
          <w:left w:val="single" w:color="A23B3B" w:sz="24"/>
          <w:bottom w:val="single" w:color="FCEEEE" w:sz="4"/>
          <w:right w:val="single" w:color="FCEEEE" w:sz="4"/>
          <w:insideH w:val="none" w:color="FCEEEE" w:sz="0"/>
          <w:insideV w:val="none" w:color="FCEEEE" w:sz="0"/>
        </w:tblBorders>
      </w:tblPr>
      <w:tblGrid>
        <w:gridCol w:w="9350"/>
      </w:tblGrid>
      <w:tr>
        <w:tc>
          <w:tcPr>
            <w:tcW w:type="dxa" w:w="9350"/>
            <w:shd w:fill="FCEEEE" w:color="auto" w:val="clear"/>
            <w:tcMar>
              <w:top w:type="dxa" w:w="140"/>
              <w:left w:type="dxa" w:w="220"/>
              <w:bottom w:type="dxa" w:w="140"/>
              <w:right w:type="dxa" w:w="220"/>
            </w:tcMar>
          </w:tcPr>
          <w:p>
            <w:pPr>
              <w:spacing w:after="60"/>
            </w:pPr>
            <w:r>
              <w:rPr>
                <w:rFonts w:ascii="Calibri" w:cs="Calibri" w:eastAsia="Calibri" w:hAnsi="Calibri"/>
                <w:b/>
                <w:bCs/>
                <w:color w:val="A23B3B"/>
                <w:sz w:val="19"/>
                <w:szCs w:val="19"/>
              </w:rPr>
              <w:t xml:space="preserve">A decision for your compliance team, not an engineering default</w:t>
            </w:r>
          </w:p>
          <w:p>
            <w:r>
              <w:rPr>
                <w:rFonts w:ascii="Calibri" w:cs="Calibri" w:eastAsia="Calibri" w:hAnsi="Calibri"/>
                <w:color w:val="2A2E33"/>
                <w:sz w:val="19"/>
                <w:szCs w:val="19"/>
              </w:rPr>
              <w:t xml:space="preserve">An ISO 8583 authorisation message carries the actual PAN. Whether Fraud360 terminating that connection brings it into your PCI-DSS cardholder-data environment depends on where tokenisation happens in your architecture, and must be resolved with your compliance and security teams before any production connection is established. Fraud360's default behaviour — masking the PAN immediately on arrival and never logging, storing, or forwarding it in raw form — is the safe engineering default, not a substitute for that sign-off.</w:t>
            </w:r>
          </w:p>
        </w:tc>
      </w:tr>
    </w:tbl>
    <w:p>
      <w:pPr>
        <w:pStyle w:val="Heading3"/>
        <w:spacing w:after="100" w:before="240"/>
      </w:pPr>
      <w:r>
        <w:rPr>
          <w:rFonts w:ascii="Calibri" w:cs="Calibri" w:eastAsia="Calibri" w:hAnsi="Calibri"/>
          <w:b/>
          <w:bCs/>
          <w:color w:val="44546A"/>
          <w:sz w:val="21"/>
          <w:szCs w:val="21"/>
        </w:rPr>
        <w:t xml:space="preserve">4.8.6  Next Steps</w:t>
      </w:r>
    </w:p>
    <w:p>
      <w:pPr>
        <w:spacing w:after="160" w:line="276"/>
      </w:pPr>
      <w:r>
        <w:rPr>
          <w:rFonts w:ascii="Calibri" w:cs="Calibri" w:eastAsia="Calibri" w:hAnsi="Calibri"/>
          <w:sz w:val="21"/>
          <w:szCs w:val="21"/>
        </w:rPr>
        <w:t xml:space="preserve">If your switch cannot call the JSON /decide contract in §4.2, contact your Fraud360 onboarding lead to discuss a pilot. Before any production connection, expect: (1) your switch's own ISO 8583 specification document shared with Fraud360, (2) a compliance decision on PCI-DSS scope, (3) a UAT connection exercised against agreed test cases, and (4) certification testing per your card network's requirements.</w:t>
      </w:r>
    </w:p>
    <w:p>
      <w:r>
        <w:br w:type="page"/>
      </w:r>
    </w:p>
    <w:p>
      <w:pPr>
        <w:pStyle w:val="Heading1"/>
        <w:pBdr>
          <w:bottom w:val="single" w:color="C7D2E6" w:sz="6" w:space="6"/>
        </w:pBdr>
        <w:spacing w:after="200" w:before="480"/>
      </w:pPr>
      <w:r>
        <w:rPr>
          <w:rFonts w:ascii="Calibri" w:cs="Calibri" w:eastAsia="Calibri" w:hAnsi="Calibri"/>
          <w:b/>
          <w:bCs/>
          <w:color w:val="1E2761"/>
          <w:sz w:val="30"/>
          <w:szCs w:val="30"/>
        </w:rPr>
        <w:t xml:space="preserve">5. Part B — Lane B: CBS and LOS Feed Handshaking</w:t>
      </w:r>
    </w:p>
    <w:tbl>
      <w:tblPr>
        <w:tblW w:type="dxa" w:w="9350"/>
        <w:tblBorders>
          <w:top w:val="single" w:color="EDF1FA" w:sz="4"/>
          <w:left w:val="single" w:color="1E2761" w:sz="24"/>
          <w:bottom w:val="single" w:color="EDF1FA" w:sz="4"/>
          <w:right w:val="single" w:color="EDF1FA" w:sz="4"/>
          <w:insideH w:val="none" w:color="EDF1FA" w:sz="0"/>
          <w:insideV w:val="none" w:color="EDF1FA" w:sz="0"/>
        </w:tblBorders>
      </w:tblPr>
      <w:tblGrid>
        <w:gridCol w:w="9350"/>
      </w:tblGrid>
      <w:tr>
        <w:tc>
          <w:tcPr>
            <w:tcW w:type="dxa" w:w="9350"/>
            <w:shd w:fill="EDF1FA" w:color="auto" w:val="clear"/>
            <w:tcMar>
              <w:top w:type="dxa" w:w="140"/>
              <w:left w:type="dxa" w:w="220"/>
              <w:bottom w:type="dxa" w:w="140"/>
              <w:right w:type="dxa" w:w="220"/>
            </w:tcMar>
          </w:tcPr>
          <w:p>
            <w:pPr>
              <w:spacing w:after="60"/>
            </w:pPr>
            <w:r>
              <w:rPr>
                <w:rFonts w:ascii="Calibri" w:cs="Calibri" w:eastAsia="Calibri" w:hAnsi="Calibri"/>
                <w:b/>
                <w:bCs/>
                <w:color w:val="1E2761"/>
                <w:sz w:val="19"/>
                <w:szCs w:val="19"/>
              </w:rPr>
              <w:t xml:space="preserve">Applies to</w:t>
            </w:r>
          </w:p>
          <w:p>
            <w:r>
              <w:rPr>
                <w:rFonts w:ascii="Calibri" w:cs="Calibri" w:eastAsia="Calibri" w:hAnsi="Calibri"/>
                <w:color w:val="2A2E33"/>
                <w:sz w:val="19"/>
                <w:szCs w:val="19"/>
              </w:rPr>
              <w:t xml:space="preserve">Core Banking System (CBS) integration team and Loan Origination System (LOS) integration team. Requires a machine credential scoped ingest (§3.2).</w:t>
            </w:r>
          </w:p>
        </w:tc>
      </w:tr>
    </w:tbl>
    <w:p>
      <w:pPr>
        <w:pStyle w:val="Heading2"/>
        <w:spacing w:after="140" w:before="360"/>
      </w:pPr>
      <w:r>
        <w:rPr>
          <w:rFonts w:ascii="Calibri" w:cs="Calibri" w:eastAsia="Calibri" w:hAnsi="Calibri"/>
          <w:b/>
          <w:bCs/>
          <w:color w:val="1E2761"/>
          <w:sz w:val="24"/>
          <w:szCs w:val="24"/>
        </w:rPr>
        <w:t xml:space="preserve">5.1  What This Integration Is For</w:t>
      </w:r>
    </w:p>
    <w:p>
      <w:pPr>
        <w:spacing w:after="160" w:line="276"/>
      </w:pPr>
      <w:r>
        <w:rPr>
          <w:rFonts w:ascii="Calibri" w:cs="Calibri" w:eastAsia="Calibri" w:hAnsi="Calibri"/>
          <w:sz w:val="21"/>
          <w:szCs w:val="21"/>
        </w:rPr>
        <w:t xml:space="preserve">Five of the platform's detection indicators cannot be answered from payment-rail data at any cost, because the fact they turn on never appears on a payment. A loan repayment looks identical on a bank statement whether it came from the borrower's own funds or from credit taken at another bank; a transfer out of a loan account looks the same whether it went to the approved supplier or somewhere else entirely. The distinguishing fact lives only in the CBS or LOS, and until it is sent, the corresponding indicator is honestly reported as unmeasurable rather than guessed.</w:t>
      </w:r>
    </w:p>
    <w:tbl>
      <w:tblPr>
        <w:tblW w:type="dxa" w:w="9150"/>
        <w:tblBorders>
          <w:top w:val="single" w:color="C7D2E6" w:sz="4"/>
          <w:left w:val="single" w:color="C7D2E6" w:sz="4"/>
          <w:bottom w:val="single" w:color="C7D2E6" w:sz="4"/>
          <w:right w:val="single" w:color="C7D2E6" w:sz="4"/>
          <w:insideH w:val="single" w:color="C7D2E6" w:sz="4"/>
          <w:insideV w:val="single" w:color="C7D2E6" w:sz="4"/>
        </w:tblBorders>
      </w:tblPr>
      <w:tblGrid>
        <w:gridCol w:w="1400"/>
        <w:gridCol w:w="5200"/>
        <w:gridCol w:w="2550"/>
      </w:tblGrid>
      <w:tr>
        <w:trPr>
          <w:tblHeader/>
        </w:trPr>
        <w:tc>
          <w:tcPr>
            <w:tcW w:type="dxa" w:w="14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RBI EWS rule family</w:t>
            </w:r>
          </w:p>
        </w:tc>
        <w:tc>
          <w:tcPr>
            <w:tcW w:type="dxa" w:w="52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What it needs from your system</w:t>
            </w:r>
          </w:p>
        </w:tc>
        <w:tc>
          <w:tcPr>
            <w:tcW w:type="dxa" w:w="25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Source</w:t>
            </w:r>
          </w:p>
        </w:tc>
      </w:tr>
      <w:tr>
        <w:tc>
          <w:tcPr>
            <w:tcW w:type="dxa" w:w="1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BEH-02</w:t>
            </w:r>
          </w:p>
        </w:tc>
        <w:tc>
          <w:tcPr>
            <w:tcW w:type="dxa" w:w="5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The funding source of a loan repayment — was it the borrower's own money, or credit from elsewhere?</w:t>
            </w:r>
          </w:p>
        </w:tc>
        <w:tc>
          <w:tcPr>
            <w:tcW w:type="dxa" w:w="2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CBS</w:t>
            </w:r>
          </w:p>
        </w:tc>
      </w:tr>
      <w:tr>
        <w:tc>
          <w:tcPr>
            <w:tcW w:type="dxa" w:w="1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BEH-03</w:t>
            </w:r>
          </w:p>
        </w:tc>
        <w:tc>
          <w:tcPr>
            <w:tcW w:type="dxa" w:w="5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Whether proceeds of a financed asset's sale were actually routed through the lender</w:t>
            </w:r>
          </w:p>
        </w:tc>
        <w:tc>
          <w:tcPr>
            <w:tcW w:type="dxa" w:w="2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CBS</w:t>
            </w:r>
          </w:p>
        </w:tc>
      </w:tr>
      <w:tr>
        <w:tc>
          <w:tcPr>
            <w:tcW w:type="dxa" w:w="1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CBS-01</w:t>
            </w:r>
          </w:p>
        </w:tc>
        <w:tc>
          <w:tcPr>
            <w:tcW w:type="dxa" w:w="5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Where disbursed loan funds were subsequently utilised</w:t>
            </w:r>
          </w:p>
        </w:tc>
        <w:tc>
          <w:tcPr>
            <w:tcW w:type="dxa" w:w="2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CBS</w:t>
            </w:r>
          </w:p>
        </w:tc>
      </w:tr>
      <w:tr>
        <w:tc>
          <w:tcPr>
            <w:tcW w:type="dxa" w:w="1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CBS-02</w:t>
            </w:r>
          </w:p>
        </w:tc>
        <w:tc>
          <w:tcPr>
            <w:tcW w:type="dxa" w:w="5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Cash withdrawals against a loan/borrowal account (these never traverse UPI/NEFT/RTGS)</w:t>
            </w:r>
          </w:p>
        </w:tc>
        <w:tc>
          <w:tcPr>
            <w:tcW w:type="dxa" w:w="2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CBS</w:t>
            </w:r>
          </w:p>
        </w:tc>
      </w:tr>
      <w:tr>
        <w:tc>
          <w:tcPr>
            <w:tcW w:type="dxa" w:w="1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CBS-03</w:t>
            </w:r>
          </w:p>
        </w:tc>
        <w:tc>
          <w:tcPr>
            <w:tcW w:type="dxa" w:w="5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Large transactions with inter-connected group companies</w:t>
            </w:r>
          </w:p>
        </w:tc>
        <w:tc>
          <w:tcPr>
            <w:tcW w:type="dxa" w:w="2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CBS (reference data)</w:t>
            </w:r>
          </w:p>
        </w:tc>
      </w:tr>
      <w:tr>
        <w:tc>
          <w:tcPr>
            <w:tcW w:type="dxa" w:w="1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BR-508 (CTR)</w:t>
            </w:r>
          </w:p>
        </w:tc>
        <w:tc>
          <w:tcPr>
            <w:tcW w:type="dxa" w:w="5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Any cash deposit or withdrawal, on any account — for monthly Cash Transaction Report aggregation under PMLA Rule 3</w:t>
            </w:r>
          </w:p>
        </w:tc>
        <w:tc>
          <w:tcPr>
            <w:tcW w:type="dxa" w:w="2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CBS</w:t>
            </w:r>
          </w:p>
        </w:tc>
      </w:tr>
      <w:tr>
        <w:tc>
          <w:tcPr>
            <w:tcW w:type="dxa" w:w="1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LOS-01 / LOS-03</w:t>
            </w:r>
          </w:p>
        </w:tc>
        <w:tc>
          <w:tcPr>
            <w:tcW w:type="dxa" w:w="5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Credit application details — applicant identity and declared income, before sanction</w:t>
            </w:r>
          </w:p>
        </w:tc>
        <w:tc>
          <w:tcPr>
            <w:tcW w:type="dxa" w:w="2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LOS</w:t>
            </w:r>
          </w:p>
        </w:tc>
      </w:tr>
      <w:tr>
        <w:tc>
          <w:tcPr>
            <w:tcW w:type="dxa" w:w="1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LOS-02</w:t>
            </w:r>
          </w:p>
        </w:tc>
        <w:tc>
          <w:tcPr>
            <w:tcW w:type="dxa" w:w="5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Collateral valuation — asset type and the valuer who assessed it</w:t>
            </w:r>
          </w:p>
        </w:tc>
        <w:tc>
          <w:tcPr>
            <w:tcW w:type="dxa" w:w="2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LOS</w:t>
            </w:r>
          </w:p>
        </w:tc>
      </w:tr>
    </w:tbl>
    <w:p>
      <w:pPr>
        <w:pStyle w:val="Heading2"/>
        <w:spacing w:after="140" w:before="360"/>
      </w:pPr>
      <w:r>
        <w:rPr>
          <w:rFonts w:ascii="Calibri" w:cs="Calibri" w:eastAsia="Calibri" w:hAnsi="Calibri"/>
          <w:b/>
          <w:bCs/>
          <w:color w:val="1E2761"/>
          <w:sz w:val="24"/>
          <w:szCs w:val="24"/>
        </w:rPr>
        <w:t xml:space="preserve">5.2  POST /ingest/{tenant_id}/cbs-events — Request and Response Contract</w:t>
      </w:r>
    </w:p>
    <w:tbl>
      <w:tblPr>
        <w:tblW w:type="dxa" w:w="9150"/>
        <w:tblBorders>
          <w:top w:val="single" w:color="C7D2E6" w:sz="4"/>
          <w:left w:val="single" w:color="C7D2E6" w:sz="4"/>
          <w:bottom w:val="single" w:color="C7D2E6" w:sz="4"/>
          <w:right w:val="single" w:color="C7D2E6" w:sz="4"/>
          <w:insideH w:val="single" w:color="C7D2E6" w:sz="4"/>
          <w:insideV w:val="single" w:color="C7D2E6" w:sz="4"/>
        </w:tblBorders>
      </w:tblPr>
      <w:tblGrid>
        <w:gridCol w:w="2200"/>
        <w:gridCol w:w="6950"/>
      </w:tblGrid>
      <w:tr>
        <w:trPr>
          <w:tblHeader/>
        </w:trPr>
        <w:tc>
          <w:tcPr>
            <w:tcW w:type="dxa" w:w="22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Attribute</w:t>
            </w:r>
          </w:p>
        </w:tc>
        <w:tc>
          <w:tcPr>
            <w:tcW w:type="dxa" w:w="69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Detail</w:t>
            </w:r>
          </w:p>
        </w:tc>
      </w:tr>
      <w:tr>
        <w:tc>
          <w:tcPr>
            <w:tcW w:type="dxa" w:w="2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Endpoint</w:t>
            </w:r>
          </w:p>
        </w:tc>
        <w:tc>
          <w:tcPr>
            <w:tcW w:type="dxa" w:w="695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POST https://api.fraud360.examplebank.co.in/api/ingest/{tenant_id}/cbs-events</w:t>
            </w:r>
          </w:p>
        </w:tc>
      </w:tr>
      <w:tr>
        <w:tc>
          <w:tcPr>
            <w:tcW w:type="dxa" w:w="2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Auth</w:t>
            </w:r>
          </w:p>
        </w:tc>
        <w:tc>
          <w:tcPr>
            <w:tcW w:type="dxa" w:w="69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Machine credential scoped ingest</w:t>
            </w:r>
          </w:p>
        </w:tc>
      </w:tr>
      <w:tr>
        <w:tc>
          <w:tcPr>
            <w:tcW w:type="dxa" w:w="2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Batch semantics</w:t>
            </w:r>
          </w:p>
        </w:tc>
        <w:tc>
          <w:tcPr>
            <w:tcW w:type="dxa" w:w="69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As in §3.4 — 202 Accepted, partial acceptance, max 5,000 events/request, dedupes on your system's own event id</w:t>
            </w:r>
          </w:p>
        </w:tc>
      </w:tr>
      <w:tr>
        <w:tc>
          <w:tcPr>
            <w:tcW w:type="dxa" w:w="2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Delivery mechanism</w:t>
            </w:r>
          </w:p>
        </w:tc>
        <w:tc>
          <w:tcPr>
            <w:tcW w:type="dxa" w:w="69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REST batch only — there is no file/SFTP drop for CBS/LOS events (that mechanism exists only for payment rails, §4.7). A nightly extract should be POSTed as one or more batches.</w:t>
            </w:r>
          </w:p>
        </w:tc>
      </w:tr>
    </w:tbl>
    <w:p>
      <w:pPr>
        <w:spacing w:after="160" w:line="276"/>
      </w:pPr>
      <w:r>
        <w:rPr>
          <w:rFonts w:ascii="Calibri" w:cs="Calibri" w:eastAsia="Calibri" w:hAnsi="Calibri"/>
          <w:sz w:val="21"/>
          <w:szCs w:val="21"/>
        </w:rPr>
        <w:t xml:space="preserve">Request body:</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"source": "cbs",           // or "live" — see note below</w:t>
            </w:r>
          </w:p>
          <w:p>
            <w:pPr>
              <w:spacing w:after="20"/>
            </w:pPr>
            <w:r>
              <w:rPr>
                <w:rFonts w:ascii="Consolas" w:cs="Consolas" w:eastAsia="Consolas" w:hAnsi="Consolas"/>
                <w:sz w:val="19"/>
                <w:szCs w:val="19"/>
              </w:rPr>
              <w:t xml:space="preserve">  "events": [</w:t>
            </w:r>
          </w:p>
          <w:p>
            <w:pPr>
              <w:spacing w:after="20"/>
            </w:pPr>
            <w:r>
              <w:rPr>
                <w:rFonts w:ascii="Consolas" w:cs="Consolas" w:eastAsia="Consolas" w:hAnsi="Consolas"/>
                <w:sz w:val="19"/>
                <w:szCs w:val="19"/>
              </w:rPr>
              <w:t xml:space="preserve">    { "payload": { "kind": "loan_repayment", ... } },</w:t>
            </w:r>
          </w:p>
          <w:p>
            <w:pPr>
              <w:spacing w:after="20"/>
            </w:pPr>
            <w:r>
              <w:rPr>
                <w:rFonts w:ascii="Consolas" w:cs="Consolas" w:eastAsia="Consolas" w:hAnsi="Consolas"/>
                <w:sz w:val="19"/>
                <w:szCs w:val="19"/>
              </w:rPr>
              <w:t xml:space="preserve">    { "payload": { "kind": "cash_transaction", ... }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tbl>
      <w:tblPr>
        <w:tblW w:type="dxa" w:w="9350"/>
        <w:tblBorders>
          <w:top w:val="single" w:color="FCEEEE" w:sz="4"/>
          <w:left w:val="single" w:color="A23B3B" w:sz="24"/>
          <w:bottom w:val="single" w:color="FCEEEE" w:sz="4"/>
          <w:right w:val="single" w:color="FCEEEE" w:sz="4"/>
          <w:insideH w:val="none" w:color="FCEEEE" w:sz="0"/>
          <w:insideV w:val="none" w:color="FCEEEE" w:sz="0"/>
        </w:tblBorders>
      </w:tblPr>
      <w:tblGrid>
        <w:gridCol w:w="9350"/>
      </w:tblGrid>
      <w:tr>
        <w:tc>
          <w:tcPr>
            <w:tcW w:type="dxa" w:w="9350"/>
            <w:shd w:fill="FCEEEE" w:color="auto" w:val="clear"/>
            <w:tcMar>
              <w:top w:type="dxa" w:w="140"/>
              <w:left w:type="dxa" w:w="220"/>
              <w:bottom w:type="dxa" w:w="140"/>
              <w:right w:type="dxa" w:w="220"/>
            </w:tcMar>
          </w:tcPr>
          <w:p>
            <w:pPr>
              <w:spacing w:after="60"/>
            </w:pPr>
            <w:r>
              <w:rPr>
                <w:rFonts w:ascii="Calibri" w:cs="Calibri" w:eastAsia="Calibri" w:hAnsi="Calibri"/>
                <w:b/>
                <w:bCs/>
                <w:color w:val="A23B3B"/>
                <w:sz w:val="19"/>
                <w:szCs w:val="19"/>
              </w:rPr>
              <w:t xml:space="preserve">The source field</w:t>
            </w:r>
          </w:p>
          <w:p>
            <w:r>
              <w:rPr>
                <w:rFonts w:ascii="Calibri" w:cs="Calibri" w:eastAsia="Calibri" w:hAnsi="Calibri"/>
                <w:color w:val="2A2E33"/>
                <w:sz w:val="19"/>
                <w:szCs w:val="19"/>
              </w:rPr>
              <w:t xml:space="preserve">Every other Fraud360 fact table's source distinguishes live traffic from demonstration/synthetic data. CBS/LOS events default to "cbs" for backward compatibility, which reads as unknown provenance — fine for detection scoring, but Cash Transaction Report generation (BR-508) is a regulatory filing and refuses to build from anything other than an explicit "live". If your feed is production data intended to support CTR filing, set source to "live" explicitly.</w:t>
            </w:r>
          </w:p>
        </w:tc>
      </w:tr>
    </w:tbl>
    <w:p>
      <w:pPr>
        <w:pStyle w:val="Heading2"/>
        <w:spacing w:after="140" w:before="360"/>
      </w:pPr>
      <w:r>
        <w:rPr>
          <w:rFonts w:ascii="Calibri" w:cs="Calibri" w:eastAsia="Calibri" w:hAnsi="Calibri"/>
          <w:b/>
          <w:bCs/>
          <w:color w:val="1E2761"/>
          <w:sz w:val="24"/>
          <w:szCs w:val="24"/>
        </w:rPr>
        <w:t xml:space="preserve">5.3  Event Kinds and Field Reference</w:t>
      </w:r>
    </w:p>
    <w:p>
      <w:pPr>
        <w:spacing w:after="160" w:line="276"/>
      </w:pPr>
      <w:r>
        <w:rPr>
          <w:rFonts w:ascii="Calibri" w:cs="Calibri" w:eastAsia="Calibri" w:hAnsi="Calibri"/>
          <w:sz w:val="21"/>
          <w:szCs w:val="21"/>
        </w:rPr>
        <w:t xml:space="preserve">Ten event kinds are accepted, given as the </w:t>
      </w:r>
      <w:r>
        <w:rPr>
          <w:rFonts w:ascii="Consolas" w:cs="Consolas" w:eastAsia="Consolas" w:hAnsi="Consolas"/>
          <w:sz w:val="19"/>
          <w:szCs w:val="19"/>
        </w:rPr>
        <w:t xml:space="preserve">kind</w:t>
      </w:r>
      <w:r>
        <w:t xml:space="preserve"> field (or the aliases </w:t>
      </w:r>
      <w:r>
        <w:rPr>
          <w:rFonts w:ascii="Consolas" w:cs="Consolas" w:eastAsia="Consolas" w:hAnsi="Consolas"/>
          <w:sz w:val="19"/>
          <w:szCs w:val="19"/>
        </w:rPr>
        <w:t xml:space="preserve">event_type</w:t>
      </w:r>
      <w:r>
        <w:t xml:space="preserve"> / </w:t>
      </w:r>
      <w:r>
        <w:rPr>
          <w:rFonts w:ascii="Consolas" w:cs="Consolas" w:eastAsia="Consolas" w:hAnsi="Consolas"/>
          <w:sz w:val="19"/>
          <w:szCs w:val="19"/>
        </w:rPr>
        <w:t xml:space="preserve">eventType</w:t>
      </w:r>
      <w:r>
        <w:rPr>
          <w:rFonts w:ascii="Calibri" w:cs="Calibri" w:eastAsia="Calibri" w:hAnsi="Calibri"/>
          <w:sz w:val="21"/>
          <w:szCs w:val="21"/>
        </w:rPr>
        <w:t xml:space="preserve">). An unrecognised kind is refused at intake rather than stored silently — this is a closed set by design.</w:t>
      </w:r>
    </w:p>
    <w:p>
      <w:pPr>
        <w:pStyle w:val="Heading3"/>
        <w:spacing w:after="100" w:before="240"/>
      </w:pPr>
      <w:r>
        <w:rPr>
          <w:rFonts w:ascii="Calibri" w:cs="Calibri" w:eastAsia="Calibri" w:hAnsi="Calibri"/>
          <w:b/>
          <w:bCs/>
          <w:color w:val="44546A"/>
          <w:sz w:val="21"/>
          <w:szCs w:val="21"/>
        </w:rPr>
        <w:t xml:space="preserve">Fields common to every event kind</w:t>
      </w:r>
    </w:p>
    <w:tbl>
      <w:tblPr>
        <w:tblW w:type="dxa" w:w="9150"/>
        <w:tblBorders>
          <w:top w:val="single" w:color="C7D2E6" w:sz="4"/>
          <w:left w:val="single" w:color="C7D2E6" w:sz="4"/>
          <w:bottom w:val="single" w:color="C7D2E6" w:sz="4"/>
          <w:right w:val="single" w:color="C7D2E6" w:sz="4"/>
          <w:insideH w:val="single" w:color="C7D2E6" w:sz="4"/>
          <w:insideV w:val="single" w:color="C7D2E6" w:sz="4"/>
        </w:tblBorders>
      </w:tblPr>
      <w:tblGrid>
        <w:gridCol w:w="2200"/>
        <w:gridCol w:w="2600"/>
        <w:gridCol w:w="1400"/>
        <w:gridCol w:w="2950"/>
      </w:tblGrid>
      <w:tr>
        <w:trPr>
          <w:tblHeader/>
        </w:trPr>
        <w:tc>
          <w:tcPr>
            <w:tcW w:type="dxa" w:w="22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Canonical field</w:t>
            </w:r>
          </w:p>
        </w:tc>
        <w:tc>
          <w:tcPr>
            <w:tcW w:type="dxa" w:w="26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Accepted payload keys</w:t>
            </w:r>
          </w:p>
        </w:tc>
        <w:tc>
          <w:tcPr>
            <w:tcW w:type="dxa" w:w="14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Required?</w:t>
            </w:r>
          </w:p>
        </w:tc>
        <w:tc>
          <w:tcPr>
            <w:tcW w:type="dxa" w:w="29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Notes</w:t>
            </w:r>
          </w:p>
        </w:tc>
      </w:tr>
      <w:tr>
        <w:tc>
          <w:tcPr>
            <w:tcW w:type="dxa" w:w="22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event_id</w:t>
            </w:r>
          </w:p>
        </w:tc>
        <w:tc>
          <w:tcPr>
            <w:tcW w:type="dxa" w:w="26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event_id, eventId, cbsRef</w:t>
            </w:r>
          </w:p>
        </w:tc>
        <w:tc>
          <w:tcPr>
            <w:tcW w:type="dxa" w:w="1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Yes</w:t>
            </w:r>
          </w:p>
        </w:tc>
        <w:tc>
          <w:tcPr>
            <w:tcW w:type="dxa" w:w="29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Your system's own event id — this is the dedupe key.</w:t>
            </w:r>
          </w:p>
        </w:tc>
      </w:tr>
      <w:tr>
        <w:tc>
          <w:tcPr>
            <w:tcW w:type="dxa" w:w="22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kind</w:t>
            </w:r>
          </w:p>
        </w:tc>
        <w:tc>
          <w:tcPr>
            <w:tcW w:type="dxa" w:w="26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kind, event_type, eventType</w:t>
            </w:r>
          </w:p>
        </w:tc>
        <w:tc>
          <w:tcPr>
            <w:tcW w:type="dxa" w:w="1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Yes</w:t>
            </w:r>
          </w:p>
        </w:tc>
        <w:tc>
          <w:tcPr>
            <w:tcW w:type="dxa" w:w="29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One of the 10 kinds below.</w:t>
            </w:r>
          </w:p>
        </w:tc>
      </w:tr>
      <w:tr>
        <w:tc>
          <w:tcPr>
            <w:tcW w:type="dxa" w:w="22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ts</w:t>
            </w:r>
          </w:p>
        </w:tc>
        <w:tc>
          <w:tcPr>
            <w:tcW w:type="dxa" w:w="26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ts, timestamp, eventDate</w:t>
            </w:r>
          </w:p>
        </w:tc>
        <w:tc>
          <w:tcPr>
            <w:tcW w:type="dxa" w:w="1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Yes</w:t>
            </w:r>
          </w:p>
        </w:tc>
        <w:tc>
          <w:tcPr>
            <w:tcW w:type="dxa" w:w="29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ISO-8601 with timezone offset — see §3.3. Naive timestamps are rejected.</w:t>
            </w:r>
          </w:p>
        </w:tc>
      </w:tr>
      <w:tr>
        <w:tc>
          <w:tcPr>
            <w:tcW w:type="dxa" w:w="22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account</w:t>
            </w:r>
          </w:p>
        </w:tc>
        <w:tc>
          <w:tcPr>
            <w:tcW w:type="dxa" w:w="26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account, loanAccount, accountNumber</w:t>
            </w:r>
          </w:p>
        </w:tc>
        <w:tc>
          <w:tcPr>
            <w:tcW w:type="dxa" w:w="1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Yes</w:t>
            </w:r>
          </w:p>
        </w:tc>
        <w:tc>
          <w:tcPr>
            <w:tcW w:type="dxa" w:w="29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The borrowal/loan account the event is about.</w:t>
            </w:r>
          </w:p>
        </w:tc>
      </w:tr>
      <w:tr>
        <w:tc>
          <w:tcPr>
            <w:tcW w:type="dxa" w:w="22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amount</w:t>
            </w:r>
          </w:p>
        </w:tc>
        <w:tc>
          <w:tcPr>
            <w:tcW w:type="dxa" w:w="26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amount, amount_paise, txnAmount</w:t>
            </w:r>
          </w:p>
        </w:tc>
        <w:tc>
          <w:tcPr>
            <w:tcW w:type="dxa" w:w="1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Yes, except for rm_observation and account_status (which carry no money)</w:t>
            </w:r>
          </w:p>
        </w:tc>
        <w:tc>
          <w:tcPr>
            <w:tcW w:type="dxa" w:w="29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Integer paise or a decimal rupee string — see §3.3.</w:t>
            </w:r>
          </w:p>
        </w:tc>
      </w:tr>
      <w:tr>
        <w:tc>
          <w:tcPr>
            <w:tcW w:type="dxa" w:w="22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counterparty_account</w:t>
            </w:r>
          </w:p>
        </w:tc>
        <w:tc>
          <w:tcPr>
            <w:tcW w:type="dxa" w:w="26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counterparty_account, payeeAccount, beneficiaryAccount</w:t>
            </w:r>
          </w:p>
        </w:tc>
        <w:tc>
          <w:tcPr>
            <w:tcW w:type="dxa" w:w="1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No</w:t>
            </w:r>
          </w:p>
        </w:tc>
        <w:tc>
          <w:tcPr>
            <w:tcW w:type="dxa" w:w="29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Where the money went or came from, when the event has a second side.</w:t>
            </w:r>
          </w:p>
        </w:tc>
      </w:tr>
      <w:tr>
        <w:tc>
          <w:tcPr>
            <w:tcW w:type="dxa" w:w="22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counterparty_name</w:t>
            </w:r>
          </w:p>
        </w:tc>
        <w:tc>
          <w:tcPr>
            <w:tcW w:type="dxa" w:w="26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counterparty_name, payeeName</w:t>
            </w:r>
          </w:p>
        </w:tc>
        <w:tc>
          <w:tcPr>
            <w:tcW w:type="dxa" w:w="1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No</w:t>
            </w:r>
          </w:p>
        </w:tc>
        <w:tc>
          <w:tcPr>
            <w:tcW w:type="dxa" w:w="29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Truncated to 200 characters.</w:t>
            </w:r>
          </w:p>
        </w:tc>
      </w:tr>
      <w:tr>
        <w:tc>
          <w:tcPr>
            <w:tcW w:type="dxa" w:w="2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(anything else)</w:t>
            </w:r>
          </w:p>
        </w:tc>
        <w:tc>
          <w:tcPr>
            <w:tcW w:type="dxa" w:w="26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any other key you send</w:t>
            </w:r>
          </w:p>
        </w:tc>
        <w:tc>
          <w:tcPr>
            <w:tcW w:type="dxa" w:w="1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w:t>
            </w:r>
          </w:p>
        </w:tc>
        <w:tc>
          <w:tcPr>
            <w:tcW w:type="dxa" w:w="29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Captured verbatim in an attributes object and preserved — nothing you send is silently dropped, even if not individually validated.</w:t>
            </w:r>
          </w:p>
        </w:tc>
      </w:tr>
    </w:tbl>
    <w:p>
      <w:pPr>
        <w:pStyle w:val="Heading3"/>
        <w:spacing w:after="100" w:before="240"/>
      </w:pPr>
      <w:r>
        <w:rPr>
          <w:rFonts w:ascii="Calibri" w:cs="Calibri" w:eastAsia="Calibri" w:hAnsi="Calibri"/>
          <w:b/>
          <w:bCs/>
          <w:color w:val="44546A"/>
          <w:sz w:val="21"/>
          <w:szCs w:val="21"/>
        </w:rPr>
        <w:t xml:space="preserve">Event kinds, what each unblocks, and kind-specific required fields</w:t>
      </w:r>
    </w:p>
    <w:tbl>
      <w:tblPr>
        <w:tblW w:type="dxa" w:w="9150"/>
        <w:tblBorders>
          <w:top w:val="single" w:color="C7D2E6" w:sz="4"/>
          <w:left w:val="single" w:color="C7D2E6" w:sz="4"/>
          <w:bottom w:val="single" w:color="C7D2E6" w:sz="4"/>
          <w:right w:val="single" w:color="C7D2E6" w:sz="4"/>
          <w:insideH w:val="single" w:color="C7D2E6" w:sz="4"/>
          <w:insideV w:val="single" w:color="C7D2E6" w:sz="4"/>
        </w:tblBorders>
      </w:tblPr>
      <w:tblGrid>
        <w:gridCol w:w="2100"/>
        <w:gridCol w:w="3100"/>
        <w:gridCol w:w="1400"/>
        <w:gridCol w:w="2550"/>
      </w:tblGrid>
      <w:tr>
        <w:trPr>
          <w:tblHeader/>
        </w:trPr>
        <w:tc>
          <w:tcPr>
            <w:tcW w:type="dxa" w:w="21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kind</w:t>
            </w:r>
          </w:p>
        </w:tc>
        <w:tc>
          <w:tcPr>
            <w:tcW w:type="dxa" w:w="31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What it is</w:t>
            </w:r>
          </w:p>
        </w:tc>
        <w:tc>
          <w:tcPr>
            <w:tcW w:type="dxa" w:w="14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Unblocks</w:t>
            </w:r>
          </w:p>
        </w:tc>
        <w:tc>
          <w:tcPr>
            <w:tcW w:type="dxa" w:w="25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Extra required fields</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loan_disbursement</w:t>
            </w:r>
          </w:p>
        </w:tc>
        <w:tc>
          <w:tcPr>
            <w:tcW w:type="dxa" w:w="31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Funds released against a sanctioned facility</w:t>
            </w:r>
          </w:p>
        </w:tc>
        <w:tc>
          <w:tcPr>
            <w:tcW w:type="dxa" w:w="1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CBS-01, CBS-02</w:t>
            </w:r>
          </w:p>
        </w:tc>
        <w:tc>
          <w:tcPr>
            <w:tcW w:type="dxa" w:w="2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 (common fields only)</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loan_utilisation</w:t>
            </w:r>
          </w:p>
        </w:tc>
        <w:tc>
          <w:tcPr>
            <w:tcW w:type="dxa" w:w="31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Where disbursed funds subsequently went</w:t>
            </w:r>
          </w:p>
        </w:tc>
        <w:tc>
          <w:tcPr>
            <w:tcW w:type="dxa" w:w="1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CBS-01</w:t>
            </w:r>
          </w:p>
        </w:tc>
        <w:tc>
          <w:tcPr>
            <w:tcW w:type="dxa" w:w="2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within_sanctioned_purpose (true/false/unset) recommended — optional, tri-state</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loan_repayment</w:t>
            </w:r>
          </w:p>
        </w:tc>
        <w:tc>
          <w:tcPr>
            <w:tcW w:type="dxa" w:w="31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 repayment, with the source of the money</w:t>
            </w:r>
          </w:p>
        </w:tc>
        <w:tc>
          <w:tcPr>
            <w:tcW w:type="dxa" w:w="1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BEH-02</w:t>
            </w:r>
          </w:p>
        </w:tc>
        <w:tc>
          <w:tcPr>
            <w:tcW w:type="dxa" w:w="2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funding_source — one of own_deposits, own_bank_credit, external_bank, cash, unknown. Soft-required: if omitted, defaults to unknown, which will not clear BEH-02 — always send the real value.</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cash_withdrawal</w:t>
            </w:r>
          </w:p>
        </w:tc>
        <w:tc>
          <w:tcPr>
            <w:tcW w:type="dxa" w:w="31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Cash taken from a loan/borrowal account</w:t>
            </w:r>
          </w:p>
        </w:tc>
        <w:tc>
          <w:tcPr>
            <w:tcW w:type="dxa" w:w="1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CBS-02</w:t>
            </w:r>
          </w:p>
        </w:tc>
        <w:tc>
          <w:tcPr>
            <w:tcW w:type="dxa" w:w="2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 (common fields only)</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sale_proceeds</w:t>
            </w:r>
          </w:p>
        </w:tc>
        <w:tc>
          <w:tcPr>
            <w:tcW w:type="dxa" w:w="31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Proceeds of a financed asset, and whether they reached the lender</w:t>
            </w:r>
          </w:p>
        </w:tc>
        <w:tc>
          <w:tcPr>
            <w:tcW w:type="dxa" w:w="1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BEH-03</w:t>
            </w:r>
          </w:p>
        </w:tc>
        <w:tc>
          <w:tcPr>
            <w:tcW w:type="dxa" w:w="2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routed_through_lender (true/false) — hard-required. The event is rejected without it.</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account_status</w:t>
            </w:r>
          </w:p>
        </w:tc>
        <w:tc>
          <w:tcPr>
            <w:tcW w:type="dxa" w:w="31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Opened, closed, classified, or restructured</w:t>
            </w:r>
          </w:p>
        </w:tc>
        <w:tc>
          <w:tcPr>
            <w:tcW w:type="dxa" w:w="1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w:t>
            </w:r>
          </w:p>
        </w:tc>
        <w:tc>
          <w:tcPr>
            <w:tcW w:type="dxa" w:w="2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No amount required. Details go in attributes.</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rm_observation</w:t>
            </w:r>
          </w:p>
        </w:tc>
        <w:tc>
          <w:tcPr>
            <w:tcW w:type="dxa" w:w="31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 relationship manager's qualitative observation</w:t>
            </w:r>
          </w:p>
        </w:tc>
        <w:tc>
          <w:tcPr>
            <w:tcW w:type="dxa" w:w="1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w:t>
            </w:r>
          </w:p>
        </w:tc>
        <w:tc>
          <w:tcPr>
            <w:tcW w:type="dxa" w:w="2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No amount required. Free-text observation goes in attributes.</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cash_transaction</w:t>
            </w:r>
          </w:p>
        </w:tc>
        <w:tc>
          <w:tcPr>
            <w:tcW w:type="dxa" w:w="31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 cash deposit or withdrawal on any account (not scoped to loan accounts)</w:t>
            </w:r>
          </w:p>
        </w:tc>
        <w:tc>
          <w:tcPr>
            <w:tcW w:type="dxa" w:w="1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BR-508 (CTR)</w:t>
            </w:r>
          </w:p>
        </w:tc>
        <w:tc>
          <w:tcPr>
            <w:tcW w:type="dxa" w:w="2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direction — must be deposit or withdrawal. Hard-required; the event is rejected without a valid value.</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loan_application</w:t>
            </w:r>
          </w:p>
        </w:tc>
        <w:tc>
          <w:tcPr>
            <w:tcW w:type="dxa" w:w="31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 credit application, before sanction</w:t>
            </w:r>
          </w:p>
        </w:tc>
        <w:tc>
          <w:tcPr>
            <w:tcW w:type="dxa" w:w="1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LOS-01, LOS-03</w:t>
            </w:r>
          </w:p>
        </w:tc>
        <w:tc>
          <w:tcPr>
            <w:tcW w:type="dxa" w:w="2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Applicant identity and declared income — sent as free attributes (no fixed schema beyond the common fields)</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collateral_valuation</w:t>
            </w:r>
          </w:p>
        </w:tc>
        <w:tc>
          <w:tcPr>
            <w:tcW w:type="dxa" w:w="31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 valuer's assessment of collateral offered against an application</w:t>
            </w:r>
          </w:p>
        </w:tc>
        <w:tc>
          <w:tcPr>
            <w:tcW w:type="dxa" w:w="1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LOS-02</w:t>
            </w:r>
          </w:p>
        </w:tc>
        <w:tc>
          <w:tcPr>
            <w:tcW w:type="dxa" w:w="2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asset_type and valuer_id — both hard-required. The event is rejected if either is missing; a valuation with no valuer attributed can never later be traced back to who produced it.</w:t>
            </w:r>
          </w:p>
        </w:tc>
      </w:tr>
    </w:tbl>
    <w:tbl>
      <w:tblPr>
        <w:tblW w:type="dxa" w:w="9350"/>
        <w:tblBorders>
          <w:top w:val="single" w:color="EDF1FA" w:sz="4"/>
          <w:left w:val="single" w:color="1E2761" w:sz="24"/>
          <w:bottom w:val="single" w:color="EDF1FA" w:sz="4"/>
          <w:right w:val="single" w:color="EDF1FA" w:sz="4"/>
          <w:insideH w:val="none" w:color="EDF1FA" w:sz="0"/>
          <w:insideV w:val="none" w:color="EDF1FA" w:sz="0"/>
        </w:tblBorders>
      </w:tblPr>
      <w:tblGrid>
        <w:gridCol w:w="9350"/>
      </w:tblGrid>
      <w:tr>
        <w:tc>
          <w:tcPr>
            <w:tcW w:type="dxa" w:w="9350"/>
            <w:shd w:fill="EDF1FA" w:color="auto" w:val="clear"/>
            <w:tcMar>
              <w:top w:type="dxa" w:w="140"/>
              <w:left w:type="dxa" w:w="220"/>
              <w:bottom w:type="dxa" w:w="140"/>
              <w:right w:type="dxa" w:w="220"/>
            </w:tcMar>
          </w:tcPr>
          <w:p>
            <w:pPr>
              <w:spacing w:after="60"/>
            </w:pPr>
            <w:r>
              <w:rPr>
                <w:rFonts w:ascii="Calibri" w:cs="Calibri" w:eastAsia="Calibri" w:hAnsi="Calibri"/>
                <w:b/>
                <w:bCs/>
                <w:color w:val="1E2761"/>
                <w:sz w:val="19"/>
                <w:szCs w:val="19"/>
              </w:rPr>
              <w:t xml:space="preserve">loan_application and collateral_valuation score differently</w:t>
            </w:r>
          </w:p>
          <w:p>
            <w:r>
              <w:rPr>
                <w:rFonts w:ascii="Calibri" w:cs="Calibri" w:eastAsia="Calibri" w:hAnsi="Calibri"/>
                <w:color w:val="2A2E33"/>
                <w:sz w:val="19"/>
                <w:szCs w:val="19"/>
              </w:rPr>
              <w:t xml:space="preserve">The other eight kinds are evaluated per payment transaction — Fraud360 looks up the loan context for whichever account a transaction in the current batch touches. An application has no payment transaction to attach to; it may predate the account's first transaction, or the account may never transact again if the application is refused. loan_application and collateral_valuation are therefore evaluated in their own pass over pending events, not alongside payment scoring. This has no effect on how you send them — same endpoint, same batch shape — only on when a resulting alert appears.</w:t>
            </w:r>
          </w:p>
        </w:tc>
      </w:tr>
    </w:tbl>
    <w:p>
      <w:pPr>
        <w:pStyle w:val="Heading2"/>
        <w:spacing w:after="140" w:before="360"/>
      </w:pPr>
      <w:r>
        <w:rPr>
          <w:rFonts w:ascii="Calibri" w:cs="Calibri" w:eastAsia="Calibri" w:hAnsi="Calibri"/>
          <w:b/>
          <w:bCs/>
          <w:color w:val="1E2761"/>
          <w:sz w:val="24"/>
          <w:szCs w:val="24"/>
        </w:rPr>
        <w:t xml:space="preserve">5.4  Worked Example — a Mixed Batch</w:t>
      </w:r>
    </w:p>
    <w:p>
      <w:pPr>
        <w:spacing w:after="160" w:line="276"/>
      </w:pPr>
      <w:r>
        <w:rPr>
          <w:rFonts w:ascii="Calibri" w:cs="Calibri" w:eastAsia="Calibri" w:hAnsi="Calibri"/>
          <w:sz w:val="21"/>
          <w:szCs w:val="21"/>
        </w:rPr>
        <w:t xml:space="preserve">A representative nightly batch covering four of the ten kinds. Every payload key shown is one Fraud360 recognises; see §5.3 for the full alias list per field.</w:t>
      </w:r>
    </w:p>
    <w:p>
      <w:pPr>
        <w:spacing w:after="60" w:before="120"/>
      </w:pPr>
      <w:r>
        <w:rPr>
          <w:rFonts w:ascii="Calibri" w:cs="Calibri" w:eastAsia="Calibri" w:hAnsi="Calibri"/>
          <w:b/>
          <w:bCs/>
          <w:color w:val="44546A"/>
          <w:spacing w:val="12"/>
          <w:sz w:val="16"/>
          <w:szCs w:val="16"/>
        </w:rPr>
        <w:t xml:space="preserve">REQUEST</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POST https://api.fraud360.examplebank.co.in/api/ingest/b3b90261-9663-46c3-b31f-e8afc4a65442/cbs-events</w:t>
            </w:r>
          </w:p>
          <w:p>
            <w:pPr>
              <w:spacing w:after="20"/>
            </w:pPr>
            <w:r>
              <w:rPr>
                <w:rFonts w:ascii="Consolas" w:cs="Consolas" w:eastAsia="Consolas" w:hAnsi="Consolas"/>
                <w:sz w:val="19"/>
                <w:szCs w:val="19"/>
              </w:rPr>
              <w:t xml:space="preserve">Authorization: Bearer eyJhbGciOiJIUzI1NiIsInR5cCI6...</w:t>
            </w:r>
          </w:p>
          <w:p>
            <w:pPr>
              <w:spacing w:after="20"/>
            </w:pPr>
            <w:r>
              <w:rPr>
                <w:rFonts w:ascii="Consolas" w:cs="Consolas" w:eastAsia="Consolas" w:hAnsi="Consolas"/>
                <w:sz w:val="19"/>
                <w:szCs w:val="19"/>
              </w:rPr>
              <w:t xml:space="preserve">Content-Type: application/json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"source": "live",</w:t>
            </w:r>
          </w:p>
          <w:p>
            <w:pPr>
              <w:spacing w:after="20"/>
            </w:pPr>
            <w:r>
              <w:rPr>
                <w:rFonts w:ascii="Consolas" w:cs="Consolas" w:eastAsia="Consolas" w:hAnsi="Consolas"/>
                <w:sz w:val="19"/>
                <w:szCs w:val="19"/>
              </w:rPr>
              <w:t xml:space="preserve">  "events": [</w:t>
            </w:r>
          </w:p>
          <w:p>
            <w:pPr>
              <w:spacing w:after="20"/>
            </w:pPr>
            <w:r>
              <w:rPr>
                <w:rFonts w:ascii="Consolas" w:cs="Consolas" w:eastAsia="Consolas" w:hAnsi="Consolas"/>
                <w:sz w:val="19"/>
                <w:szCs w:val="19"/>
              </w:rPr>
              <w:t xml:space="preserve">    { "payload": {</w:t>
            </w:r>
          </w:p>
          <w:p>
            <w:pPr>
              <w:spacing w:after="20"/>
            </w:pPr>
            <w:r>
              <w:rPr>
                <w:rFonts w:ascii="Consolas" w:cs="Consolas" w:eastAsia="Consolas" w:hAnsi="Consolas"/>
                <w:sz w:val="19"/>
                <w:szCs w:val="19"/>
              </w:rPr>
              <w:t xml:space="preserve">        "kind": "loan_repayment",</w:t>
            </w:r>
          </w:p>
          <w:p>
            <w:pPr>
              <w:spacing w:after="20"/>
            </w:pPr>
            <w:r>
              <w:rPr>
                <w:rFonts w:ascii="Consolas" w:cs="Consolas" w:eastAsia="Consolas" w:hAnsi="Consolas"/>
                <w:sz w:val="19"/>
                <w:szCs w:val="19"/>
              </w:rPr>
              <w:t xml:space="preserve">        "eventId": "CBS-EVT-2026-0817-88301", "eventDate": "2026-08-17T02:10:00+05:30",</w:t>
            </w:r>
          </w:p>
          <w:p>
            <w:pPr>
              <w:spacing w:after="20"/>
            </w:pPr>
            <w:r>
              <w:rPr>
                <w:rFonts w:ascii="Consolas" w:cs="Consolas" w:eastAsia="Consolas" w:hAnsi="Consolas"/>
                <w:sz w:val="19"/>
                <w:szCs w:val="19"/>
              </w:rPr>
              <w:t xml:space="preserve">        "loanAccount": "LN-77120-9981", "amount": "45000.00",</w:t>
            </w:r>
          </w:p>
          <w:p>
            <w:pPr>
              <w:spacing w:after="20"/>
            </w:pPr>
            <w:r>
              <w:rPr>
                <w:rFonts w:ascii="Consolas" w:cs="Consolas" w:eastAsia="Consolas" w:hAnsi="Consolas"/>
                <w:sz w:val="19"/>
                <w:szCs w:val="19"/>
              </w:rPr>
              <w:t xml:space="preserve">        "fundingSource": "external_bank" } },</w:t>
            </w:r>
          </w:p>
          <w:p>
            <w:pPr>
              <w:spacing w:after="20"/>
            </w:pPr>
            <w:r>
              <w:rPr>
                <w:rFonts w:ascii="Consolas" w:cs="Consolas" w:eastAsia="Consolas" w:hAnsi="Consolas"/>
                <w:sz w:val="19"/>
                <w:szCs w:val="19"/>
              </w:rPr>
              <w:t xml:space="preserve">    { "payload": {</w:t>
            </w:r>
          </w:p>
          <w:p>
            <w:pPr>
              <w:spacing w:after="20"/>
            </w:pPr>
            <w:r>
              <w:rPr>
                <w:rFonts w:ascii="Consolas" w:cs="Consolas" w:eastAsia="Consolas" w:hAnsi="Consolas"/>
                <w:sz w:val="19"/>
                <w:szCs w:val="19"/>
              </w:rPr>
              <w:t xml:space="preserve">        "kind": "cash_transaction",</w:t>
            </w:r>
          </w:p>
          <w:p>
            <w:pPr>
              <w:spacing w:after="20"/>
            </w:pPr>
            <w:r>
              <w:rPr>
                <w:rFonts w:ascii="Consolas" w:cs="Consolas" w:eastAsia="Consolas" w:hAnsi="Consolas"/>
                <w:sz w:val="19"/>
                <w:szCs w:val="19"/>
              </w:rPr>
              <w:t xml:space="preserve">        "eventId": "CBS-EVT-2026-0817-88302", "eventDate": "2026-08-17T11:42:00+05:30",</w:t>
            </w:r>
          </w:p>
          <w:p>
            <w:pPr>
              <w:spacing w:after="20"/>
            </w:pPr>
            <w:r>
              <w:rPr>
                <w:rFonts w:ascii="Consolas" w:cs="Consolas" w:eastAsia="Consolas" w:hAnsi="Consolas"/>
                <w:sz w:val="19"/>
                <w:szCs w:val="19"/>
              </w:rPr>
              <w:t xml:space="preserve">        "accountNumber": "SB-40011-2290", "amount": "195000.00",</w:t>
            </w:r>
          </w:p>
          <w:p>
            <w:pPr>
              <w:spacing w:after="20"/>
            </w:pPr>
            <w:r>
              <w:rPr>
                <w:rFonts w:ascii="Consolas" w:cs="Consolas" w:eastAsia="Consolas" w:hAnsi="Consolas"/>
                <w:sz w:val="19"/>
                <w:szCs w:val="19"/>
              </w:rPr>
              <w:t xml:space="preserve">        "direction": "deposit" } },</w:t>
            </w:r>
          </w:p>
          <w:p>
            <w:pPr>
              <w:spacing w:after="20"/>
            </w:pPr>
            <w:r>
              <w:rPr>
                <w:rFonts w:ascii="Consolas" w:cs="Consolas" w:eastAsia="Consolas" w:hAnsi="Consolas"/>
                <w:sz w:val="19"/>
                <w:szCs w:val="19"/>
              </w:rPr>
              <w:t xml:space="preserve">    { "payload": {</w:t>
            </w:r>
          </w:p>
          <w:p>
            <w:pPr>
              <w:spacing w:after="20"/>
            </w:pPr>
            <w:r>
              <w:rPr>
                <w:rFonts w:ascii="Consolas" w:cs="Consolas" w:eastAsia="Consolas" w:hAnsi="Consolas"/>
                <w:sz w:val="19"/>
                <w:szCs w:val="19"/>
              </w:rPr>
              <w:t xml:space="preserve">        "kind": "sale_proceeds",</w:t>
            </w:r>
          </w:p>
          <w:p>
            <w:pPr>
              <w:spacing w:after="20"/>
            </w:pPr>
            <w:r>
              <w:rPr>
                <w:rFonts w:ascii="Consolas" w:cs="Consolas" w:eastAsia="Consolas" w:hAnsi="Consolas"/>
                <w:sz w:val="19"/>
                <w:szCs w:val="19"/>
              </w:rPr>
              <w:t xml:space="preserve">        "eventId": "CBS-EVT-2026-0817-88303", "eventDate": "2026-08-16T16:05:00+05:30",</w:t>
            </w:r>
          </w:p>
          <w:p>
            <w:pPr>
              <w:spacing w:after="20"/>
            </w:pPr>
            <w:r>
              <w:rPr>
                <w:rFonts w:ascii="Consolas" w:cs="Consolas" w:eastAsia="Consolas" w:hAnsi="Consolas"/>
                <w:sz w:val="19"/>
                <w:szCs w:val="19"/>
              </w:rPr>
              <w:t xml:space="preserve">        "loanAccount": "LN-55210-1187", "amount": "820000.00",</w:t>
            </w:r>
          </w:p>
          <w:p>
            <w:pPr>
              <w:spacing w:after="20"/>
            </w:pPr>
            <w:r>
              <w:rPr>
                <w:rFonts w:ascii="Consolas" w:cs="Consolas" w:eastAsia="Consolas" w:hAnsi="Consolas"/>
                <w:sz w:val="19"/>
                <w:szCs w:val="19"/>
              </w:rPr>
              <w:t xml:space="preserve">        "routedThroughLender": false } },</w:t>
            </w:r>
          </w:p>
          <w:p>
            <w:pPr>
              <w:spacing w:after="20"/>
            </w:pPr>
            <w:r>
              <w:rPr>
                <w:rFonts w:ascii="Consolas" w:cs="Consolas" w:eastAsia="Consolas" w:hAnsi="Consolas"/>
                <w:sz w:val="19"/>
                <w:szCs w:val="19"/>
              </w:rPr>
              <w:t xml:space="preserve">    { "payload": {</w:t>
            </w:r>
          </w:p>
          <w:p>
            <w:pPr>
              <w:spacing w:after="20"/>
            </w:pPr>
            <w:r>
              <w:rPr>
                <w:rFonts w:ascii="Consolas" w:cs="Consolas" w:eastAsia="Consolas" w:hAnsi="Consolas"/>
                <w:sz w:val="19"/>
                <w:szCs w:val="19"/>
              </w:rPr>
              <w:t xml:space="preserve">        "kind": "collateral_valuation",</w:t>
            </w:r>
          </w:p>
          <w:p>
            <w:pPr>
              <w:spacing w:after="20"/>
            </w:pPr>
            <w:r>
              <w:rPr>
                <w:rFonts w:ascii="Consolas" w:cs="Consolas" w:eastAsia="Consolas" w:hAnsi="Consolas"/>
                <w:sz w:val="19"/>
                <w:szCs w:val="19"/>
              </w:rPr>
              <w:t xml:space="preserve">        "eventId": "LOS-EVT-2026-0817-40021", "eventDate": "2026-08-15T10:00:00+05:30",</w:t>
            </w:r>
          </w:p>
          <w:p>
            <w:pPr>
              <w:spacing w:after="20"/>
            </w:pPr>
            <w:r>
              <w:rPr>
                <w:rFonts w:ascii="Consolas" w:cs="Consolas" w:eastAsia="Consolas" w:hAnsi="Consolas"/>
                <w:sz w:val="19"/>
                <w:szCs w:val="19"/>
              </w:rPr>
              <w:t xml:space="preserve">        "loanAccount": "APP-2026-004471", "amount": "3200000.00",</w:t>
            </w:r>
          </w:p>
          <w:p>
            <w:pPr>
              <w:spacing w:after="20"/>
            </w:pPr>
            <w:r>
              <w:rPr>
                <w:rFonts w:ascii="Consolas" w:cs="Consolas" w:eastAsia="Consolas" w:hAnsi="Consolas"/>
                <w:sz w:val="19"/>
                <w:szCs w:val="19"/>
              </w:rPr>
              <w:t xml:space="preserve">        "assetType": "residential_property", "valuerId": "VLR-0091" }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tc>
      </w:tr>
    </w:tbl>
    <w:p>
      <w:pPr>
        <w:spacing w:after="60" w:before="120"/>
      </w:pPr>
      <w:r>
        <w:rPr>
          <w:rFonts w:ascii="Calibri" w:cs="Calibri" w:eastAsia="Calibri" w:hAnsi="Calibri"/>
          <w:b/>
          <w:bCs/>
          <w:color w:val="1B7A43"/>
          <w:spacing w:val="12"/>
          <w:sz w:val="16"/>
          <w:szCs w:val="16"/>
        </w:rPr>
        <w:t xml:space="preserve">RESPONSE — 202</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"accepted": 4,</w:t>
            </w:r>
          </w:p>
          <w:p>
            <w:pPr>
              <w:spacing w:after="20"/>
            </w:pPr>
            <w:r>
              <w:rPr>
                <w:rFonts w:ascii="Consolas" w:cs="Consolas" w:eastAsia="Consolas" w:hAnsi="Consolas"/>
                <w:sz w:val="19"/>
                <w:szCs w:val="19"/>
              </w:rPr>
              <w:t xml:space="preserve">  "duplicates": 0,</w:t>
            </w:r>
          </w:p>
          <w:p>
            <w:pPr>
              <w:spacing w:after="20"/>
            </w:pPr>
            <w:r>
              <w:rPr>
                <w:rFonts w:ascii="Consolas" w:cs="Consolas" w:eastAsia="Consolas" w:hAnsi="Consolas"/>
                <w:sz w:val="19"/>
                <w:szCs w:val="19"/>
              </w:rPr>
              <w:t xml:space="preserve">  "rejected": 0,</w:t>
            </w:r>
          </w:p>
          <w:p>
            <w:pPr>
              <w:spacing w:after="20"/>
            </w:pPr>
            <w:r>
              <w:rPr>
                <w:rFonts w:ascii="Consolas" w:cs="Consolas" w:eastAsia="Consolas" w:hAnsi="Consolas"/>
                <w:sz w:val="19"/>
                <w:szCs w:val="19"/>
              </w:rPr>
              <w:t xml:space="preserve">  "errors": [],</w:t>
            </w:r>
          </w:p>
          <w:p>
            <w:pPr>
              <w:spacing w:after="20"/>
            </w:pPr>
            <w:r>
              <w:rPr>
                <w:rFonts w:ascii="Consolas" w:cs="Consolas" w:eastAsia="Consolas" w:hAnsi="Consolas"/>
                <w:sz w:val="19"/>
                <w:szCs w:val="19"/>
              </w:rPr>
              <w:t xml:space="preserve">  "batch_id": "8e2a1f0d-4c6b-4b2e-9a17-2f5d0c9b6e33"</w:t>
            </w:r>
          </w:p>
          <w:p>
            <w:pPr>
              <w:spacing w:after="20"/>
            </w:pPr>
            <w:r>
              <w:rPr>
                <w:rFonts w:ascii="Consolas" w:cs="Consolas" w:eastAsia="Consolas" w:hAnsi="Consolas"/>
                <w:sz w:val="19"/>
                <w:szCs w:val="19"/>
              </w:rPr>
              <w:t xml:space="preserve">}</w:t>
            </w:r>
          </w:p>
        </w:tc>
      </w:tr>
    </w:tbl>
    <w:p>
      <w:pPr>
        <w:spacing w:after="160" w:line="276"/>
      </w:pPr>
      <w:r>
        <w:rPr>
          <w:rFonts w:ascii="Calibri" w:cs="Calibri" w:eastAsia="Calibri" w:hAnsi="Calibri"/>
          <w:sz w:val="21"/>
          <w:szCs w:val="21"/>
        </w:rPr>
        <w:t xml:space="preserve">If, for example, the collateral_valuation row above had omitted valuerId, that row alone would be rejected and reported — the other three would still be accepted:</w:t>
      </w:r>
    </w:p>
    <w:tbl>
      <w:tblPr>
        <w:tblW w:type="dxa" w:w="9350"/>
        <w:tblBorders>
          <w:top w:val="single" w:color="D8DCE3" w:sz="4"/>
          <w:left w:val="single" w:color="D8DCE3" w:sz="4"/>
          <w:bottom w:val="single" w:color="D8DCE3" w:sz="4"/>
          <w:right w:val="single" w:color="D8DCE3" w:sz="4"/>
          <w:insideH w:val="none" w:color="D8DCE3" w:sz="0"/>
          <w:insideV w:val="none" w:color="D8DCE3" w:sz="0"/>
        </w:tblBorders>
      </w:tblPr>
      <w:tblGrid>
        <w:gridCol w:w="9350"/>
      </w:tblGrid>
      <w:tr>
        <w:tc>
          <w:tcPr>
            <w:tcW w:type="dxa" w:w="9350"/>
            <w:shd w:fill="F3F4F6" w:color="auto" w:val="clear"/>
            <w:tcMar>
              <w:top w:type="dxa" w:w="140"/>
              <w:left w:type="dxa" w:w="180"/>
              <w:bottom w:type="dxa" w:w="140"/>
              <w:right w:type="dxa" w:w="180"/>
            </w:tcMar>
          </w:tcPr>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"accepted": 3,</w:t>
            </w:r>
          </w:p>
          <w:p>
            <w:pPr>
              <w:spacing w:after="20"/>
            </w:pPr>
            <w:r>
              <w:rPr>
                <w:rFonts w:ascii="Consolas" w:cs="Consolas" w:eastAsia="Consolas" w:hAnsi="Consolas"/>
                <w:sz w:val="19"/>
                <w:szCs w:val="19"/>
              </w:rPr>
              <w:t xml:space="preserve">  "duplicates": 0,</w:t>
            </w:r>
          </w:p>
          <w:p>
            <w:pPr>
              <w:spacing w:after="20"/>
            </w:pPr>
            <w:r>
              <w:rPr>
                <w:rFonts w:ascii="Consolas" w:cs="Consolas" w:eastAsia="Consolas" w:hAnsi="Consolas"/>
                <w:sz w:val="19"/>
                <w:szCs w:val="19"/>
              </w:rPr>
              <w:t xml:space="preserve">  "rejected": 1,</w:t>
            </w:r>
          </w:p>
          <w:p>
            <w:pPr>
              <w:spacing w:after="20"/>
            </w:pPr>
            <w:r>
              <w:rPr>
                <w:rFonts w:ascii="Consolas" w:cs="Consolas" w:eastAsia="Consolas" w:hAnsi="Consolas"/>
                <w:sz w:val="19"/>
                <w:szCs w:val="19"/>
              </w:rPr>
              <w:t xml:space="preserve">  "errors": [</w:t>
            </w:r>
          </w:p>
          <w:p>
            <w:pPr>
              <w:spacing w:after="20"/>
            </w:pPr>
            <w:r>
              <w:rPr>
                <w:rFonts w:ascii="Consolas" w:cs="Consolas" w:eastAsia="Consolas" w:hAnsi="Consolas"/>
                <w:sz w:val="19"/>
                <w:szCs w:val="19"/>
              </w:rPr>
              <w:t xml:space="preserve">    { "index": 3, "error": "collateral_valuation requires valuer_id; without it a</w:t>
            </w:r>
          </w:p>
          <w:p>
            <w:pPr>
              <w:spacing w:after="20"/>
            </w:pPr>
            <w:r>
              <w:rPr>
                <w:rFonts w:ascii="Consolas" w:cs="Consolas" w:eastAsia="Consolas" w:hAnsi="Consolas"/>
                <w:sz w:val="19"/>
                <w:szCs w:val="19"/>
              </w:rPr>
              <w:t xml:space="preserve">                            deviation can never be attributed to the valuer who</w:t>
            </w:r>
          </w:p>
          <w:p>
            <w:pPr>
              <w:spacing w:after="20"/>
            </w:pPr>
            <w:r>
              <w:rPr>
                <w:rFonts w:ascii="Consolas" w:cs="Consolas" w:eastAsia="Consolas" w:hAnsi="Consolas"/>
                <w:sz w:val="19"/>
                <w:szCs w:val="19"/>
              </w:rPr>
              <w:t xml:space="preserve">                            produced it"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"batch_id": "..."</w:t>
            </w:r>
          </w:p>
          <w:p>
            <w:pPr>
              <w:spacing w:after="20"/>
            </w:pPr>
            <w:r>
              <w:rPr>
                <w:rFonts w:ascii="Consolas" w:cs="Consolas" w:eastAsia="Consolas" w:hAnsi="Consolas"/>
                <w:sz w:val="19"/>
                <w:szCs w:val="19"/>
              </w:rPr>
              <w:t xml:space="preserve">}</w:t>
            </w:r>
          </w:p>
        </w:tc>
      </w:tr>
    </w:tbl>
    <w:p>
      <w:pPr>
        <w:pStyle w:val="Heading2"/>
        <w:spacing w:after="140" w:before="360"/>
      </w:pPr>
      <w:r>
        <w:rPr>
          <w:rFonts w:ascii="Calibri" w:cs="Calibri" w:eastAsia="Calibri" w:hAnsi="Calibri"/>
          <w:b/>
          <w:bCs/>
          <w:color w:val="1E2761"/>
          <w:sz w:val="24"/>
          <w:szCs w:val="24"/>
        </w:rPr>
        <w:t xml:space="preserve">5.5  Coverage and Status Visibility</w:t>
      </w:r>
    </w:p>
    <w:p>
      <w:pPr>
        <w:spacing w:after="160" w:line="276"/>
      </w:pPr>
      <w:r>
        <w:rPr>
          <w:rFonts w:ascii="Calibri" w:cs="Calibri" w:eastAsia="Calibri" w:hAnsi="Calibri"/>
          <w:sz w:val="21"/>
          <w:szCs w:val="21"/>
        </w:rPr>
        <w:t xml:space="preserve">A feed that was configured once and then went quiet looks identical to one that was never configured, unless something surfaces which kinds are missing. Two read endpoints (human/console credential, not the machine </w:t>
      </w:r>
      <w:r>
        <w:rPr>
          <w:rFonts w:ascii="Consolas" w:cs="Consolas" w:eastAsia="Consolas" w:hAnsi="Consolas"/>
          <w:sz w:val="19"/>
          <w:szCs w:val="19"/>
        </w:rPr>
        <w:t xml:space="preserve">ingest</w:t>
      </w:r>
      <w:r>
        <w:rPr>
          <w:rFonts w:ascii="Calibri" w:cs="Calibri" w:eastAsia="Calibri" w:hAnsi="Calibri"/>
          <w:sz w:val="21"/>
          <w:szCs w:val="21"/>
        </w:rPr>
        <w:t xml:space="preserve"> credential) expose this:</w:t>
      </w:r>
    </w:p>
    <w:tbl>
      <w:tblPr>
        <w:tblW w:type="dxa" w:w="9150"/>
        <w:tblBorders>
          <w:top w:val="single" w:color="C7D2E6" w:sz="4"/>
          <w:left w:val="single" w:color="C7D2E6" w:sz="4"/>
          <w:bottom w:val="single" w:color="C7D2E6" w:sz="4"/>
          <w:right w:val="single" w:color="C7D2E6" w:sz="4"/>
          <w:insideH w:val="single" w:color="C7D2E6" w:sz="4"/>
          <w:insideV w:val="single" w:color="C7D2E6" w:sz="4"/>
        </w:tblBorders>
      </w:tblPr>
      <w:tblGrid>
        <w:gridCol w:w="4000"/>
        <w:gridCol w:w="5150"/>
      </w:tblGrid>
      <w:tr>
        <w:trPr>
          <w:tblHeader/>
        </w:trPr>
        <w:tc>
          <w:tcPr>
            <w:tcW w:type="dxa" w:w="40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Endpoint</w:t>
            </w:r>
          </w:p>
        </w:tc>
        <w:tc>
          <w:tcPr>
            <w:tcW w:type="dxa" w:w="51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Returns</w:t>
            </w:r>
          </w:p>
        </w:tc>
      </w:tr>
      <w:tr>
        <w:tc>
          <w:tcPr>
            <w:tcW w:type="dxa" w:w="40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GET /ingest/{tenant_id}/cbs-events/coverage</w:t>
            </w:r>
          </w:p>
        </w:tc>
        <w:tc>
          <w:tcPr>
            <w:tcW w:type="dxa" w:w="51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Every event kind, what it unblocks, how many have been received, and the timestamp of the latest one — so a stalled feed is visible per kind, not just in aggregate.</w:t>
            </w:r>
          </w:p>
        </w:tc>
      </w:tr>
      <w:tr>
        <w:tc>
          <w:tcPr>
            <w:tcW w:type="dxa" w:w="40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GET /ingest/{tenant_id}/status</w:t>
            </w:r>
          </w:p>
        </w:tc>
        <w:tc>
          <w:tcPr>
            <w:tcW w:type="dxa" w:w="51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Overall queue depth and freshness for the tenant, across both payment and CBS/LOS intake.</w:t>
            </w:r>
          </w:p>
        </w:tc>
      </w:tr>
    </w:tbl>
    <w:p>
      <w:r>
        <w:br w:type="page"/>
      </w:r>
    </w:p>
    <w:p>
      <w:pPr>
        <w:pStyle w:val="Heading1"/>
        <w:pBdr>
          <w:bottom w:val="single" w:color="C7D2E6" w:sz="6" w:space="6"/>
        </w:pBdr>
        <w:spacing w:after="200" w:before="480"/>
      </w:pPr>
      <w:r>
        <w:rPr>
          <w:rFonts w:ascii="Calibri" w:cs="Calibri" w:eastAsia="Calibri" w:hAnsi="Calibri"/>
          <w:b/>
          <w:bCs/>
          <w:color w:val="1E2761"/>
          <w:sz w:val="30"/>
          <w:szCs w:val="30"/>
        </w:rPr>
        <w:t xml:space="preserve">6. Onboarding Checklist</w:t>
      </w:r>
    </w:p>
    <w:p>
      <w:pPr>
        <w:spacing w:after="160" w:line="276"/>
      </w:pPr>
      <w:r>
        <w:rPr>
          <w:rFonts w:ascii="Calibri" w:cs="Calibri" w:eastAsia="Calibri" w:hAnsi="Calibri"/>
          <w:sz w:val="21"/>
          <w:szCs w:val="21"/>
        </w:rPr>
        <w:t xml:space="preserve">Before your first production call, confirm each of the following with your Fraud360 onboarding contact:</w:t>
      </w:r>
    </w:p>
    <w:p>
      <w:pPr>
        <w:pStyle w:val="ListParagraph"/>
        <w:numPr>
          <w:ilvl w:val="0"/>
          <w:numId w:val="2"/>
        </w:numPr>
        <w:spacing w:after="90"/>
      </w:pPr>
      <w:r>
        <w:rPr>
          <w:rFonts w:ascii="Calibri" w:cs="Calibri" w:eastAsia="Calibri" w:hAnsi="Calibri"/>
          <w:sz w:val="21"/>
          <w:szCs w:val="21"/>
        </w:rPr>
        <w:t xml:space="preserve">Machine credential issued, with the correct scope (ingest, decide, or ingest+decide — §3.2)</w:t>
      </w:r>
    </w:p>
    <w:p>
      <w:pPr>
        <w:pStyle w:val="ListParagraph"/>
        <w:numPr>
          <w:ilvl w:val="0"/>
          <w:numId w:val="2"/>
        </w:numPr>
        <w:spacing w:after="90"/>
      </w:pPr>
      <w:r>
        <w:rPr>
          <w:rFonts w:ascii="Calibri" w:cs="Calibri" w:eastAsia="Calibri" w:hAnsi="Calibri"/>
          <w:sz w:val="21"/>
          <w:szCs w:val="21"/>
        </w:rPr>
        <w:t xml:space="preserve">Base URLs received for all endpoints you will call — identity service, API gateway, and (Lane A only) decision service (§3.1)</w:t>
      </w:r>
    </w:p>
    <w:p>
      <w:pPr>
        <w:pStyle w:val="ListParagraph"/>
        <w:numPr>
          <w:ilvl w:val="0"/>
          <w:numId w:val="2"/>
        </w:numPr>
        <w:spacing w:after="90"/>
      </w:pPr>
      <w:r>
        <w:rPr>
          <w:rFonts w:ascii="Calibri" w:cs="Calibri" w:eastAsia="Calibri" w:hAnsi="Calibri"/>
          <w:sz w:val="21"/>
          <w:szCs w:val="21"/>
        </w:rPr>
        <w:t xml:space="preserve">IP allow-list entries submitted for every address your system will call from</w:t>
      </w:r>
    </w:p>
    <w:p>
      <w:pPr>
        <w:pStyle w:val="ListParagraph"/>
        <w:numPr>
          <w:ilvl w:val="0"/>
          <w:numId w:val="2"/>
        </w:numPr>
        <w:spacing w:after="90"/>
      </w:pPr>
      <w:r>
        <w:rPr>
          <w:rFonts w:ascii="Calibri" w:cs="Calibri" w:eastAsia="Calibri" w:hAnsi="Calibri"/>
          <w:sz w:val="21"/>
          <w:szCs w:val="21"/>
        </w:rPr>
        <w:t xml:space="preserve">Certificate binding arranged, if your integration can present one (recommended, not mandatory)</w:t>
      </w:r>
    </w:p>
    <w:p>
      <w:pPr>
        <w:pStyle w:val="ListParagraph"/>
        <w:numPr>
          <w:ilvl w:val="0"/>
          <w:numId w:val="2"/>
        </w:numPr>
        <w:spacing w:after="90"/>
      </w:pPr>
      <w:r>
        <w:rPr>
          <w:rFonts w:ascii="Calibri" w:cs="Calibri" w:eastAsia="Calibri" w:hAnsi="Calibri"/>
          <w:sz w:val="21"/>
          <w:szCs w:val="21"/>
        </w:rPr>
        <w:t xml:space="preserve">UAT credential exercised against §4.5 / §5.4's worked examples, with matching responses observed</w:t>
      </w:r>
    </w:p>
    <w:p>
      <w:pPr>
        <w:pStyle w:val="ListParagraph"/>
        <w:numPr>
          <w:ilvl w:val="0"/>
          <w:numId w:val="2"/>
        </w:numPr>
        <w:spacing w:after="90"/>
      </w:pPr>
      <w:r>
        <w:rPr>
          <w:rFonts w:ascii="Calibri" w:cs="Calibri" w:eastAsia="Calibri" w:hAnsi="Calibri"/>
          <w:sz w:val="21"/>
          <w:szCs w:val="21"/>
        </w:rPr>
        <w:t xml:space="preserve">(Lane A only) Fail policy — open or closed — confirmed per rail with the bank's Fraud360 administrator, and implemented on your side for the timeout case</w:t>
      </w:r>
    </w:p>
    <w:p>
      <w:pPr>
        <w:pStyle w:val="ListParagraph"/>
        <w:numPr>
          <w:ilvl w:val="0"/>
          <w:numId w:val="2"/>
        </w:numPr>
        <w:spacing w:after="90"/>
      </w:pPr>
      <w:r>
        <w:rPr>
          <w:rFonts w:ascii="Calibri" w:cs="Calibri" w:eastAsia="Calibri" w:hAnsi="Calibri"/>
          <w:sz w:val="21"/>
          <w:szCs w:val="21"/>
        </w:rPr>
        <w:t xml:space="preserve">(Lane A only) Shadow-mode expectations understood: action is safe to act on unconditionally; would_be is reporting-only and must never drive behaviour</w:t>
      </w:r>
    </w:p>
    <w:p>
      <w:pPr>
        <w:pStyle w:val="ListParagraph"/>
        <w:numPr>
          <w:ilvl w:val="0"/>
          <w:numId w:val="2"/>
        </w:numPr>
        <w:spacing w:after="90"/>
      </w:pPr>
      <w:r>
        <w:rPr>
          <w:rFonts w:ascii="Calibri" w:cs="Calibri" w:eastAsia="Calibri" w:hAnsi="Calibri"/>
          <w:sz w:val="21"/>
          <w:szCs w:val="21"/>
        </w:rPr>
        <w:t xml:space="preserve">(Lane B only) Which of the 10 event kinds your system will send, and the kind-specific required fields for each (§5.3) confirmed against your extract's actual field availability</w:t>
      </w:r>
    </w:p>
    <w:p>
      <w:pPr>
        <w:pStyle w:val="ListParagraph"/>
        <w:numPr>
          <w:ilvl w:val="0"/>
          <w:numId w:val="2"/>
        </w:numPr>
        <w:spacing w:after="90"/>
      </w:pPr>
      <w:r>
        <w:rPr>
          <w:rFonts w:ascii="Calibri" w:cs="Calibri" w:eastAsia="Calibri" w:hAnsi="Calibri"/>
          <w:sz w:val="21"/>
          <w:szCs w:val="21"/>
        </w:rPr>
        <w:t xml:space="preserve">(Lane B only) source value confirmed — "live" if this feed is to support CTR filing (BR-508), per the note in §5.2</w:t>
      </w:r>
    </w:p>
    <w:p>
      <w:pPr>
        <w:pStyle w:val="ListParagraph"/>
        <w:numPr>
          <w:ilvl w:val="0"/>
          <w:numId w:val="2"/>
        </w:numPr>
        <w:spacing w:after="90"/>
      </w:pPr>
      <w:r>
        <w:rPr>
          <w:rFonts w:ascii="Calibri" w:cs="Calibri" w:eastAsia="Calibri" w:hAnsi="Calibri"/>
          <w:sz w:val="21"/>
          <w:szCs w:val="21"/>
        </w:rPr>
        <w:t xml:space="preserve">Error-handling logic built against error.code (Appendix B), not against error.message text</w:t>
      </w:r>
    </w:p>
    <w:p>
      <w:pPr>
        <w:pStyle w:val="ListParagraph"/>
        <w:numPr>
          <w:ilvl w:val="0"/>
          <w:numId w:val="2"/>
        </w:numPr>
        <w:spacing w:after="90"/>
      </w:pPr>
      <w:r>
        <w:rPr>
          <w:rFonts w:ascii="Calibri" w:cs="Calibri" w:eastAsia="Calibri" w:hAnsi="Calibri"/>
          <w:sz w:val="21"/>
          <w:szCs w:val="21"/>
        </w:rPr>
        <w:t xml:space="preserve">A rollback/escalation contact agreed for the go-live window (Appendix C)</w:t>
      </w:r>
    </w:p>
    <w:p>
      <w:r>
        <w:br w:type="page"/>
      </w:r>
    </w:p>
    <w:p>
      <w:pPr>
        <w:pStyle w:val="Heading1"/>
        <w:pBdr>
          <w:bottom w:val="single" w:color="C7D2E6" w:sz="6" w:space="6"/>
        </w:pBdr>
        <w:spacing w:after="200" w:before="480"/>
      </w:pPr>
      <w:r>
        <w:rPr>
          <w:rFonts w:ascii="Calibri" w:cs="Calibri" w:eastAsia="Calibri" w:hAnsi="Calibri"/>
          <w:b/>
          <w:bCs/>
          <w:color w:val="1E2761"/>
          <w:sz w:val="30"/>
          <w:szCs w:val="30"/>
        </w:rPr>
        <w:t xml:space="preserve">Appendix A — Lane A Payment-Rail Field Reference</w:t>
      </w:r>
    </w:p>
    <w:p>
      <w:pPr>
        <w:spacing w:after="160" w:line="276"/>
      </w:pPr>
      <w:r>
        <w:rPr>
          <w:rFonts w:ascii="Calibri" w:cs="Calibri" w:eastAsia="Calibri" w:hAnsi="Calibri"/>
          <w:sz w:val="21"/>
          <w:szCs w:val="21"/>
        </w:rPr>
        <w:t xml:space="preserve">Every accepted key name (aliases) for the payload object inside each transaction, for the three rails in scope for this integration. Send any one of the aliases listed for a field — Fraud360 checks them in the order shown and takes the first present, non-empty value.</w:t>
      </w:r>
    </w:p>
    <w:p>
      <w:pPr>
        <w:pStyle w:val="Heading2"/>
        <w:spacing w:after="140" w:before="360"/>
      </w:pPr>
      <w:r>
        <w:rPr>
          <w:rFonts w:ascii="Calibri" w:cs="Calibri" w:eastAsia="Calibri" w:hAnsi="Calibri"/>
          <w:b/>
          <w:bCs/>
          <w:color w:val="1E2761"/>
          <w:sz w:val="24"/>
          <w:szCs w:val="24"/>
        </w:rPr>
        <w:t xml:space="preserve">A.1  UPI</w:t>
      </w:r>
    </w:p>
    <w:tbl>
      <w:tblPr>
        <w:tblW w:type="dxa" w:w="9250"/>
        <w:tblBorders>
          <w:top w:val="single" w:color="C7D2E6" w:sz="4"/>
          <w:left w:val="single" w:color="C7D2E6" w:sz="4"/>
          <w:bottom w:val="single" w:color="C7D2E6" w:sz="4"/>
          <w:right w:val="single" w:color="C7D2E6" w:sz="4"/>
          <w:insideH w:val="single" w:color="C7D2E6" w:sz="4"/>
          <w:insideV w:val="single" w:color="C7D2E6" w:sz="4"/>
        </w:tblBorders>
      </w:tblPr>
      <w:tblGrid>
        <w:gridCol w:w="2100"/>
        <w:gridCol w:w="3900"/>
        <w:gridCol w:w="3250"/>
      </w:tblGrid>
      <w:tr>
        <w:trPr>
          <w:tblHeader/>
        </w:trPr>
        <w:tc>
          <w:tcPr>
            <w:tcW w:type="dxa" w:w="21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Canonical field</w:t>
            </w:r>
          </w:p>
        </w:tc>
        <w:tc>
          <w:tcPr>
            <w:tcW w:type="dxa" w:w="39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Accepted payload keys</w:t>
            </w:r>
          </w:p>
        </w:tc>
        <w:tc>
          <w:tcPr>
            <w:tcW w:type="dxa" w:w="32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Format</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txn_id</w:t>
            </w:r>
          </w:p>
        </w:tc>
        <w:tc>
          <w:tcPr>
            <w:tcW w:type="dxa" w:w="3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txn_id, upiTransactionId, npciTxnId</w:t>
            </w:r>
          </w:p>
        </w:tc>
        <w:tc>
          <w:tcPr>
            <w:tcW w:type="dxa" w:w="3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string — required</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ts</w:t>
            </w:r>
          </w:p>
        </w:tc>
        <w:tc>
          <w:tcPr>
            <w:tcW w:type="dxa" w:w="3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ts, txnTimestamp, timestamp</w:t>
            </w:r>
          </w:p>
        </w:tc>
        <w:tc>
          <w:tcPr>
            <w:tcW w:type="dxa" w:w="3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ISO-8601 with timezone offset — required</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amount_paise</w:t>
            </w:r>
          </w:p>
        </w:tc>
        <w:tc>
          <w:tcPr>
            <w:tcW w:type="dxa" w:w="3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amount, amountRupees, txnAmount</w:t>
            </w:r>
          </w:p>
        </w:tc>
        <w:tc>
          <w:tcPr>
            <w:tcW w:type="dxa" w:w="3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decimal rupees (string/number) or integer paise — required</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debtor_account</w:t>
            </w:r>
          </w:p>
        </w:tc>
        <w:tc>
          <w:tcPr>
            <w:tcW w:type="dxa" w:w="3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debtor_account, payerAccount, payerVpa</w:t>
            </w:r>
          </w:p>
        </w:tc>
        <w:tc>
          <w:tcPr>
            <w:tcW w:type="dxa" w:w="3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string — required</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creditor_account</w:t>
            </w:r>
          </w:p>
        </w:tc>
        <w:tc>
          <w:tcPr>
            <w:tcW w:type="dxa" w:w="3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creditor_account, payeeAccount, payeeVpa</w:t>
            </w:r>
          </w:p>
        </w:tc>
        <w:tc>
          <w:tcPr>
            <w:tcW w:type="dxa" w:w="3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string — required</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channel</w:t>
            </w:r>
          </w:p>
        </w:tc>
        <w:tc>
          <w:tcPr>
            <w:tcW w:type="dxa" w:w="3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channel</w:t>
            </w:r>
          </w:p>
        </w:tc>
        <w:tc>
          <w:tcPr>
            <w:tcW w:type="dxa" w:w="3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free text — default "mobile"</w:t>
            </w:r>
          </w:p>
        </w:tc>
      </w:tr>
    </w:tbl>
    <w:p>
      <w:pPr>
        <w:pStyle w:val="Heading2"/>
        <w:spacing w:after="140" w:before="360"/>
      </w:pPr>
      <w:r>
        <w:rPr>
          <w:rFonts w:ascii="Calibri" w:cs="Calibri" w:eastAsia="Calibri" w:hAnsi="Calibri"/>
          <w:b/>
          <w:bCs/>
          <w:color w:val="1E2761"/>
          <w:sz w:val="24"/>
          <w:szCs w:val="24"/>
        </w:rPr>
        <w:t xml:space="preserve">A.2  IMPS</w:t>
      </w:r>
    </w:p>
    <w:tbl>
      <w:tblPr>
        <w:tblW w:type="dxa" w:w="9250"/>
        <w:tblBorders>
          <w:top w:val="single" w:color="C7D2E6" w:sz="4"/>
          <w:left w:val="single" w:color="C7D2E6" w:sz="4"/>
          <w:bottom w:val="single" w:color="C7D2E6" w:sz="4"/>
          <w:right w:val="single" w:color="C7D2E6" w:sz="4"/>
          <w:insideH w:val="single" w:color="C7D2E6" w:sz="4"/>
          <w:insideV w:val="single" w:color="C7D2E6" w:sz="4"/>
        </w:tblBorders>
      </w:tblPr>
      <w:tblGrid>
        <w:gridCol w:w="2100"/>
        <w:gridCol w:w="3900"/>
        <w:gridCol w:w="3250"/>
      </w:tblGrid>
      <w:tr>
        <w:trPr>
          <w:tblHeader/>
        </w:trPr>
        <w:tc>
          <w:tcPr>
            <w:tcW w:type="dxa" w:w="21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Canonical field</w:t>
            </w:r>
          </w:p>
        </w:tc>
        <w:tc>
          <w:tcPr>
            <w:tcW w:type="dxa" w:w="39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Accepted payload keys</w:t>
            </w:r>
          </w:p>
        </w:tc>
        <w:tc>
          <w:tcPr>
            <w:tcW w:type="dxa" w:w="32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Format</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txn_id</w:t>
            </w:r>
          </w:p>
        </w:tc>
        <w:tc>
          <w:tcPr>
            <w:tcW w:type="dxa" w:w="3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txn_id, rrn, imps_rrn</w:t>
            </w:r>
          </w:p>
        </w:tc>
        <w:tc>
          <w:tcPr>
            <w:tcW w:type="dxa" w:w="3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string — required</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ts</w:t>
            </w:r>
          </w:p>
        </w:tc>
        <w:tc>
          <w:tcPr>
            <w:tcW w:type="dxa" w:w="3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ts, txnDate, timestamp</w:t>
            </w:r>
          </w:p>
        </w:tc>
        <w:tc>
          <w:tcPr>
            <w:tcW w:type="dxa" w:w="3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ISO-8601 with timezone offset — required</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amount_paise</w:t>
            </w:r>
          </w:p>
        </w:tc>
        <w:tc>
          <w:tcPr>
            <w:tcW w:type="dxa" w:w="3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amount, txnAmount</w:t>
            </w:r>
          </w:p>
        </w:tc>
        <w:tc>
          <w:tcPr>
            <w:tcW w:type="dxa" w:w="3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decimal rupees or integer paise — required</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debtor_account</w:t>
            </w:r>
          </w:p>
        </w:tc>
        <w:tc>
          <w:tcPr>
            <w:tcW w:type="dxa" w:w="3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debtor_account, remitterAccount</w:t>
            </w:r>
          </w:p>
        </w:tc>
        <w:tc>
          <w:tcPr>
            <w:tcW w:type="dxa" w:w="3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string — required</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creditor_account</w:t>
            </w:r>
          </w:p>
        </w:tc>
        <w:tc>
          <w:tcPr>
            <w:tcW w:type="dxa" w:w="3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creditor_account, beneficiaryAccount</w:t>
            </w:r>
          </w:p>
        </w:tc>
        <w:tc>
          <w:tcPr>
            <w:tcW w:type="dxa" w:w="3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string — required</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channel</w:t>
            </w:r>
          </w:p>
        </w:tc>
        <w:tc>
          <w:tcPr>
            <w:tcW w:type="dxa" w:w="3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channel</w:t>
            </w:r>
          </w:p>
        </w:tc>
        <w:tc>
          <w:tcPr>
            <w:tcW w:type="dxa" w:w="3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free text — default "netbanking"</w:t>
            </w:r>
          </w:p>
        </w:tc>
      </w:tr>
    </w:tbl>
    <w:p>
      <w:pPr>
        <w:pStyle w:val="Heading2"/>
        <w:spacing w:after="140" w:before="360"/>
      </w:pPr>
      <w:r>
        <w:rPr>
          <w:rFonts w:ascii="Calibri" w:cs="Calibri" w:eastAsia="Calibri" w:hAnsi="Calibri"/>
          <w:b/>
          <w:bCs/>
          <w:color w:val="1E2761"/>
          <w:sz w:val="24"/>
          <w:szCs w:val="24"/>
        </w:rPr>
        <w:t xml:space="preserve">A.3  Card</w:t>
      </w:r>
    </w:p>
    <w:tbl>
      <w:tblPr>
        <w:tblW w:type="dxa" w:w="9250"/>
        <w:tblBorders>
          <w:top w:val="single" w:color="C7D2E6" w:sz="4"/>
          <w:left w:val="single" w:color="C7D2E6" w:sz="4"/>
          <w:bottom w:val="single" w:color="C7D2E6" w:sz="4"/>
          <w:right w:val="single" w:color="C7D2E6" w:sz="4"/>
          <w:insideH w:val="single" w:color="C7D2E6" w:sz="4"/>
          <w:insideV w:val="single" w:color="C7D2E6" w:sz="4"/>
        </w:tblBorders>
      </w:tblPr>
      <w:tblGrid>
        <w:gridCol w:w="2100"/>
        <w:gridCol w:w="3900"/>
        <w:gridCol w:w="3250"/>
      </w:tblGrid>
      <w:tr>
        <w:trPr>
          <w:tblHeader/>
        </w:trPr>
        <w:tc>
          <w:tcPr>
            <w:tcW w:type="dxa" w:w="21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Canonical field</w:t>
            </w:r>
          </w:p>
        </w:tc>
        <w:tc>
          <w:tcPr>
            <w:tcW w:type="dxa" w:w="39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Accepted payload keys</w:t>
            </w:r>
          </w:p>
        </w:tc>
        <w:tc>
          <w:tcPr>
            <w:tcW w:type="dxa" w:w="32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Format</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txn_id</w:t>
            </w:r>
          </w:p>
        </w:tc>
        <w:tc>
          <w:tcPr>
            <w:tcW w:type="dxa" w:w="3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txn_id, authCode, arn</w:t>
            </w:r>
          </w:p>
        </w:tc>
        <w:tc>
          <w:tcPr>
            <w:tcW w:type="dxa" w:w="3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string — required</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ts</w:t>
            </w:r>
          </w:p>
        </w:tc>
        <w:tc>
          <w:tcPr>
            <w:tcW w:type="dxa" w:w="3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ts, authTime, timestamp</w:t>
            </w:r>
          </w:p>
        </w:tc>
        <w:tc>
          <w:tcPr>
            <w:tcW w:type="dxa" w:w="3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ISO-8601 with timezone offset — required</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amount_paise</w:t>
            </w:r>
          </w:p>
        </w:tc>
        <w:tc>
          <w:tcPr>
            <w:tcW w:type="dxa" w:w="3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amount, authAmount</w:t>
            </w:r>
          </w:p>
        </w:tc>
        <w:tc>
          <w:tcPr>
            <w:tcW w:type="dxa" w:w="3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decimal rupees or integer paise — required</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debtor_account</w:t>
            </w:r>
          </w:p>
        </w:tc>
        <w:tc>
          <w:tcPr>
            <w:tcW w:type="dxa" w:w="3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debtor_account, cardAccount, pan_token</w:t>
            </w:r>
          </w:p>
        </w:tc>
        <w:tc>
          <w:tcPr>
            <w:tcW w:type="dxa" w:w="3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string — required. Send a tokenised PAN reference, never a raw card number.</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creditor_account</w:t>
            </w:r>
          </w:p>
        </w:tc>
        <w:tc>
          <w:tcPr>
            <w:tcW w:type="dxa" w:w="3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creditor_account, merchantId, merchant_id</w:t>
            </w:r>
          </w:p>
        </w:tc>
        <w:tc>
          <w:tcPr>
            <w:tcW w:type="dxa" w:w="3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string — required</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channel</w:t>
            </w:r>
          </w:p>
        </w:tc>
        <w:tc>
          <w:tcPr>
            <w:tcW w:type="dxa" w:w="3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channel</w:t>
            </w:r>
          </w:p>
        </w:tc>
        <w:tc>
          <w:tcPr>
            <w:tcW w:type="dxa" w:w="3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free text — default "pos"</w:t>
            </w:r>
          </w:p>
        </w:tc>
      </w:tr>
    </w:tbl>
    <w:p>
      <w:pPr>
        <w:pStyle w:val="Heading2"/>
        <w:spacing w:after="140" w:before="360"/>
      </w:pPr>
      <w:r>
        <w:rPr>
          <w:rFonts w:ascii="Calibri" w:cs="Calibri" w:eastAsia="Calibri" w:hAnsi="Calibri"/>
          <w:b/>
          <w:bCs/>
          <w:color w:val="1E2761"/>
          <w:sz w:val="24"/>
          <w:szCs w:val="24"/>
        </w:rPr>
        <w:t xml:space="preserve">A.4  Fields common to every rail (optional)</w:t>
      </w:r>
    </w:p>
    <w:tbl>
      <w:tblPr>
        <w:tblW w:type="dxa" w:w="9250"/>
        <w:tblBorders>
          <w:top w:val="single" w:color="C7D2E6" w:sz="4"/>
          <w:left w:val="single" w:color="C7D2E6" w:sz="4"/>
          <w:bottom w:val="single" w:color="C7D2E6" w:sz="4"/>
          <w:right w:val="single" w:color="C7D2E6" w:sz="4"/>
          <w:insideH w:val="single" w:color="C7D2E6" w:sz="4"/>
          <w:insideV w:val="single" w:color="C7D2E6" w:sz="4"/>
        </w:tblBorders>
      </w:tblPr>
      <w:tblGrid>
        <w:gridCol w:w="2100"/>
        <w:gridCol w:w="3900"/>
        <w:gridCol w:w="3250"/>
      </w:tblGrid>
      <w:tr>
        <w:trPr>
          <w:tblHeader/>
        </w:trPr>
        <w:tc>
          <w:tcPr>
            <w:tcW w:type="dxa" w:w="21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Canonical field</w:t>
            </w:r>
          </w:p>
        </w:tc>
        <w:tc>
          <w:tcPr>
            <w:tcW w:type="dxa" w:w="39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Accepted payload keys</w:t>
            </w:r>
          </w:p>
        </w:tc>
        <w:tc>
          <w:tcPr>
            <w:tcW w:type="dxa" w:w="32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Notes</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branch</w:t>
            </w:r>
          </w:p>
        </w:tc>
        <w:tc>
          <w:tcPr>
            <w:tcW w:type="dxa" w:w="3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branch, branch_code</w:t>
            </w:r>
          </w:p>
        </w:tc>
        <w:tc>
          <w:tcPr>
            <w:tcW w:type="dxa" w:w="3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region</w:t>
            </w:r>
          </w:p>
        </w:tc>
        <w:tc>
          <w:tcPr>
            <w:tcW w:type="dxa" w:w="3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region</w:t>
            </w:r>
          </w:p>
        </w:tc>
        <w:tc>
          <w:tcPr>
            <w:tcW w:type="dxa" w:w="3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lower-cased</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product</w:t>
            </w:r>
          </w:p>
        </w:tc>
        <w:tc>
          <w:tcPr>
            <w:tcW w:type="dxa" w:w="3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product, account_type</w:t>
            </w:r>
          </w:p>
        </w:tc>
        <w:tc>
          <w:tcPr>
            <w:tcW w:type="dxa" w:w="3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lower-cased, default "savings"</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customer_segment</w:t>
            </w:r>
          </w:p>
        </w:tc>
        <w:tc>
          <w:tcPr>
            <w:tcW w:type="dxa" w:w="3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customer_segment, segment</w:t>
            </w:r>
          </w:p>
        </w:tc>
        <w:tc>
          <w:tcPr>
            <w:tcW w:type="dxa" w:w="3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lower-cased, default "retail"</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device_id</w:t>
            </w:r>
          </w:p>
        </w:tc>
        <w:tc>
          <w:tcPr>
            <w:tcW w:type="dxa" w:w="3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device_id, device, terminal_id</w:t>
            </w:r>
          </w:p>
        </w:tc>
        <w:tc>
          <w:tcPr>
            <w:tcW w:type="dxa" w:w="3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ip_addr</w:t>
            </w:r>
          </w:p>
        </w:tc>
        <w:tc>
          <w:tcPr>
            <w:tcW w:type="dxa" w:w="3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ip_addr, ip</w:t>
            </w:r>
          </w:p>
        </w:tc>
        <w:tc>
          <w:tcPr>
            <w:tcW w:type="dxa" w:w="3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status</w:t>
            </w:r>
          </w:p>
        </w:tc>
        <w:tc>
          <w:tcPr>
            <w:tcW w:type="dxa" w:w="3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status</w:t>
            </w:r>
          </w:p>
        </w:tc>
        <w:tc>
          <w:tcPr>
            <w:tcW w:type="dxa" w:w="3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lower-cased, default "settled"</w:t>
            </w:r>
          </w:p>
        </w:tc>
      </w:tr>
      <w:tr>
        <w:tc>
          <w:tcPr>
            <w:tcW w:type="dxa" w:w="2100"/>
            <w:shd w:fill="EAF0FB" w:color="auto" w:val="clear"/>
            <w:tcMar>
              <w:top w:type="dxa" w:w="80"/>
              <w:left w:type="dxa" w:w="110"/>
              <w:bottom w:type="dxa" w:w="80"/>
              <w:right w:type="dxa" w:w="110"/>
            </w:tcMar>
            <w:vAlign w:val="center"/>
          </w:tcPr>
          <w:p>
            <w:r>
              <w:rPr>
                <w:rFonts w:ascii="Consolas" w:cs="Consolas" w:eastAsia="Consolas" w:hAnsi="Consolas"/>
                <w:sz w:val="19"/>
                <w:szCs w:val="19"/>
              </w:rPr>
              <w:t xml:space="preserve">beneficiary_added_ts</w:t>
            </w:r>
          </w:p>
        </w:tc>
        <w:tc>
          <w:tcPr>
            <w:tcW w:type="dxa" w:w="39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beneficiary_added_ts</w:t>
            </w:r>
          </w:p>
        </w:tc>
        <w:tc>
          <w:tcPr>
            <w:tcW w:type="dxa" w:w="32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ISO-8601 with timezone offset, if your system tracks when the beneficiary was first added</w:t>
            </w:r>
          </w:p>
        </w:tc>
      </w:tr>
      <w:tr>
        <w:tc>
          <w:tcPr>
            <w:tcW w:type="dxa" w:w="2100"/>
            <w:shd w:fill="FFFFFF" w:color="auto" w:val="clear"/>
            <w:tcMar>
              <w:top w:type="dxa" w:w="80"/>
              <w:left w:type="dxa" w:w="110"/>
              <w:bottom w:type="dxa" w:w="80"/>
              <w:right w:type="dxa" w:w="110"/>
            </w:tcMar>
            <w:vAlign w:val="center"/>
          </w:tcPr>
          <w:p>
            <w:r>
              <w:rPr>
                <w:rFonts w:ascii="Consolas" w:cs="Consolas" w:eastAsia="Consolas" w:hAnsi="Consolas"/>
                <w:sz w:val="19"/>
                <w:szCs w:val="19"/>
              </w:rPr>
              <w:t xml:space="preserve">direction</w:t>
            </w:r>
          </w:p>
        </w:tc>
        <w:tc>
          <w:tcPr>
            <w:tcW w:type="dxa" w:w="39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direction</w:t>
            </w:r>
          </w:p>
        </w:tc>
        <w:tc>
          <w:tcPr>
            <w:tcW w:type="dxa" w:w="32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lower-cased, default "debit"</w:t>
            </w:r>
          </w:p>
        </w:tc>
      </w:tr>
    </w:tbl>
    <w:tbl>
      <w:tblPr>
        <w:tblW w:type="dxa" w:w="9350"/>
        <w:tblBorders>
          <w:top w:val="single" w:color="EDF1FA" w:sz="4"/>
          <w:left w:val="single" w:color="1E2761" w:sz="24"/>
          <w:bottom w:val="single" w:color="EDF1FA" w:sz="4"/>
          <w:right w:val="single" w:color="EDF1FA" w:sz="4"/>
          <w:insideH w:val="none" w:color="EDF1FA" w:sz="0"/>
          <w:insideV w:val="none" w:color="EDF1FA" w:sz="0"/>
        </w:tblBorders>
      </w:tblPr>
      <w:tblGrid>
        <w:gridCol w:w="9350"/>
      </w:tblGrid>
      <w:tr>
        <w:tc>
          <w:tcPr>
            <w:tcW w:type="dxa" w:w="9350"/>
            <w:shd w:fill="EDF1FA" w:color="auto" w:val="clear"/>
            <w:tcMar>
              <w:top w:type="dxa" w:w="140"/>
              <w:left w:type="dxa" w:w="220"/>
              <w:bottom w:type="dxa" w:w="140"/>
              <w:right w:type="dxa" w:w="220"/>
            </w:tcMar>
          </w:tcPr>
          <w:p>
            <w:pPr>
              <w:spacing w:after="60"/>
            </w:pPr>
            <w:r>
              <w:rPr>
                <w:rFonts w:ascii="Calibri" w:cs="Calibri" w:eastAsia="Calibri" w:hAnsi="Calibri"/>
                <w:b/>
                <w:bCs/>
                <w:color w:val="1E2761"/>
                <w:sz w:val="19"/>
                <w:szCs w:val="19"/>
              </w:rPr>
              <w:t xml:space="preserve">Two accounts must differ</w:t>
            </w:r>
          </w:p>
          <w:p>
            <w:r>
              <w:rPr>
                <w:rFonts w:ascii="Calibri" w:cs="Calibri" w:eastAsia="Calibri" w:hAnsi="Calibri"/>
                <w:color w:val="2A2E33"/>
                <w:sz w:val="19"/>
                <w:szCs w:val="19"/>
              </w:rPr>
              <w:t xml:space="preserve">A payload where debtor_account and creditor_account resolve to the same value after mapping is rejected outright ("debtor and creditor accounts are identical") — this is refused at the adapter, before the row ever reaches detection.</w:t>
            </w:r>
          </w:p>
        </w:tc>
      </w:tr>
    </w:tbl>
    <w:p>
      <w:pPr>
        <w:pStyle w:val="Heading2"/>
        <w:spacing w:after="140" w:before="360"/>
      </w:pPr>
      <w:r>
        <w:rPr>
          <w:rFonts w:ascii="Calibri" w:cs="Calibri" w:eastAsia="Calibri" w:hAnsi="Calibri"/>
          <w:b/>
          <w:bCs/>
          <w:color w:val="1E2761"/>
          <w:sz w:val="24"/>
          <w:szCs w:val="24"/>
        </w:rPr>
        <w:t xml:space="preserve">A.5  File / SFTP Delivery (Payment Rails Only)</w:t>
      </w:r>
    </w:p>
    <w:p>
      <w:pPr>
        <w:spacing w:after="160" w:line="276"/>
      </w:pPr>
      <w:r>
        <w:rPr>
          <w:rFonts w:ascii="Calibri" w:cs="Calibri" w:eastAsia="Calibri" w:hAnsi="Calibri"/>
          <w:sz w:val="21"/>
          <w:szCs w:val="21"/>
        </w:rPr>
        <w:t xml:space="preserve">As an alternative to the REST batch shown in §4.7, payment-rail transactions may be delivered as a file drop. </w:t>
      </w:r>
      <w:r>
        <w:rPr>
          <w:rFonts w:ascii="Calibri" w:cs="Calibri" w:eastAsia="Calibri" w:hAnsi="Calibri"/>
          <w:b/>
          <w:bCs/>
          <w:sz w:val="21"/>
          <w:szCs w:val="21"/>
        </w:rPr>
        <w:t xml:space="preserve">This mechanism is not available for CBS/LOS events</w:t>
      </w:r>
      <w:r>
        <w:rPr>
          <w:rFonts w:ascii="Calibri" w:cs="Calibri" w:eastAsia="Calibri" w:hAnsi="Calibri"/>
          <w:sz w:val="21"/>
          <w:szCs w:val="21"/>
        </w:rPr>
        <w:t xml:space="preserve"> — those are REST-only (§5.2).</w:t>
      </w:r>
    </w:p>
    <w:tbl>
      <w:tblPr>
        <w:tblW w:type="dxa" w:w="9150"/>
        <w:tblBorders>
          <w:top w:val="single" w:color="C7D2E6" w:sz="4"/>
          <w:left w:val="single" w:color="C7D2E6" w:sz="4"/>
          <w:bottom w:val="single" w:color="C7D2E6" w:sz="4"/>
          <w:right w:val="single" w:color="C7D2E6" w:sz="4"/>
          <w:insideH w:val="single" w:color="C7D2E6" w:sz="4"/>
          <w:insideV w:val="single" w:color="C7D2E6" w:sz="4"/>
        </w:tblBorders>
      </w:tblPr>
      <w:tblGrid>
        <w:gridCol w:w="2400"/>
        <w:gridCol w:w="6750"/>
      </w:tblGrid>
      <w:tr>
        <w:trPr>
          <w:tblHeader/>
        </w:trPr>
        <w:tc>
          <w:tcPr>
            <w:tcW w:type="dxa" w:w="24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Attribute</w:t>
            </w:r>
          </w:p>
        </w:tc>
        <w:tc>
          <w:tcPr>
            <w:tcW w:type="dxa" w:w="67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Detail</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Formats accepted</w:t>
            </w:r>
          </w:p>
        </w:tc>
        <w:tc>
          <w:tcPr>
            <w:tcW w:type="dxa" w:w="67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CSV, JSON-lines (.jsonl / .ndjson), or ISO 20022 XML (pacs.008 FI-to-FI credit transfer, or pain.001 customer credit transfer initiation)</w:t>
            </w:r>
          </w:p>
        </w:tc>
      </w:tr>
      <w:tr>
        <w:tc>
          <w:tcPr>
            <w:tcW w:type="dxa" w:w="2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Delivery path</w:t>
            </w:r>
          </w:p>
        </w:tc>
        <w:tc>
          <w:tcPr>
            <w:tcW w:type="dxa" w:w="67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drop/{tenant_id}/incoming/ — filename convention e.g. UPI_20260817.csv</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.done marker</w:t>
            </w:r>
          </w:p>
        </w:tc>
        <w:tc>
          <w:tcPr>
            <w:tcW w:type="dxa" w:w="67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SFTP writes are not atomic. Write the data file first, then write an empty companion file with the same name plus .done (e.g. UPI_20260817.csv.done). The file is only picked up once the marker is present, which prevents a half-written file from being read as a short-but-plausible batch.</w:t>
            </w:r>
          </w:p>
        </w:tc>
      </w:tr>
      <w:tr>
        <w:tc>
          <w:tcPr>
            <w:tcW w:type="dxa" w:w="2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Idempotency</w:t>
            </w:r>
          </w:p>
        </w:tc>
        <w:tc>
          <w:tcPr>
            <w:tcW w:type="dxa" w:w="67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Files are keyed on their own SHA-256 hash — resending the identical file is a no-op, safe to do on any doubt about whether a prior delivery succeeded.</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Size limit</w:t>
            </w:r>
          </w:p>
        </w:tc>
        <w:tc>
          <w:tcPr>
            <w:tcW w:type="dxa" w:w="67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200 MB per file</w:t>
            </w:r>
          </w:p>
        </w:tc>
      </w:tr>
      <w:tr>
        <w:tc>
          <w:tcPr>
            <w:tcW w:type="dxa" w:w="2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Row-level quarantine</w:t>
            </w:r>
          </w:p>
        </w:tc>
        <w:tc>
          <w:tcPr>
            <w:tcW w:type="dxa" w:w="67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Up to 5,000 unparseable rows per file are reported individually (line number and reason) via GET /ingest/{tenant_id}/files/{file_id}/quarantine — same partial-acceptance discipline as the REST batch.</w:t>
            </w:r>
          </w:p>
        </w:tc>
      </w:tr>
      <w:tr>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ISO 20022 validation</w:t>
            </w:r>
          </w:p>
        </w:tc>
        <w:tc>
          <w:tcPr>
            <w:tcW w:type="dxa" w:w="67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The message's own group header (NbOfTxs, CtrlSum) is checked against its content; a mismatch fails the whole file rather than silently ingesting a truncated one. Only INR-denominated messages are accepted — a foreign-currency message is refused rather than converted, since no exchange rate is available at the edge.</w:t>
            </w:r>
          </w:p>
        </w:tc>
      </w:tr>
    </w:tbl>
    <w:p>
      <w:pPr>
        <w:spacing w:after="160" w:line="276"/>
      </w:pPr>
      <w:r>
        <w:rPr>
          <w:rFonts w:ascii="Calibri" w:cs="Calibri" w:eastAsia="Calibri" w:hAnsi="Calibri"/>
          <w:sz w:val="21"/>
          <w:szCs w:val="21"/>
        </w:rPr>
        <w:t xml:space="preserve">File status and quarantine detail are visible via </w:t>
      </w:r>
      <w:r>
        <w:rPr>
          <w:rFonts w:ascii="Consolas" w:cs="Consolas" w:eastAsia="Consolas" w:hAnsi="Consolas"/>
          <w:sz w:val="19"/>
          <w:szCs w:val="19"/>
        </w:rPr>
        <w:t xml:space="preserve">GET /ingest/{tenant_id}/files</w:t>
      </w:r>
      <w:r>
        <w:rPr>
          <w:rFonts w:ascii="Calibri" w:cs="Calibri" w:eastAsia="Calibri" w:hAnsi="Calibri"/>
          <w:sz w:val="21"/>
          <w:szCs w:val="21"/>
        </w:rPr>
        <w:t xml:space="preserve"> and </w:t>
      </w:r>
      <w:r>
        <w:rPr>
          <w:rFonts w:ascii="Consolas" w:cs="Consolas" w:eastAsia="Consolas" w:hAnsi="Consolas"/>
          <w:sz w:val="19"/>
          <w:szCs w:val="19"/>
        </w:rPr>
        <w:t xml:space="preserve">GET /ingest/{tenant_id}/files/{file_id}/quarantine</w:t>
      </w:r>
      <w:r>
        <w:rPr>
          <w:rFonts w:ascii="Calibri" w:cs="Calibri" w:eastAsia="Calibri" w:hAnsi="Calibri"/>
          <w:sz w:val="21"/>
          <w:szCs w:val="21"/>
        </w:rPr>
        <w:t xml:space="preserve"> (human/console credential).</w:t>
      </w:r>
    </w:p>
    <w:p>
      <w:r>
        <w:br w:type="page"/>
      </w:r>
    </w:p>
    <w:p>
      <w:pPr>
        <w:pStyle w:val="Heading1"/>
        <w:pBdr>
          <w:bottom w:val="single" w:color="C7D2E6" w:sz="6" w:space="6"/>
        </w:pBdr>
        <w:spacing w:after="200" w:before="480"/>
      </w:pPr>
      <w:r>
        <w:rPr>
          <w:rFonts w:ascii="Calibri" w:cs="Calibri" w:eastAsia="Calibri" w:hAnsi="Calibri"/>
          <w:b/>
          <w:bCs/>
          <w:color w:val="1E2761"/>
          <w:sz w:val="30"/>
          <w:szCs w:val="30"/>
        </w:rPr>
        <w:t xml:space="preserve">Appendix B — Error Code Reference</w:t>
      </w:r>
    </w:p>
    <w:p>
      <w:pPr>
        <w:spacing w:after="160" w:line="276"/>
      </w:pPr>
      <w:r>
        <w:rPr>
          <w:rFonts w:ascii="Calibri" w:cs="Calibri" w:eastAsia="Calibri" w:hAnsi="Calibri"/>
          <w:sz w:val="21"/>
          <w:szCs w:val="21"/>
        </w:rPr>
        <w:t xml:space="preserve">Every error uses the envelope in §3.5. Codes below are drawn from the actual service implementation; treat any code not listed here as unexpected and report it.</w:t>
      </w:r>
    </w:p>
    <w:tbl>
      <w:tblPr>
        <w:tblW w:type="dxa" w:w="8650"/>
        <w:tblBorders>
          <w:top w:val="single" w:color="C7D2E6" w:sz="4"/>
          <w:left w:val="single" w:color="C7D2E6" w:sz="4"/>
          <w:bottom w:val="single" w:color="C7D2E6" w:sz="4"/>
          <w:right w:val="single" w:color="C7D2E6" w:sz="4"/>
          <w:insideH w:val="single" w:color="C7D2E6" w:sz="4"/>
          <w:insideV w:val="single" w:color="C7D2E6" w:sz="4"/>
        </w:tblBorders>
      </w:tblPr>
      <w:tblGrid>
        <w:gridCol w:w="1200"/>
        <w:gridCol w:w="2400"/>
        <w:gridCol w:w="1500"/>
        <w:gridCol w:w="3550"/>
      </w:tblGrid>
      <w:tr>
        <w:trPr>
          <w:tblHeader/>
        </w:trPr>
        <w:tc>
          <w:tcPr>
            <w:tcW w:type="dxa" w:w="12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HTTP status</w:t>
            </w:r>
          </w:p>
        </w:tc>
        <w:tc>
          <w:tcPr>
            <w:tcW w:type="dxa" w:w="24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error.code</w:t>
            </w:r>
          </w:p>
        </w:tc>
        <w:tc>
          <w:tcPr>
            <w:tcW w:type="dxa" w:w="15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Applies to</w:t>
            </w:r>
          </w:p>
        </w:tc>
        <w:tc>
          <w:tcPr>
            <w:tcW w:type="dxa" w:w="35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Meaning</w:t>
            </w:r>
          </w:p>
        </w:tc>
      </w:tr>
      <w:tr>
        <w:tc>
          <w:tcPr>
            <w:tcW w:type="dxa" w:w="1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400</w:t>
            </w:r>
          </w:p>
        </w:tc>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unsupported_grant</w:t>
            </w:r>
          </w:p>
        </w:tc>
        <w:tc>
          <w:tcPr>
            <w:tcW w:type="dxa" w:w="15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Auth</w:t>
            </w:r>
          </w:p>
        </w:tc>
        <w:tc>
          <w:tcPr>
            <w:tcW w:type="dxa" w:w="3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grant_type was not client_credentials.</w:t>
            </w:r>
          </w:p>
        </w:tc>
      </w:tr>
      <w:tr>
        <w:tc>
          <w:tcPr>
            <w:tcW w:type="dxa" w:w="1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401</w:t>
            </w:r>
          </w:p>
        </w:tc>
        <w:tc>
          <w:tcPr>
            <w:tcW w:type="dxa" w:w="2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invalid_client</w:t>
            </w:r>
          </w:p>
        </w:tc>
        <w:tc>
          <w:tcPr>
            <w:tcW w:type="dxa" w:w="15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Both lanes</w:t>
            </w:r>
          </w:p>
        </w:tc>
        <w:tc>
          <w:tcPr>
            <w:tcW w:type="dxa" w:w="3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Unknown client_id or wrong client_secret. Deliberately identical for both cases — see §3.2.</w:t>
            </w:r>
          </w:p>
        </w:tc>
      </w:tr>
      <w:tr>
        <w:tc>
          <w:tcPr>
            <w:tcW w:type="dxa" w:w="1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403</w:t>
            </w:r>
          </w:p>
        </w:tc>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credential_unusable</w:t>
            </w:r>
          </w:p>
        </w:tc>
        <w:tc>
          <w:tcPr>
            <w:tcW w:type="dxa" w:w="15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Both lanes</w:t>
            </w:r>
          </w:p>
        </w:tc>
        <w:tc>
          <w:tcPr>
            <w:tcW w:type="dxa" w:w="3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Credential expired or revoked.</w:t>
            </w:r>
          </w:p>
        </w:tc>
      </w:tr>
      <w:tr>
        <w:tc>
          <w:tcPr>
            <w:tcW w:type="dxa" w:w="1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403</w:t>
            </w:r>
          </w:p>
        </w:tc>
        <w:tc>
          <w:tcPr>
            <w:tcW w:type="dxa" w:w="2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ip_not_allowed</w:t>
            </w:r>
          </w:p>
        </w:tc>
        <w:tc>
          <w:tcPr>
            <w:tcW w:type="dxa" w:w="15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Both lanes</w:t>
            </w:r>
          </w:p>
        </w:tc>
        <w:tc>
          <w:tcPr>
            <w:tcW w:type="dxa" w:w="3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Calling address not on the credential's IP allow-list.</w:t>
            </w:r>
          </w:p>
        </w:tc>
      </w:tr>
      <w:tr>
        <w:tc>
          <w:tcPr>
            <w:tcW w:type="dxa" w:w="1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403</w:t>
            </w:r>
          </w:p>
        </w:tc>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certificate_mismatch</w:t>
            </w:r>
          </w:p>
        </w:tc>
        <w:tc>
          <w:tcPr>
            <w:tcW w:type="dxa" w:w="15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Both lanes</w:t>
            </w:r>
          </w:p>
        </w:tc>
        <w:tc>
          <w:tcPr>
            <w:tcW w:type="dxa" w:w="3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Presented client certificate does not match the credential's binding.</w:t>
            </w:r>
          </w:p>
        </w:tc>
      </w:tr>
      <w:tr>
        <w:tc>
          <w:tcPr>
            <w:tcW w:type="dxa" w:w="1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403</w:t>
            </w:r>
          </w:p>
        </w:tc>
        <w:tc>
          <w:tcPr>
            <w:tcW w:type="dxa" w:w="2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tenant_suspended / tenant_offboarded</w:t>
            </w:r>
          </w:p>
        </w:tc>
        <w:tc>
          <w:tcPr>
            <w:tcW w:type="dxa" w:w="15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Both lanes</w:t>
            </w:r>
          </w:p>
        </w:tc>
        <w:tc>
          <w:tcPr>
            <w:tcW w:type="dxa" w:w="3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The bank's Fraud360 service is stopped.</w:t>
            </w:r>
          </w:p>
        </w:tc>
      </w:tr>
      <w:tr>
        <w:tc>
          <w:tcPr>
            <w:tcW w:type="dxa" w:w="1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403</w:t>
            </w:r>
          </w:p>
        </w:tc>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(scope refusal)</w:t>
            </w:r>
          </w:p>
        </w:tc>
        <w:tc>
          <w:tcPr>
            <w:tcW w:type="dxa" w:w="15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Both lanes</w:t>
            </w:r>
          </w:p>
        </w:tc>
        <w:tc>
          <w:tcPr>
            <w:tcW w:type="dxa" w:w="3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Credential's scope does not include the capability being called (e.g. ingest-only credential calling /decide).</w:t>
            </w:r>
          </w:p>
        </w:tc>
      </w:tr>
      <w:tr>
        <w:tc>
          <w:tcPr>
            <w:tcW w:type="dxa" w:w="1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409</w:t>
            </w:r>
          </w:p>
        </w:tc>
        <w:tc>
          <w:tcPr>
            <w:tcW w:type="dxa" w:w="2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rail_not_inline</w:t>
            </w:r>
          </w:p>
        </w:tc>
        <w:tc>
          <w:tcPr>
            <w:tcW w:type="dxa" w:w="15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Lane A</w:t>
            </w:r>
          </w:p>
        </w:tc>
        <w:tc>
          <w:tcPr>
            <w:tcW w:type="dxa" w:w="3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The rail is configured for Lane B, not real-time decisioning — see §4.6.</w:t>
            </w:r>
          </w:p>
        </w:tc>
      </w:tr>
      <w:tr>
        <w:tc>
          <w:tcPr>
            <w:tcW w:type="dxa" w:w="1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409</w:t>
            </w:r>
          </w:p>
        </w:tc>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no_rail_policy</w:t>
            </w:r>
          </w:p>
        </w:tc>
        <w:tc>
          <w:tcPr>
            <w:tcW w:type="dxa" w:w="15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Lane A</w:t>
            </w:r>
          </w:p>
        </w:tc>
        <w:tc>
          <w:tcPr>
            <w:tcW w:type="dxa" w:w="3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No inline decision policy configured yet for this rail.</w:t>
            </w:r>
          </w:p>
        </w:tc>
      </w:tr>
      <w:tr>
        <w:tc>
          <w:tcPr>
            <w:tcW w:type="dxa" w:w="1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413</w:t>
            </w:r>
          </w:p>
        </w:tc>
        <w:tc>
          <w:tcPr>
            <w:tcW w:type="dxa" w:w="2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batch_too_large</w:t>
            </w:r>
          </w:p>
        </w:tc>
        <w:tc>
          <w:tcPr>
            <w:tcW w:type="dxa" w:w="15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Both lanes (batch)</w:t>
            </w:r>
          </w:p>
        </w:tc>
        <w:tc>
          <w:tcPr>
            <w:tcW w:type="dxa" w:w="3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More than 5,000 transactions/events in one request — split and resend.</w:t>
            </w:r>
          </w:p>
        </w:tc>
      </w:tr>
      <w:tr>
        <w:tc>
          <w:tcPr>
            <w:tcW w:type="dxa" w:w="1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422</w:t>
            </w:r>
          </w:p>
        </w:tc>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(validation error)</w:t>
            </w:r>
          </w:p>
        </w:tc>
        <w:tc>
          <w:tcPr>
            <w:tcW w:type="dxa" w:w="15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Both lanes</w:t>
            </w:r>
          </w:p>
        </w:tc>
        <w:tc>
          <w:tcPr>
            <w:tcW w:type="dxa" w:w="3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Malformed request body (FastAPI/Pydantic validation) — the request never reached row-level processing.</w:t>
            </w:r>
          </w:p>
        </w:tc>
      </w:tr>
      <w:tr>
        <w:tc>
          <w:tcPr>
            <w:tcW w:type="dxa" w:w="12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429</w:t>
            </w:r>
          </w:p>
        </w:tc>
        <w:tc>
          <w:tcPr>
            <w:tcW w:type="dxa" w:w="2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rate_limited</w:t>
            </w:r>
          </w:p>
        </w:tc>
        <w:tc>
          <w:tcPr>
            <w:tcW w:type="dxa" w:w="15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Both lanes (via gateway)</w:t>
            </w:r>
          </w:p>
        </w:tc>
        <w:tc>
          <w:tcPr>
            <w:tcW w:type="dxa" w:w="35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Too many requests from this caller; retry after the value in the Retry-After header.</w:t>
            </w:r>
          </w:p>
        </w:tc>
      </w:tr>
      <w:tr>
        <w:tc>
          <w:tcPr>
            <w:tcW w:type="dxa" w:w="12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5xx</w:t>
            </w:r>
          </w:p>
        </w:tc>
        <w:tc>
          <w:tcPr>
            <w:tcW w:type="dxa" w:w="2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internal_error</w:t>
            </w:r>
          </w:p>
        </w:tc>
        <w:tc>
          <w:tcPr>
            <w:tcW w:type="dxa" w:w="15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Both lanes</w:t>
            </w:r>
          </w:p>
        </w:tc>
        <w:tc>
          <w:tcPr>
            <w:tcW w:type="dxa" w:w="35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An unhandled fault on the Fraud360 side. No internal detail is included in the response; retry with backoff and escalate if persistent.</w:t>
            </w:r>
          </w:p>
        </w:tc>
      </w:tr>
    </w:tbl>
    <w:p>
      <w:pPr>
        <w:spacing w:after="160" w:line="276"/>
      </w:pPr>
      <w:r>
        <w:rPr>
          <w:rFonts w:ascii="Calibri" w:cs="Calibri" w:eastAsia="Calibri" w:hAnsi="Calibri"/>
          <w:sz w:val="21"/>
          <w:szCs w:val="21"/>
        </w:rPr>
        <w:t xml:space="preserve">Row-level errors inside a 202 batch response (</w:t>
      </w:r>
      <w:r>
        <w:rPr>
          <w:rFonts w:ascii="Consolas" w:cs="Consolas" w:eastAsia="Consolas" w:hAnsi="Consolas"/>
          <w:sz w:val="19"/>
          <w:szCs w:val="19"/>
        </w:rPr>
        <w:t xml:space="preserve">errors[].error</w:t>
      </w:r>
      <w:r>
        <w:rPr>
          <w:rFonts w:ascii="Calibri" w:cs="Calibri" w:eastAsia="Calibri" w:hAnsi="Calibri"/>
          <w:sz w:val="21"/>
          <w:szCs w:val="21"/>
        </w:rPr>
        <w:t xml:space="preserve">) are free-text adapter messages, not stable codes — they are written to be read by a human fixing the row, not branched on programmatically. Examples appear throughout §4 and §5.</w:t>
      </w:r>
    </w:p>
    <w:p>
      <w:r>
        <w:br w:type="page"/>
      </w:r>
    </w:p>
    <w:p>
      <w:pPr>
        <w:pStyle w:val="Heading1"/>
        <w:pBdr>
          <w:bottom w:val="single" w:color="C7D2E6" w:sz="6" w:space="6"/>
        </w:pBdr>
        <w:spacing w:after="200" w:before="480"/>
      </w:pPr>
      <w:r>
        <w:rPr>
          <w:rFonts w:ascii="Calibri" w:cs="Calibri" w:eastAsia="Calibri" w:hAnsi="Calibri"/>
          <w:b/>
          <w:bCs/>
          <w:color w:val="1E2761"/>
          <w:sz w:val="30"/>
          <w:szCs w:val="30"/>
        </w:rPr>
        <w:t xml:space="preserve">Appendix C — Contacts and Change Control</w:t>
      </w:r>
    </w:p>
    <w:tbl>
      <w:tblPr>
        <w:tblW w:type="dxa" w:w="9150"/>
        <w:tblBorders>
          <w:top w:val="single" w:color="C7D2E6" w:sz="4"/>
          <w:left w:val="single" w:color="C7D2E6" w:sz="4"/>
          <w:bottom w:val="single" w:color="C7D2E6" w:sz="4"/>
          <w:right w:val="single" w:color="C7D2E6" w:sz="4"/>
          <w:insideH w:val="single" w:color="C7D2E6" w:sz="4"/>
          <w:insideV w:val="single" w:color="C7D2E6" w:sz="4"/>
        </w:tblBorders>
      </w:tblPr>
      <w:tblGrid>
        <w:gridCol w:w="3000"/>
        <w:gridCol w:w="6150"/>
      </w:tblGrid>
      <w:tr>
        <w:trPr>
          <w:tblHeader/>
        </w:trPr>
        <w:tc>
          <w:tcPr>
            <w:tcW w:type="dxa" w:w="30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Role</w:t>
            </w:r>
          </w:p>
        </w:tc>
        <w:tc>
          <w:tcPr>
            <w:tcW w:type="dxa" w:w="61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Contact</w:t>
            </w:r>
          </w:p>
        </w:tc>
      </w:tr>
      <w:tr>
        <w:tc>
          <w:tcPr>
            <w:tcW w:type="dxa" w:w="30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Fraud360 onboarding / integration lead</w:t>
            </w:r>
          </w:p>
        </w:tc>
        <w:tc>
          <w:tcPr>
            <w:tcW w:type="dxa" w:w="61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To be completed at engagement kickoff</w:t>
            </w:r>
          </w:p>
        </w:tc>
      </w:tr>
      <w:tr>
        <w:tc>
          <w:tcPr>
            <w:tcW w:type="dxa" w:w="30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Fraud360 production support (Lane A incidents)</w:t>
            </w:r>
          </w:p>
        </w:tc>
        <w:tc>
          <w:tcPr>
            <w:tcW w:type="dxa" w:w="61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To be completed at engagement kickoff — must be reachable for payment-path incidents</w:t>
            </w:r>
          </w:p>
        </w:tc>
      </w:tr>
      <w:tr>
        <w:tc>
          <w:tcPr>
            <w:tcW w:type="dxa" w:w="30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Fraud360 production support (Lane B / batch)</w:t>
            </w:r>
          </w:p>
        </w:tc>
        <w:tc>
          <w:tcPr>
            <w:tcW w:type="dxa" w:w="61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To be completed at engagement kickoff</w:t>
            </w:r>
          </w:p>
        </w:tc>
      </w:tr>
      <w:tr>
        <w:tc>
          <w:tcPr>
            <w:tcW w:type="dxa" w:w="30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Escalation for credential issues (rotation, lockout)</w:t>
            </w:r>
          </w:p>
        </w:tc>
        <w:tc>
          <w:tcPr>
            <w:tcW w:type="dxa" w:w="61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To be completed at engagement kickoff</w:t>
            </w:r>
          </w:p>
        </w:tc>
      </w:tr>
    </w:tbl>
    <w:p>
      <w:pPr>
        <w:spacing w:after="120"/>
      </w:pPr>
    </w:p>
    <w:p>
      <w:pPr>
        <w:pStyle w:val="Heading2"/>
        <w:spacing w:after="140" w:before="360"/>
      </w:pPr>
      <w:r>
        <w:rPr>
          <w:rFonts w:ascii="Calibri" w:cs="Calibri" w:eastAsia="Calibri" w:hAnsi="Calibri"/>
          <w:b/>
          <w:bCs/>
          <w:color w:val="1E2761"/>
          <w:sz w:val="24"/>
          <w:szCs w:val="24"/>
        </w:rPr>
        <w:t xml:space="preserve">Change control</w:t>
      </w:r>
    </w:p>
    <w:p>
      <w:pPr>
        <w:spacing w:after="160" w:line="276"/>
      </w:pPr>
      <w:r>
        <w:rPr>
          <w:rFonts w:ascii="Calibri" w:cs="Calibri" w:eastAsia="Calibri" w:hAnsi="Calibri"/>
          <w:sz w:val="21"/>
          <w:szCs w:val="21"/>
        </w:rPr>
        <w:t xml:space="preserve">This is a versioned document. A breaking change to any request/response contract described here (a field renamed or removed, a new hard-required field, a status-code meaning changed) will be communicated to the distribution list for this document ahead of deployment, with a version bump recorded below. Additive changes (a new optional field, a new event kind, a new error code) may not warrant advance notice but will still be reflected in the next version.</w:t>
      </w:r>
    </w:p>
    <w:tbl>
      <w:tblPr>
        <w:tblW w:type="dxa" w:w="9150"/>
        <w:tblBorders>
          <w:top w:val="single" w:color="C7D2E6" w:sz="4"/>
          <w:left w:val="single" w:color="C7D2E6" w:sz="4"/>
          <w:bottom w:val="single" w:color="C7D2E6" w:sz="4"/>
          <w:right w:val="single" w:color="C7D2E6" w:sz="4"/>
          <w:insideH w:val="single" w:color="C7D2E6" w:sz="4"/>
          <w:insideV w:val="single" w:color="C7D2E6" w:sz="4"/>
        </w:tblBorders>
      </w:tblPr>
      <w:tblGrid>
        <w:gridCol w:w="1400"/>
        <w:gridCol w:w="1800"/>
        <w:gridCol w:w="5950"/>
      </w:tblGrid>
      <w:tr>
        <w:trPr>
          <w:tblHeader/>
        </w:trPr>
        <w:tc>
          <w:tcPr>
            <w:tcW w:type="dxa" w:w="14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Version</w:t>
            </w:r>
          </w:p>
        </w:tc>
        <w:tc>
          <w:tcPr>
            <w:tcW w:type="dxa" w:w="180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Date</w:t>
            </w:r>
          </w:p>
        </w:tc>
        <w:tc>
          <w:tcPr>
            <w:tcW w:type="dxa" w:w="5950"/>
            <w:shd w:fill="1E2761" w:color="auto" w:val="clear"/>
            <w:tcMar>
              <w:top w:type="dxa" w:w="90"/>
              <w:left w:type="dxa" w:w="110"/>
              <w:bottom w:type="dxa" w:w="90"/>
              <w:right w:type="dxa" w:w="110"/>
            </w:tcMar>
            <w:vAlign w:val="center"/>
          </w:tcPr>
          <w:p>
            <w:r>
              <w:rPr>
                <w:rFonts w:ascii="Calibri" w:cs="Calibri" w:eastAsia="Calibri" w:hAnsi="Calibri"/>
                <w:b/>
                <w:bCs/>
                <w:color w:val="FFFFFF"/>
                <w:sz w:val="18"/>
                <w:szCs w:val="18"/>
              </w:rPr>
              <w:t xml:space="preserve">Change</w:t>
            </w:r>
          </w:p>
        </w:tc>
      </w:tr>
      <w:tr>
        <w:tc>
          <w:tcPr>
            <w:tcW w:type="dxa" w:w="14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1.0</w:t>
            </w:r>
          </w:p>
        </w:tc>
        <w:tc>
          <w:tcPr>
            <w:tcW w:type="dxa" w:w="180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17 August 2026</w:t>
            </w:r>
          </w:p>
        </w:tc>
        <w:tc>
          <w:tcPr>
            <w:tcW w:type="dxa" w:w="5950"/>
            <w:shd w:fill="FFFFFF" w:color="auto" w:val="clear"/>
            <w:tcMar>
              <w:top w:type="dxa" w:w="80"/>
              <w:left w:type="dxa" w:w="110"/>
              <w:bottom w:type="dxa" w:w="80"/>
              <w:right w:type="dxa" w:w="110"/>
            </w:tcMar>
            <w:vAlign w:val="center"/>
          </w:tcPr>
          <w:p>
            <w:r>
              <w:rPr>
                <w:rFonts w:ascii="Calibri" w:cs="Calibri" w:eastAsia="Calibri" w:hAnsi="Calibri"/>
                <w:sz w:val="18"/>
                <w:szCs w:val="18"/>
              </w:rPr>
              <w:t xml:space="preserve">Initial issue — Lane A (UPI/IMPS/Card real-time decisioning) and Lane B (CBS/LOS batch/event feed) combined specification.</w:t>
            </w:r>
          </w:p>
        </w:tc>
      </w:tr>
      <w:tr>
        <w:tc>
          <w:tcPr>
            <w:tcW w:type="dxa" w:w="14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1.1</w:t>
            </w:r>
          </w:p>
        </w:tc>
        <w:tc>
          <w:tcPr>
            <w:tcW w:type="dxa" w:w="180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17 August 2026</w:t>
            </w:r>
          </w:p>
        </w:tc>
        <w:tc>
          <w:tcPr>
            <w:tcW w:type="dxa" w:w="5950"/>
            <w:shd w:fill="EAF0FB" w:color="auto" w:val="clear"/>
            <w:tcMar>
              <w:top w:type="dxa" w:w="80"/>
              <w:left w:type="dxa" w:w="110"/>
              <w:bottom w:type="dxa" w:w="80"/>
              <w:right w:type="dxa" w:w="110"/>
            </w:tcMar>
            <w:vAlign w:val="center"/>
          </w:tcPr>
          <w:p>
            <w:r>
              <w:rPr>
                <w:rFonts w:ascii="Calibri" w:cs="Calibri" w:eastAsia="Calibri" w:hAnsi="Calibri"/>
                <w:sz w:val="18"/>
                <w:szCs w:val="18"/>
              </w:rPr>
              <w:t xml:space="preserve">Added §4.8, ISO 8583 (Preview) — a second Lane A front door for card/EFT switches that cannot originate JSON. Marked Preview, not for production integration: standard-field mapping only, dialect/private-field confirmation and PCI-DSS scope decision both pending. See §4.8.1–4.8.6.</w:t>
            </w:r>
          </w:p>
        </w:tc>
      </w:tr>
    </w:tbl>
    <w:sectPr>
      <w:headerReference w:type="default" r:id="rId11"/>
      <w:footerReference w:type="default" r:id="rId12"/>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E6" w:sz="4" w:space="4"/>
      </w:pBdr>
      <w:jc w:val="center"/>
    </w:pPr>
    <w:r>
      <w:rPr>
        <w:rFonts w:ascii="Calibri" w:cs="Calibri" w:eastAsia="Calibri" w:hAnsi="Calibri"/>
        <w:color w:val="44546A"/>
        <w:sz w:val="14"/>
        <w:szCs w:val="14"/>
      </w:rPr>
      <w:t xml:space="preserve">© 2026 Finverge. Fraud360 is a Finverge product. Distributed under integration NDA — not for redistribution outside the named integration team.  |  Page </w:t>
    </w:r>
    <w:r>
      <w:rPr>
        <w:rFonts w:ascii="Calibri" w:cs="Calibri" w:eastAsia="Calibri" w:hAnsi="Calibri"/>
        <w:color w:val="44546A"/>
        <w:sz w:val="14"/>
        <w:szCs w:val="14"/>
      </w:rPr>
      <w:fldChar w:fldCharType="begin"/>
      <w:instrText xml:space="preserve">PAGE</w:instrText>
      <w:fldChar w:fldCharType="separate"/>
      <w:fldChar w:fldCharType="end"/>
    </w:r>
    <w:r>
      <w:rPr>
        <w:rFonts w:ascii="Calibri" w:cs="Calibri" w:eastAsia="Calibri" w:hAnsi="Calibri"/>
        <w:color w:val="44546A"/>
        <w:sz w:val="14"/>
        <w:szCs w:val="14"/>
      </w:rPr>
      <w:t xml:space="preserve"> of </w:t>
    </w:r>
    <w:r>
      <w:rPr>
        <w:rFonts w:ascii="Calibri" w:cs="Calibri" w:eastAsia="Calibri" w:hAnsi="Calibri"/>
        <w:color w:val="44546A"/>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6" w:sz="4" w:space="4"/>
      </w:pBdr>
      <w:tabs>
        <w:tab w:val="right" w:pos="9350"/>
      </w:tabs>
      <w:spacing w:after="0"/>
    </w:pPr>
    <w:r>
      <w:drawing>
        <wp:inline distT="0" distB="0" distL="0" distR="0">
          <wp:extent cx="2095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171450"/>
                  </a:xfrm>
                  <a:prstGeom prst="rect">
                    <a:avLst/>
                  </a:prstGeom>
                </pic:spPr>
              </pic:pic>
            </a:graphicData>
          </a:graphic>
        </wp:inline>
      </w:drawing>
    </w:r>
    <w:r>
      <w:rPr>
        <w:rFonts w:ascii="Calibri" w:cs="Calibri" w:eastAsia="Calibri" w:hAnsi="Calibri"/>
        <w:color w:val="44546A"/>
        <w:sz w:val="15"/>
        <w:szCs w:val="15"/>
      </w:rPr>
      <w:t xml:space="preserve">  Fraud360 — Third-Party Integration &amp; Handshaking Specification</w:t>
    </w:r>
    <w:r>
      <w:rPr>
        <w:rFonts w:ascii="Calibri" w:cs="Calibri" w:eastAsia="Calibri" w:hAnsi="Calibri"/>
        <w:i/>
        <w:iCs/>
        <w:color w:val="44546A"/>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d10d05bf9934563001d4fc78966e6726c043a8a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38641651dcd81ebb391874bf99bc871c94f9ea0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2026-08-17T14:07:03.055Z</dcterms:created>
  <dcterms:modified xsi:type="dcterms:W3CDTF">2026-08-17T14:07:03.056Z</dcterms:modified>
</cp:coreProperties>
</file>

<file path=docProps/custom.xml><?xml version="1.0" encoding="utf-8"?>
<Properties xmlns="http://schemas.openxmlformats.org/officeDocument/2006/custom-properties" xmlns:vt="http://schemas.openxmlformats.org/officeDocument/2006/docPropsVTypes"/>
</file>