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98C08" w14:textId="29DD94EB" w:rsidR="00C95E90" w:rsidRPr="00C95E90" w:rsidRDefault="00C95E90">
      <w:pPr>
        <w:rPr>
          <w:rFonts w:ascii="Aptos" w:hAnsi="Aptos"/>
          <w:sz w:val="32"/>
          <w:szCs w:val="32"/>
        </w:rPr>
      </w:pPr>
      <w:r w:rsidRPr="004A791B">
        <w:rPr>
          <w:rFonts w:ascii="Aptos" w:hAnsi="Aptos"/>
          <w:b/>
          <w:bCs/>
          <w:sz w:val="28"/>
        </w:rPr>
        <w:t xml:space="preserve">EQUITY &amp; CREDIT RESEARCH | GROUP </w:t>
      </w:r>
      <w:r w:rsidRPr="004A791B">
        <w:rPr>
          <w:rFonts w:ascii="Aptos" w:hAnsi="Aptos"/>
          <w:b/>
          <w:bCs/>
          <w:sz w:val="28"/>
        </w:rPr>
        <w:t>43</w:t>
      </w:r>
      <w:r>
        <w:rPr>
          <w:rFonts w:ascii="Aptos" w:hAnsi="Aptos"/>
          <w:b/>
          <w:bCs/>
          <w:sz w:val="36"/>
          <w:szCs w:val="36"/>
        </w:rPr>
        <w:br/>
      </w:r>
      <w:r w:rsidRPr="004A791B">
        <w:rPr>
          <w:rFonts w:ascii="Aptos" w:hAnsi="Aptos"/>
          <w:sz w:val="36"/>
          <w:szCs w:val="36"/>
        </w:rPr>
        <w:t>Portfolio Credit Quality Review: 10-Year Strategic Analysis</w:t>
      </w:r>
    </w:p>
    <w:p w14:paraId="4422A01D" w14:textId="74121054" w:rsidR="00C95E90" w:rsidRDefault="00C95E90">
      <w:pPr>
        <w:rPr>
          <w:rFonts w:ascii="Aptos" w:hAnsi="Aptos"/>
          <w:sz w:val="24"/>
          <w:szCs w:val="24"/>
        </w:rPr>
      </w:pPr>
    </w:p>
    <w:p w14:paraId="279C4212" w14:textId="77777777" w:rsidR="00C95E90" w:rsidRPr="00D3397D" w:rsidRDefault="00C95E90">
      <w:pPr>
        <w:rPr>
          <w:rFonts w:ascii="Aptos" w:hAnsi="Aptos"/>
          <w:b/>
          <w:bCs/>
          <w:sz w:val="24"/>
          <w:szCs w:val="24"/>
        </w:rPr>
      </w:pPr>
      <w:r w:rsidRPr="00D3397D">
        <w:rPr>
          <w:rFonts w:ascii="Aptos" w:hAnsi="Aptos"/>
          <w:b/>
          <w:bCs/>
          <w:sz w:val="24"/>
          <w:szCs w:val="24"/>
        </w:rPr>
        <w:t>Executive Summary</w:t>
      </w:r>
    </w:p>
    <w:p w14:paraId="3FD681FC" w14:textId="38B7C8E0" w:rsidR="004A791B" w:rsidRPr="00D3397D" w:rsidRDefault="00001C1A">
      <w:pPr>
        <w:rPr>
          <w:rFonts w:ascii="Aptos" w:hAnsi="Aptos"/>
          <w:sz w:val="24"/>
          <w:szCs w:val="24"/>
        </w:rPr>
      </w:pPr>
      <w:r w:rsidRPr="00001C1A">
        <w:rPr>
          <w:rFonts w:ascii="Aptos" w:hAnsi="Aptos"/>
          <w:sz w:val="24"/>
          <w:szCs w:val="24"/>
        </w:rPr>
        <w:t xml:space="preserve">The Group 43 portfolio exhibits a profile of </w:t>
      </w:r>
      <w:r w:rsidRPr="00001C1A">
        <w:rPr>
          <w:rFonts w:ascii="Aptos" w:hAnsi="Aptos"/>
          <w:b/>
          <w:bCs/>
          <w:sz w:val="24"/>
          <w:szCs w:val="24"/>
        </w:rPr>
        <w:t>structural rigidity</w:t>
      </w:r>
      <w:r w:rsidRPr="00001C1A">
        <w:rPr>
          <w:rFonts w:ascii="Aptos" w:hAnsi="Aptos"/>
          <w:sz w:val="24"/>
          <w:szCs w:val="24"/>
        </w:rPr>
        <w:t xml:space="preserve"> rather than </w:t>
      </w:r>
      <w:r>
        <w:rPr>
          <w:rFonts w:ascii="Aptos" w:hAnsi="Aptos"/>
          <w:sz w:val="24"/>
          <w:szCs w:val="24"/>
        </w:rPr>
        <w:t>just</w:t>
      </w:r>
      <w:r w:rsidRPr="00001C1A">
        <w:rPr>
          <w:rFonts w:ascii="Aptos" w:hAnsi="Aptos"/>
          <w:sz w:val="24"/>
          <w:szCs w:val="24"/>
        </w:rPr>
        <w:t xml:space="preserve"> deterioration. While Investment Grade assets (AAA-BBB) maintain their dominant market share throughout the decade, the portfolio is burdened by a </w:t>
      </w:r>
      <w:r w:rsidRPr="00001C1A">
        <w:rPr>
          <w:rFonts w:ascii="Aptos" w:hAnsi="Aptos"/>
          <w:b/>
          <w:bCs/>
          <w:sz w:val="24"/>
          <w:szCs w:val="24"/>
        </w:rPr>
        <w:t>persistent, non-declining default layer</w:t>
      </w:r>
      <w:r w:rsidRPr="00001C1A">
        <w:rPr>
          <w:rFonts w:ascii="Aptos" w:hAnsi="Aptos"/>
          <w:sz w:val="24"/>
          <w:szCs w:val="24"/>
        </w:rPr>
        <w:t xml:space="preserve">. This static risk stratification signals a </w:t>
      </w:r>
      <w:r>
        <w:rPr>
          <w:rFonts w:ascii="Aptos" w:hAnsi="Aptos"/>
          <w:sz w:val="24"/>
          <w:szCs w:val="24"/>
        </w:rPr>
        <w:t xml:space="preserve">persistent </w:t>
      </w:r>
      <w:r w:rsidRPr="00001C1A">
        <w:rPr>
          <w:rFonts w:ascii="Aptos" w:hAnsi="Aptos"/>
          <w:sz w:val="24"/>
          <w:szCs w:val="24"/>
        </w:rPr>
        <w:t>inability to resolve distressed assets, resulting in a rigid capital structure where non-performing loans act as a continuous</w:t>
      </w:r>
      <w:r>
        <w:rPr>
          <w:rFonts w:ascii="Aptos" w:hAnsi="Aptos"/>
          <w:sz w:val="24"/>
          <w:szCs w:val="24"/>
        </w:rPr>
        <w:t xml:space="preserve"> </w:t>
      </w:r>
      <w:r w:rsidRPr="00001C1A">
        <w:rPr>
          <w:rFonts w:ascii="Aptos" w:hAnsi="Aptos"/>
          <w:sz w:val="24"/>
          <w:szCs w:val="24"/>
        </w:rPr>
        <w:t>drag on portfolio health rather than being successfully worked out</w:t>
      </w:r>
      <w:r>
        <w:rPr>
          <w:rFonts w:ascii="Aptos" w:hAnsi="Aptos"/>
          <w:sz w:val="24"/>
          <w:szCs w:val="24"/>
        </w:rPr>
        <w:t>.</w:t>
      </w:r>
      <w:r>
        <w:rPr>
          <w:rFonts w:ascii="Aptos" w:hAnsi="Aptos"/>
          <w:sz w:val="24"/>
          <w:szCs w:val="24"/>
        </w:rPr>
        <w:br/>
      </w:r>
    </w:p>
    <w:p w14:paraId="50971A2D" w14:textId="77777777" w:rsidR="004A791B" w:rsidRPr="004A791B" w:rsidRDefault="004A791B" w:rsidP="004A791B">
      <w:pPr>
        <w:rPr>
          <w:rFonts w:ascii="Aptos" w:hAnsi="Aptos"/>
          <w:b/>
          <w:bCs/>
          <w:sz w:val="24"/>
          <w:szCs w:val="24"/>
        </w:rPr>
      </w:pPr>
      <w:r w:rsidRPr="004A791B">
        <w:rPr>
          <w:rFonts w:ascii="Aptos" w:hAnsi="Aptos"/>
          <w:b/>
          <w:bCs/>
          <w:sz w:val="24"/>
          <w:szCs w:val="24"/>
        </w:rPr>
        <w:t>1. Initial Portfolio Structure (Year 1)</w:t>
      </w:r>
    </w:p>
    <w:p w14:paraId="4FD4064A" w14:textId="77777777" w:rsidR="004A791B" w:rsidRPr="004A791B" w:rsidRDefault="004A791B" w:rsidP="004A791B">
      <w:pPr>
        <w:rPr>
          <w:rFonts w:ascii="Aptos" w:hAnsi="Aptos"/>
          <w:sz w:val="24"/>
          <w:szCs w:val="24"/>
        </w:rPr>
      </w:pPr>
      <w:r w:rsidRPr="004A791B">
        <w:rPr>
          <w:rFonts w:ascii="Aptos" w:hAnsi="Aptos"/>
          <w:sz w:val="24"/>
          <w:szCs w:val="24"/>
        </w:rPr>
        <w:t>The portfolio inception data reveals a diversified credit strategy.</w:t>
      </w:r>
    </w:p>
    <w:p w14:paraId="14022BD6" w14:textId="77777777" w:rsidR="004A791B" w:rsidRPr="004A791B" w:rsidRDefault="004A791B" w:rsidP="004A791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4A791B">
        <w:rPr>
          <w:rFonts w:ascii="Aptos" w:hAnsi="Aptos"/>
          <w:b/>
          <w:bCs/>
          <w:sz w:val="24"/>
          <w:szCs w:val="24"/>
        </w:rPr>
        <w:t>Distribution:</w:t>
      </w:r>
      <w:r w:rsidRPr="004A791B">
        <w:rPr>
          <w:rFonts w:ascii="Aptos" w:hAnsi="Aptos"/>
          <w:sz w:val="24"/>
          <w:szCs w:val="24"/>
        </w:rPr>
        <w:t xml:space="preserve"> The initial mix was well-balanced, with no single rating category dominating the pool. Investment Grade assets (AAA to BBB) provided a strong initial baseline.</w:t>
      </w:r>
    </w:p>
    <w:p w14:paraId="32587A3F" w14:textId="75BC1C1F" w:rsidR="004A791B" w:rsidRPr="004A791B" w:rsidRDefault="004A791B" w:rsidP="004A791B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3397D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2CE35C" wp14:editId="59F66C45">
            <wp:simplePos x="0" y="0"/>
            <wp:positionH relativeFrom="margin">
              <wp:posOffset>637864</wp:posOffset>
            </wp:positionH>
            <wp:positionV relativeFrom="paragraph">
              <wp:posOffset>452204</wp:posOffset>
            </wp:positionV>
            <wp:extent cx="4295955" cy="2763861"/>
            <wp:effectExtent l="0" t="0" r="0" b="0"/>
            <wp:wrapNone/>
            <wp:docPr id="72658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955" cy="276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791B">
        <w:rPr>
          <w:rFonts w:ascii="Aptos" w:hAnsi="Aptos"/>
          <w:b/>
          <w:bCs/>
          <w:sz w:val="24"/>
          <w:szCs w:val="24"/>
        </w:rPr>
        <w:t>Concentration Risk:</w:t>
      </w:r>
      <w:r w:rsidRPr="004A791B">
        <w:rPr>
          <w:rFonts w:ascii="Aptos" w:hAnsi="Aptos"/>
          <w:sz w:val="24"/>
          <w:szCs w:val="24"/>
        </w:rPr>
        <w:t xml:space="preserve"> Risk was evenly distributed, preventing immediate exposure to any single tier's volatility.</w:t>
      </w:r>
      <w:r w:rsidRPr="00D3397D">
        <w:rPr>
          <w:rFonts w:ascii="Aptos" w:hAnsi="Aptos"/>
          <w:sz w:val="24"/>
          <w:szCs w:val="24"/>
        </w:rPr>
        <w:br/>
      </w:r>
    </w:p>
    <w:p w14:paraId="42F0C4BC" w14:textId="77777777" w:rsidR="004A791B" w:rsidRPr="00D3397D" w:rsidRDefault="004A791B">
      <w:pPr>
        <w:rPr>
          <w:rFonts w:ascii="Aptos" w:hAnsi="Aptos"/>
          <w:i/>
          <w:iCs/>
          <w:sz w:val="24"/>
          <w:szCs w:val="24"/>
        </w:rPr>
      </w:pPr>
    </w:p>
    <w:p w14:paraId="1CCEB48D" w14:textId="77777777" w:rsidR="004A791B" w:rsidRPr="00D3397D" w:rsidRDefault="004A791B">
      <w:pPr>
        <w:rPr>
          <w:rFonts w:ascii="Aptos" w:hAnsi="Aptos"/>
          <w:i/>
          <w:iCs/>
          <w:sz w:val="24"/>
          <w:szCs w:val="24"/>
        </w:rPr>
      </w:pPr>
    </w:p>
    <w:p w14:paraId="03F03BFC" w14:textId="77777777" w:rsidR="004A791B" w:rsidRPr="00D3397D" w:rsidRDefault="004A791B">
      <w:pPr>
        <w:rPr>
          <w:rFonts w:ascii="Aptos" w:hAnsi="Aptos"/>
          <w:i/>
          <w:iCs/>
          <w:sz w:val="24"/>
          <w:szCs w:val="24"/>
        </w:rPr>
      </w:pPr>
    </w:p>
    <w:p w14:paraId="71237265" w14:textId="77777777" w:rsidR="004A791B" w:rsidRPr="00D3397D" w:rsidRDefault="004A791B">
      <w:pPr>
        <w:rPr>
          <w:rFonts w:ascii="Aptos" w:hAnsi="Aptos"/>
          <w:i/>
          <w:iCs/>
          <w:sz w:val="24"/>
          <w:szCs w:val="24"/>
        </w:rPr>
      </w:pPr>
    </w:p>
    <w:p w14:paraId="2C0B060D" w14:textId="77777777" w:rsidR="004A791B" w:rsidRPr="00D3397D" w:rsidRDefault="004A791B">
      <w:pPr>
        <w:rPr>
          <w:rFonts w:ascii="Aptos" w:hAnsi="Aptos"/>
          <w:i/>
          <w:iCs/>
          <w:sz w:val="24"/>
          <w:szCs w:val="24"/>
        </w:rPr>
      </w:pPr>
    </w:p>
    <w:p w14:paraId="5139D681" w14:textId="77777777" w:rsidR="004A791B" w:rsidRPr="00D3397D" w:rsidRDefault="004A791B">
      <w:pPr>
        <w:rPr>
          <w:rFonts w:ascii="Aptos" w:hAnsi="Aptos"/>
          <w:i/>
          <w:iCs/>
          <w:sz w:val="24"/>
          <w:szCs w:val="24"/>
        </w:rPr>
      </w:pPr>
    </w:p>
    <w:p w14:paraId="6207B08F" w14:textId="77777777" w:rsidR="004A791B" w:rsidRPr="00D3397D" w:rsidRDefault="004A791B">
      <w:pPr>
        <w:rPr>
          <w:rFonts w:ascii="Aptos" w:hAnsi="Aptos"/>
          <w:i/>
          <w:iCs/>
          <w:sz w:val="24"/>
          <w:szCs w:val="24"/>
        </w:rPr>
      </w:pPr>
    </w:p>
    <w:p w14:paraId="03D6FE67" w14:textId="77777777" w:rsidR="004A791B" w:rsidRPr="00D3397D" w:rsidRDefault="004A791B">
      <w:pPr>
        <w:rPr>
          <w:rFonts w:ascii="Aptos" w:hAnsi="Aptos"/>
          <w:i/>
          <w:iCs/>
          <w:sz w:val="24"/>
          <w:szCs w:val="24"/>
        </w:rPr>
      </w:pPr>
    </w:p>
    <w:p w14:paraId="5ED2C15D" w14:textId="77777777" w:rsidR="004A791B" w:rsidRPr="00D3397D" w:rsidRDefault="004A791B">
      <w:pPr>
        <w:rPr>
          <w:rFonts w:ascii="Aptos" w:hAnsi="Aptos"/>
          <w:i/>
          <w:iCs/>
          <w:sz w:val="24"/>
          <w:szCs w:val="24"/>
        </w:rPr>
      </w:pPr>
    </w:p>
    <w:p w14:paraId="4AEC65E6" w14:textId="77777777" w:rsidR="004A791B" w:rsidRPr="00D3397D" w:rsidRDefault="004A791B" w:rsidP="004A791B">
      <w:pPr>
        <w:rPr>
          <w:rFonts w:ascii="Aptos" w:hAnsi="Aptos"/>
          <w:sz w:val="24"/>
          <w:szCs w:val="24"/>
        </w:rPr>
      </w:pPr>
      <w:r w:rsidRPr="00D3397D">
        <w:rPr>
          <w:rFonts w:ascii="Aptos" w:hAnsi="Aptos"/>
          <w:i/>
          <w:iCs/>
          <w:sz w:val="24"/>
          <w:szCs w:val="24"/>
        </w:rPr>
        <w:t>Figure 1: Initial distribution shows a balanced spread across rating categories, providing a stable starting baseline.</w:t>
      </w:r>
      <w:r w:rsidRPr="00D3397D">
        <w:rPr>
          <w:rFonts w:ascii="Aptos" w:hAnsi="Aptos"/>
          <w:sz w:val="24"/>
          <w:szCs w:val="24"/>
        </w:rPr>
        <w:t xml:space="preserve"> </w:t>
      </w:r>
    </w:p>
    <w:p w14:paraId="40E7C479" w14:textId="77777777" w:rsidR="004A791B" w:rsidRPr="00D3397D" w:rsidRDefault="004A791B" w:rsidP="004A791B">
      <w:pPr>
        <w:rPr>
          <w:rFonts w:ascii="Aptos" w:hAnsi="Aptos"/>
          <w:sz w:val="24"/>
          <w:szCs w:val="24"/>
        </w:rPr>
      </w:pPr>
    </w:p>
    <w:p w14:paraId="5BBA7E06" w14:textId="77777777" w:rsidR="004A791B" w:rsidRPr="00D3397D" w:rsidRDefault="004A791B" w:rsidP="004A791B">
      <w:pPr>
        <w:rPr>
          <w:rFonts w:ascii="Aptos" w:hAnsi="Aptos"/>
          <w:sz w:val="24"/>
          <w:szCs w:val="24"/>
        </w:rPr>
      </w:pPr>
    </w:p>
    <w:p w14:paraId="3004FF3B" w14:textId="77777777" w:rsidR="004A791B" w:rsidRPr="00D3397D" w:rsidRDefault="004A791B" w:rsidP="004A791B">
      <w:pPr>
        <w:rPr>
          <w:rFonts w:ascii="Aptos" w:hAnsi="Aptos"/>
          <w:sz w:val="24"/>
          <w:szCs w:val="24"/>
        </w:rPr>
      </w:pPr>
    </w:p>
    <w:p w14:paraId="734CDD7E" w14:textId="41142722" w:rsidR="00671146" w:rsidRPr="00D3397D" w:rsidRDefault="00671146" w:rsidP="00671146">
      <w:pPr>
        <w:rPr>
          <w:rFonts w:ascii="Aptos" w:hAnsi="Aptos"/>
          <w:sz w:val="24"/>
          <w:szCs w:val="24"/>
        </w:rPr>
      </w:pPr>
      <w:r w:rsidRPr="00671146">
        <w:rPr>
          <w:rFonts w:ascii="Aptos" w:hAnsi="Aptos"/>
          <w:b/>
          <w:bCs/>
          <w:sz w:val="24"/>
          <w:szCs w:val="24"/>
        </w:rPr>
        <w:t xml:space="preserve">2. Migration Trends: Structural Stratification (Year 1 - Year 10) </w:t>
      </w: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t>The aggregated trend analysis (Figure 2) demonstrates a rigid credit hierarchy that persists throughout the observation period.</w:t>
      </w:r>
    </w:p>
    <w:p w14:paraId="45E2EF26" w14:textId="1DD63592" w:rsidR="00FF4270" w:rsidRPr="00D3397D" w:rsidRDefault="00FF4270" w:rsidP="00FF4270">
      <w:pPr>
        <w:pStyle w:val="ListParagraph"/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3397D">
        <w:rPr>
          <w:rFonts w:ascii="Aptos" w:hAnsi="Aptos"/>
          <w:b/>
          <w:bCs/>
          <w:sz w:val="24"/>
          <w:szCs w:val="24"/>
        </w:rPr>
        <w:t>Static Core:</w:t>
      </w:r>
      <w:r w:rsidRPr="00D3397D">
        <w:rPr>
          <w:rFonts w:ascii="Aptos" w:hAnsi="Aptos"/>
          <w:sz w:val="24"/>
          <w:szCs w:val="24"/>
        </w:rPr>
        <w:t xml:space="preserve"> Contrary to typical degradation scenarios, Investment Grade assets consistently dominate the portfolio (&gt;40% share) throughout the </w:t>
      </w:r>
      <w:r w:rsidR="00D3397D" w:rsidRPr="00D3397D">
        <w:rPr>
          <w:rFonts w:ascii="Aptos" w:hAnsi="Aptos"/>
          <w:sz w:val="24"/>
          <w:szCs w:val="24"/>
        </w:rPr>
        <w:t>timeline</w:t>
      </w:r>
      <w:r w:rsidRPr="00D3397D">
        <w:rPr>
          <w:rFonts w:ascii="Aptos" w:hAnsi="Aptos"/>
          <w:sz w:val="24"/>
          <w:szCs w:val="24"/>
        </w:rPr>
        <w:t xml:space="preserve">. However, the parallel trajectory of the risk bands indicates a </w:t>
      </w:r>
      <w:r w:rsidRPr="00D3397D">
        <w:rPr>
          <w:rFonts w:ascii="Aptos" w:hAnsi="Aptos"/>
          <w:b/>
          <w:bCs/>
          <w:sz w:val="24"/>
          <w:szCs w:val="24"/>
        </w:rPr>
        <w:t>static credit profile</w:t>
      </w:r>
      <w:r w:rsidRPr="00D3397D">
        <w:rPr>
          <w:rFonts w:ascii="Aptos" w:hAnsi="Aptos"/>
          <w:sz w:val="24"/>
          <w:szCs w:val="24"/>
        </w:rPr>
        <w:t xml:space="preserve">, suggesting the bank is maintaining its quality mix but failing to generate any significant </w:t>
      </w:r>
      <w:r w:rsidR="00D3397D" w:rsidRPr="00D3397D">
        <w:rPr>
          <w:rFonts w:ascii="Aptos" w:hAnsi="Aptos"/>
          <w:sz w:val="24"/>
          <w:szCs w:val="24"/>
        </w:rPr>
        <w:t>positive credit</w:t>
      </w:r>
      <w:r w:rsidRPr="00D3397D">
        <w:rPr>
          <w:rFonts w:ascii="Aptos" w:hAnsi="Aptos"/>
          <w:sz w:val="24"/>
          <w:szCs w:val="24"/>
        </w:rPr>
        <w:t xml:space="preserve"> migration.</w:t>
      </w:r>
      <w:r w:rsidRPr="00D3397D">
        <w:rPr>
          <w:rFonts w:ascii="Aptos" w:hAnsi="Aptos"/>
          <w:sz w:val="24"/>
          <w:szCs w:val="24"/>
        </w:rPr>
        <w:br/>
      </w:r>
    </w:p>
    <w:p w14:paraId="2DFD61A4" w14:textId="6787699A" w:rsidR="00FF4270" w:rsidRPr="00D3397D" w:rsidRDefault="00FF4270" w:rsidP="00FF4270">
      <w:pPr>
        <w:pStyle w:val="ListParagraph"/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3397D">
        <w:rPr>
          <w:rFonts w:ascii="Aptos" w:hAnsi="Aptos"/>
          <w:b/>
          <w:bCs/>
          <w:sz w:val="24"/>
          <w:szCs w:val="24"/>
        </w:rPr>
        <w:t>The "Stubborn" Default Floor:</w:t>
      </w:r>
      <w:r w:rsidRPr="00D3397D">
        <w:rPr>
          <w:rFonts w:ascii="Aptos" w:hAnsi="Aptos"/>
          <w:sz w:val="24"/>
          <w:szCs w:val="24"/>
        </w:rPr>
        <w:t xml:space="preserve"> A critical inefficiency is the persistence of the Default layer, which fluctuates between 10-15% without </w:t>
      </w:r>
      <w:r w:rsidR="00D3397D" w:rsidRPr="00D3397D">
        <w:rPr>
          <w:rFonts w:ascii="Aptos" w:hAnsi="Aptos"/>
          <w:sz w:val="24"/>
          <w:szCs w:val="24"/>
        </w:rPr>
        <w:t>going down</w:t>
      </w:r>
      <w:r w:rsidRPr="00D3397D">
        <w:rPr>
          <w:rFonts w:ascii="Aptos" w:hAnsi="Aptos"/>
          <w:sz w:val="24"/>
          <w:szCs w:val="24"/>
        </w:rPr>
        <w:t xml:space="preserve">. This indicates a </w:t>
      </w:r>
      <w:r w:rsidRPr="00D3397D">
        <w:rPr>
          <w:rFonts w:ascii="Aptos" w:hAnsi="Aptos"/>
          <w:b/>
          <w:bCs/>
          <w:sz w:val="24"/>
          <w:szCs w:val="24"/>
        </w:rPr>
        <w:t>structural capital trap</w:t>
      </w:r>
      <w:r w:rsidRPr="00D3397D">
        <w:rPr>
          <w:rFonts w:ascii="Aptos" w:hAnsi="Aptos"/>
          <w:sz w:val="24"/>
          <w:szCs w:val="24"/>
        </w:rPr>
        <w:t xml:space="preserve">, where non-performing assets are "stuck" in the portfolio rather than being successfully </w:t>
      </w:r>
      <w:r w:rsidR="00D3397D" w:rsidRPr="00D3397D">
        <w:rPr>
          <w:rFonts w:ascii="Aptos" w:hAnsi="Aptos"/>
          <w:sz w:val="24"/>
          <w:szCs w:val="24"/>
        </w:rPr>
        <w:t>removed/written off.</w:t>
      </w:r>
    </w:p>
    <w:p w14:paraId="4E20621A" w14:textId="4377C8AF" w:rsidR="004A791B" w:rsidRPr="004A791B" w:rsidRDefault="00FF4270" w:rsidP="00671146">
      <w:pPr>
        <w:rPr>
          <w:rFonts w:ascii="Aptos" w:hAnsi="Aptos"/>
          <w:sz w:val="24"/>
          <w:szCs w:val="24"/>
        </w:rPr>
      </w:pPr>
      <w:r w:rsidRPr="00D3397D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694339C" wp14:editId="078E5228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960188" cy="2953252"/>
            <wp:effectExtent l="0" t="0" r="0" b="0"/>
            <wp:wrapNone/>
            <wp:docPr id="1755132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188" cy="295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0142B" w14:textId="77777777" w:rsidR="00FF4270" w:rsidRPr="00D3397D" w:rsidRDefault="00671146" w:rsidP="00FF4270">
      <w:pPr>
        <w:rPr>
          <w:rFonts w:ascii="Aptos" w:hAnsi="Aptos"/>
          <w:sz w:val="24"/>
          <w:szCs w:val="24"/>
        </w:rPr>
      </w:pP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br/>
      </w:r>
    </w:p>
    <w:p w14:paraId="7D45D406" w14:textId="7A5FDD77" w:rsidR="00FF4270" w:rsidRPr="00D3397D" w:rsidRDefault="00671146" w:rsidP="00FF4270">
      <w:pPr>
        <w:rPr>
          <w:rFonts w:ascii="Aptos" w:hAnsi="Aptos"/>
          <w:sz w:val="24"/>
          <w:szCs w:val="24"/>
        </w:rPr>
      </w:pPr>
      <w:r w:rsidRPr="00D3397D">
        <w:rPr>
          <w:rFonts w:ascii="Aptos" w:hAnsi="Aptos"/>
          <w:sz w:val="24"/>
          <w:szCs w:val="24"/>
        </w:rPr>
        <w:br/>
      </w:r>
      <w:r w:rsidRPr="00D3397D">
        <w:rPr>
          <w:rFonts w:ascii="Aptos" w:hAnsi="Aptos"/>
          <w:sz w:val="24"/>
          <w:szCs w:val="24"/>
        </w:rPr>
        <w:br/>
      </w:r>
      <w:r w:rsidR="00FF4270" w:rsidRPr="00D3397D">
        <w:rPr>
          <w:rFonts w:ascii="Aptos" w:hAnsi="Aptos"/>
          <w:i/>
          <w:iCs/>
          <w:sz w:val="24"/>
          <w:szCs w:val="24"/>
        </w:rPr>
        <w:t>Figure 2: 10-Year Portfolio Risk Stratification. The parallel trend lines indicate a rigid credit hierarchy where high-quality assets fail to displace the persistent volume of defaults.</w:t>
      </w:r>
    </w:p>
    <w:p w14:paraId="16C03359" w14:textId="0B6E89C7" w:rsidR="00671146" w:rsidRPr="00671146" w:rsidRDefault="00671146" w:rsidP="00671146">
      <w:pPr>
        <w:rPr>
          <w:rFonts w:ascii="Aptos" w:hAnsi="Aptos"/>
          <w:sz w:val="24"/>
          <w:szCs w:val="24"/>
        </w:rPr>
      </w:pPr>
      <w:r w:rsidRPr="00D3397D">
        <w:rPr>
          <w:rFonts w:ascii="Aptos" w:hAnsi="Aptos"/>
          <w:sz w:val="24"/>
          <w:szCs w:val="24"/>
        </w:rPr>
        <w:br/>
      </w:r>
      <w:r w:rsidRPr="00671146">
        <w:rPr>
          <w:rFonts w:ascii="Aptos" w:hAnsi="Aptos"/>
          <w:b/>
          <w:bCs/>
          <w:sz w:val="24"/>
          <w:szCs w:val="24"/>
        </w:rPr>
        <w:t>3. Key Risk Indicator: The Default Trajectory</w:t>
      </w:r>
    </w:p>
    <w:p w14:paraId="667EAB2E" w14:textId="3AFD3CB7" w:rsidR="00671146" w:rsidRPr="00671146" w:rsidRDefault="00671146" w:rsidP="00671146">
      <w:pPr>
        <w:rPr>
          <w:rFonts w:ascii="Aptos" w:hAnsi="Aptos"/>
          <w:sz w:val="24"/>
          <w:szCs w:val="24"/>
        </w:rPr>
      </w:pPr>
      <w:r w:rsidRPr="00671146">
        <w:rPr>
          <w:rFonts w:ascii="Aptos" w:hAnsi="Aptos"/>
          <w:sz w:val="24"/>
          <w:szCs w:val="24"/>
        </w:rPr>
        <w:t xml:space="preserve">The most critical risk identified in the portfolio is the </w:t>
      </w:r>
      <w:r w:rsidR="00D3397D">
        <w:rPr>
          <w:rFonts w:ascii="Aptos" w:hAnsi="Aptos"/>
          <w:b/>
          <w:bCs/>
          <w:sz w:val="24"/>
          <w:szCs w:val="24"/>
        </w:rPr>
        <w:t>trend</w:t>
      </w:r>
      <w:r w:rsidRPr="00671146">
        <w:rPr>
          <w:rFonts w:ascii="Aptos" w:hAnsi="Aptos"/>
          <w:b/>
          <w:bCs/>
          <w:sz w:val="24"/>
          <w:szCs w:val="24"/>
        </w:rPr>
        <w:t xml:space="preserve"> of defaults</w:t>
      </w:r>
      <w:r w:rsidRPr="00671146">
        <w:rPr>
          <w:rFonts w:ascii="Aptos" w:hAnsi="Aptos"/>
          <w:sz w:val="24"/>
          <w:szCs w:val="24"/>
        </w:rPr>
        <w:t>.</w:t>
      </w:r>
    </w:p>
    <w:p w14:paraId="2479F95A" w14:textId="77777777" w:rsidR="00671146" w:rsidRPr="00671146" w:rsidRDefault="00671146" w:rsidP="00671146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671146">
        <w:rPr>
          <w:rFonts w:ascii="Aptos" w:hAnsi="Aptos"/>
          <w:b/>
          <w:bCs/>
          <w:sz w:val="24"/>
          <w:szCs w:val="24"/>
        </w:rPr>
        <w:t>Inflection Point:</w:t>
      </w:r>
      <w:r w:rsidRPr="00671146">
        <w:rPr>
          <w:rFonts w:ascii="Aptos" w:hAnsi="Aptos"/>
          <w:sz w:val="24"/>
          <w:szCs w:val="24"/>
        </w:rPr>
        <w:t xml:space="preserve"> The transition to default was not linear. As seen in Figure 3, the slope of the default curve steepens significantly after </w:t>
      </w:r>
      <w:r w:rsidRPr="00671146">
        <w:rPr>
          <w:rFonts w:ascii="Aptos" w:hAnsi="Aptos"/>
          <w:b/>
          <w:bCs/>
          <w:sz w:val="24"/>
          <w:szCs w:val="24"/>
        </w:rPr>
        <w:t>Year 5</w:t>
      </w:r>
      <w:r w:rsidRPr="00671146">
        <w:rPr>
          <w:rFonts w:ascii="Aptos" w:hAnsi="Aptos"/>
          <w:sz w:val="24"/>
          <w:szCs w:val="24"/>
        </w:rPr>
        <w:t>. This suggests that once borrowers remain in the portfolio for a medium term, their creditworthiness decays rapidly.</w:t>
      </w:r>
    </w:p>
    <w:p w14:paraId="765FABE9" w14:textId="2E3C65CD" w:rsidR="00671146" w:rsidRPr="00671146" w:rsidRDefault="00671146" w:rsidP="00671146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671146">
        <w:rPr>
          <w:rFonts w:ascii="Aptos" w:hAnsi="Aptos"/>
          <w:b/>
          <w:bCs/>
          <w:sz w:val="24"/>
          <w:szCs w:val="24"/>
        </w:rPr>
        <w:lastRenderedPageBreak/>
        <w:t>Terminal State:</w:t>
      </w:r>
      <w:r w:rsidR="00D3397D">
        <w:rPr>
          <w:rFonts w:ascii="Aptos" w:hAnsi="Aptos"/>
          <w:sz w:val="24"/>
          <w:szCs w:val="24"/>
        </w:rPr>
        <w:t xml:space="preserve"> </w:t>
      </w:r>
      <w:r w:rsidRPr="00671146">
        <w:rPr>
          <w:rFonts w:ascii="Aptos" w:hAnsi="Aptos"/>
          <w:sz w:val="24"/>
          <w:szCs w:val="24"/>
        </w:rPr>
        <w:t>By Year 10, the cumulative count of defaulted borrowers reached</w:t>
      </w:r>
      <w:r w:rsidR="00D3397D" w:rsidRPr="00D3397D">
        <w:rPr>
          <w:rFonts w:ascii="Aptos" w:hAnsi="Aptos"/>
          <w:sz w:val="24"/>
          <w:szCs w:val="24"/>
        </w:rPr>
        <w:t xml:space="preserve"> around 255</w:t>
      </w:r>
      <w:r w:rsidRPr="00671146">
        <w:rPr>
          <w:rFonts w:ascii="Aptos" w:hAnsi="Aptos"/>
          <w:sz w:val="24"/>
          <w:szCs w:val="24"/>
        </w:rPr>
        <w:t>. This "absorbing state" implies that recovery efforts for defaulted loans have been largely ineffective.</w:t>
      </w:r>
    </w:p>
    <w:p w14:paraId="4F530F04" w14:textId="434159A0" w:rsidR="00671146" w:rsidRPr="00671146" w:rsidRDefault="00FF4270" w:rsidP="00671146">
      <w:pPr>
        <w:rPr>
          <w:rFonts w:ascii="Aptos" w:hAnsi="Aptos"/>
          <w:sz w:val="24"/>
          <w:szCs w:val="24"/>
        </w:rPr>
      </w:pPr>
      <w:r w:rsidRPr="00D3397D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3A0FB7D" wp14:editId="74F31271">
            <wp:simplePos x="0" y="0"/>
            <wp:positionH relativeFrom="margin">
              <wp:align>center</wp:align>
            </wp:positionH>
            <wp:positionV relativeFrom="paragraph">
              <wp:posOffset>11801</wp:posOffset>
            </wp:positionV>
            <wp:extent cx="4770408" cy="2840258"/>
            <wp:effectExtent l="0" t="0" r="0" b="0"/>
            <wp:wrapNone/>
            <wp:docPr id="878988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408" cy="284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Pr="00D3397D">
        <w:rPr>
          <w:rFonts w:ascii="Aptos" w:hAnsi="Aptos"/>
          <w:b/>
          <w:bCs/>
          <w:sz w:val="24"/>
          <w:szCs w:val="24"/>
        </w:rPr>
        <w:br/>
      </w:r>
      <w:r w:rsidR="00671146" w:rsidRPr="00671146">
        <w:rPr>
          <w:rFonts w:ascii="Aptos" w:hAnsi="Aptos"/>
          <w:i/>
          <w:iCs/>
          <w:sz w:val="24"/>
          <w:szCs w:val="24"/>
        </w:rPr>
        <w:t xml:space="preserve">Figure 3: Cumulative defaults exhibit </w:t>
      </w:r>
      <w:r w:rsidR="00D3397D" w:rsidRPr="00D3397D">
        <w:rPr>
          <w:rFonts w:ascii="Aptos" w:hAnsi="Aptos"/>
          <w:i/>
          <w:iCs/>
          <w:sz w:val="24"/>
          <w:szCs w:val="24"/>
        </w:rPr>
        <w:t>a zigzag increasing</w:t>
      </w:r>
      <w:r w:rsidR="00671146" w:rsidRPr="00671146">
        <w:rPr>
          <w:rFonts w:ascii="Aptos" w:hAnsi="Aptos"/>
          <w:i/>
          <w:iCs/>
          <w:sz w:val="24"/>
          <w:szCs w:val="24"/>
        </w:rPr>
        <w:t xml:space="preserve"> trend, acting as the primary driver for increased Expected Loss (EL).</w:t>
      </w:r>
      <w:r w:rsidRPr="00D3397D">
        <w:rPr>
          <w:rFonts w:ascii="Aptos" w:hAnsi="Aptos"/>
          <w:i/>
          <w:iCs/>
          <w:sz w:val="24"/>
          <w:szCs w:val="24"/>
        </w:rPr>
        <w:br/>
      </w:r>
      <w:r w:rsidRPr="00D3397D">
        <w:rPr>
          <w:rFonts w:ascii="Aptos" w:hAnsi="Aptos"/>
          <w:i/>
          <w:iCs/>
          <w:sz w:val="24"/>
          <w:szCs w:val="24"/>
        </w:rPr>
        <w:br/>
      </w:r>
    </w:p>
    <w:p w14:paraId="4073F295" w14:textId="77777777" w:rsidR="00671146" w:rsidRPr="00671146" w:rsidRDefault="00671146" w:rsidP="00671146">
      <w:pPr>
        <w:rPr>
          <w:rFonts w:ascii="Aptos" w:hAnsi="Aptos"/>
          <w:b/>
          <w:bCs/>
          <w:sz w:val="24"/>
          <w:szCs w:val="24"/>
        </w:rPr>
      </w:pPr>
      <w:r w:rsidRPr="00671146">
        <w:rPr>
          <w:rFonts w:ascii="Aptos" w:hAnsi="Aptos"/>
          <w:b/>
          <w:bCs/>
          <w:sz w:val="24"/>
          <w:szCs w:val="24"/>
        </w:rPr>
        <w:t>4. Strategic Conclusion</w:t>
      </w:r>
    </w:p>
    <w:p w14:paraId="16857772" w14:textId="7B1561D1" w:rsidR="00671146" w:rsidRPr="00671146" w:rsidRDefault="00FF4270" w:rsidP="00671146">
      <w:pPr>
        <w:rPr>
          <w:rFonts w:ascii="Aptos" w:hAnsi="Aptos"/>
          <w:sz w:val="24"/>
          <w:szCs w:val="24"/>
        </w:rPr>
      </w:pPr>
      <w:r w:rsidRPr="00D3397D">
        <w:rPr>
          <w:rFonts w:ascii="Aptos" w:hAnsi="Aptos"/>
          <w:sz w:val="24"/>
          <w:szCs w:val="24"/>
        </w:rPr>
        <w:t xml:space="preserve">The Group 43 portfolio exhibits </w:t>
      </w:r>
      <w:r w:rsidRPr="00D3397D">
        <w:rPr>
          <w:rFonts w:ascii="Aptos" w:hAnsi="Aptos"/>
          <w:b/>
          <w:bCs/>
          <w:sz w:val="24"/>
          <w:szCs w:val="24"/>
        </w:rPr>
        <w:t>structural stagnation</w:t>
      </w:r>
      <w:r w:rsidRPr="00D3397D">
        <w:rPr>
          <w:rFonts w:ascii="Aptos" w:hAnsi="Aptos"/>
          <w:sz w:val="24"/>
          <w:szCs w:val="24"/>
        </w:rPr>
        <w:t>, transforming from a diversified inception pool into a rigid asset mix burdened by persistent insolvenc</w:t>
      </w:r>
      <w:r w:rsidRPr="00D3397D">
        <w:rPr>
          <w:rFonts w:ascii="Aptos" w:hAnsi="Aptos"/>
          <w:sz w:val="24"/>
          <w:szCs w:val="24"/>
        </w:rPr>
        <w:t>y</w:t>
      </w:r>
      <w:r w:rsidRPr="00D3397D">
        <w:rPr>
          <w:rFonts w:ascii="Aptos" w:hAnsi="Aptos"/>
          <w:sz w:val="24"/>
          <w:szCs w:val="24"/>
        </w:rPr>
        <w:t xml:space="preserve">. The analysis confirms a </w:t>
      </w:r>
      <w:r w:rsidRPr="00D3397D">
        <w:rPr>
          <w:rFonts w:ascii="Aptos" w:hAnsi="Aptos"/>
          <w:b/>
          <w:bCs/>
          <w:sz w:val="24"/>
          <w:szCs w:val="24"/>
        </w:rPr>
        <w:t>static risk stratification</w:t>
      </w:r>
      <w:r w:rsidRPr="00D3397D">
        <w:rPr>
          <w:rFonts w:ascii="Aptos" w:hAnsi="Aptos"/>
          <w:sz w:val="24"/>
          <w:szCs w:val="24"/>
        </w:rPr>
        <w:t>, where the dominant Investment Grade share fails to erode the "stubborn" default layer, which acts as a continuous drag on profitability. With default volumes accelerating rather than resolving in the final years, the portfolio reflects a critical failure in remedial credit management, necessitating an immediate tightening of origination criteria to prevent further capital leakage into the 'loss' bucket.</w:t>
      </w:r>
      <w:r w:rsidR="00671146" w:rsidRPr="00671146">
        <w:rPr>
          <w:rFonts w:ascii="Aptos" w:hAnsi="Aptos"/>
          <w:sz w:val="24"/>
          <w:szCs w:val="24"/>
        </w:rPr>
        <w:pict w14:anchorId="06D0E3CF">
          <v:rect id="_x0000_i1041" style="width:0;height:1.5pt" o:hralign="center" o:hrstd="t" o:hr="t" fillcolor="#a0a0a0" stroked="f"/>
        </w:pict>
      </w:r>
    </w:p>
    <w:p w14:paraId="19441919" w14:textId="77777777" w:rsidR="00671146" w:rsidRPr="00671146" w:rsidRDefault="00671146" w:rsidP="00671146">
      <w:pPr>
        <w:rPr>
          <w:rFonts w:ascii="Aptos" w:hAnsi="Aptos"/>
          <w:sz w:val="24"/>
          <w:szCs w:val="24"/>
        </w:rPr>
      </w:pPr>
      <w:r w:rsidRPr="00671146">
        <w:rPr>
          <w:rFonts w:ascii="Aptos" w:hAnsi="Aptos"/>
          <w:i/>
          <w:iCs/>
          <w:sz w:val="24"/>
          <w:szCs w:val="24"/>
        </w:rPr>
        <w:t>Disclaimer: This report is for academic simulation purposes only. Calculations based on transition matrices derived from Group 43 dataset.</w:t>
      </w:r>
    </w:p>
    <w:p w14:paraId="0A752D09" w14:textId="133E241C" w:rsidR="00671146" w:rsidRPr="00C95E90" w:rsidRDefault="00D3397D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/>
      </w:r>
      <w:hyperlink r:id="rId8" w:history="1">
        <w:r w:rsidRPr="00D3397D">
          <w:rPr>
            <w:rStyle w:val="Hyperlink"/>
            <w:rFonts w:ascii="Aptos" w:hAnsi="Aptos"/>
            <w:sz w:val="24"/>
            <w:szCs w:val="24"/>
          </w:rPr>
          <w:t xml:space="preserve">Code </w:t>
        </w:r>
        <w:r w:rsidRPr="00D3397D">
          <w:rPr>
            <w:rStyle w:val="Hyperlink"/>
            <w:rFonts w:ascii="Aptos" w:hAnsi="Aptos"/>
            <w:sz w:val="24"/>
            <w:szCs w:val="24"/>
          </w:rPr>
          <w:t>L</w:t>
        </w:r>
        <w:r w:rsidRPr="00D3397D">
          <w:rPr>
            <w:rStyle w:val="Hyperlink"/>
            <w:rFonts w:ascii="Aptos" w:hAnsi="Aptos"/>
            <w:sz w:val="24"/>
            <w:szCs w:val="24"/>
          </w:rPr>
          <w:t>ink</w:t>
        </w:r>
      </w:hyperlink>
    </w:p>
    <w:sectPr w:rsidR="00671146" w:rsidRPr="00C95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65050"/>
    <w:multiLevelType w:val="multilevel"/>
    <w:tmpl w:val="BA90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F335F"/>
    <w:multiLevelType w:val="hybridMultilevel"/>
    <w:tmpl w:val="0194C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F0A98"/>
    <w:multiLevelType w:val="multilevel"/>
    <w:tmpl w:val="13AA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15301"/>
    <w:multiLevelType w:val="multilevel"/>
    <w:tmpl w:val="4AC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37A49"/>
    <w:multiLevelType w:val="multilevel"/>
    <w:tmpl w:val="358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010E7"/>
    <w:multiLevelType w:val="multilevel"/>
    <w:tmpl w:val="26EE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B73BD"/>
    <w:multiLevelType w:val="multilevel"/>
    <w:tmpl w:val="F82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259754">
    <w:abstractNumId w:val="6"/>
  </w:num>
  <w:num w:numId="2" w16cid:durableId="1474566661">
    <w:abstractNumId w:val="4"/>
  </w:num>
  <w:num w:numId="3" w16cid:durableId="924607718">
    <w:abstractNumId w:val="5"/>
  </w:num>
  <w:num w:numId="4" w16cid:durableId="380204872">
    <w:abstractNumId w:val="3"/>
  </w:num>
  <w:num w:numId="5" w16cid:durableId="169417031">
    <w:abstractNumId w:val="2"/>
  </w:num>
  <w:num w:numId="6" w16cid:durableId="524370928">
    <w:abstractNumId w:val="0"/>
  </w:num>
  <w:num w:numId="7" w16cid:durableId="1036737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90"/>
    <w:rsid w:val="00001C1A"/>
    <w:rsid w:val="004A791B"/>
    <w:rsid w:val="00671146"/>
    <w:rsid w:val="007D21EB"/>
    <w:rsid w:val="009377F4"/>
    <w:rsid w:val="00C95E90"/>
    <w:rsid w:val="00D3397D"/>
    <w:rsid w:val="00FF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5151"/>
  <w15:chartTrackingRefBased/>
  <w15:docId w15:val="{2B4B135B-EE51-41BE-9E17-4E836FA0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270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A791B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NormalWeb">
    <w:name w:val="Normal (Web)"/>
    <w:basedOn w:val="Normal"/>
    <w:uiPriority w:val="99"/>
    <w:semiHidden/>
    <w:unhideWhenUsed/>
    <w:rsid w:val="00671146"/>
    <w:rPr>
      <w:rFonts w:ascii="Times New Roman" w:hAnsi="Times New Roman" w:cs="Angsana New"/>
      <w:sz w:val="24"/>
      <w:szCs w:val="30"/>
    </w:rPr>
  </w:style>
  <w:style w:type="paragraph" w:styleId="ListParagraph">
    <w:name w:val="List Paragraph"/>
    <w:basedOn w:val="Normal"/>
    <w:uiPriority w:val="34"/>
    <w:qFormat/>
    <w:rsid w:val="00FF42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3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9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39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8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IVUYJO08uAtPv6VJNh1uUs9iFmmjEeQv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Bhaskar</dc:creator>
  <cp:keywords/>
  <dc:description/>
  <cp:lastModifiedBy>Akshat Bhaskar</cp:lastModifiedBy>
  <cp:revision>2</cp:revision>
  <dcterms:created xsi:type="dcterms:W3CDTF">2025-11-20T19:34:00Z</dcterms:created>
  <dcterms:modified xsi:type="dcterms:W3CDTF">2025-11-20T20:24:00Z</dcterms:modified>
</cp:coreProperties>
</file>