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20.jpg" ContentType="image/jpeg"/>
  <Override PartName="/word/media/rId26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Эскалация привилегий. Shatter attack.</w:t>
      </w:r>
    </w:p>
    <w:p>
      <w:pPr>
        <w:pStyle w:val="Subtitle"/>
      </w:pPr>
      <w:r>
        <w:t xml:space="preserve">Доклад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вводная-часть"/>
    <w:p>
      <w:pPr>
        <w:pStyle w:val="Heading1"/>
      </w:pPr>
      <w:r>
        <w:t xml:space="preserve">1 Вводная часть</w:t>
      </w:r>
    </w:p>
    <w:bookmarkStart w:id="9" w:name="актуальность-темы"/>
    <w:p>
      <w:pPr>
        <w:pStyle w:val="Heading2"/>
      </w:pPr>
      <w:r>
        <w:t xml:space="preserve">1.1 Актуальность темы</w:t>
      </w:r>
    </w:p>
    <w:p>
      <w:pPr>
        <w:pStyle w:val="FirstParagraph"/>
      </w:pPr>
      <w:r>
        <w:t xml:space="preserve">В условиях глобальной цифровизации и усложнения архитектуры вычислительных систем проблема контроля доступа и строгой изоляции процессов приобретает критическое значение. Согласно ГОСТ Р 50922-2006, защита информации подразумевает предотвращение несанкционированного доступа, изменения или уничтожения данных. Однако даже при использовании передовых средств криптографической защиты и сетевых экранов операционная система (ОС) остается фундаментальным слоем, уязвимости в котором могут свести на нет любые внешние периметры безопасности.</w:t>
      </w:r>
    </w:p>
    <w:p>
      <w:pPr>
        <w:pStyle w:val="BodyText"/>
      </w:pPr>
      <w:r>
        <w:t xml:space="preserve">Одной из самых серьезных угроз внутренней безопасности ОС является эскалация (повышение) привилегий. Эта фаза является неотъемлемой частью жизненного цикла большинства сложных целенаправленных кибератак (APT). Получив первоначальный доступ к системе с правами обычного пользователя, злоумышленник стремится повысить свои полномочия до уровня администратора или ядра системы, чтобы закрепиться в инфраструктуре, отключить средства защиты и получить доступ к конфиденциальной информации.</w:t>
      </w:r>
    </w:p>
    <w:p>
      <w:pPr>
        <w:pStyle w:val="BodyText"/>
      </w:pPr>
      <w:r>
        <w:t xml:space="preserve">Исторически одной из наиболее показательных архитектурных уязвимостей, иллюстрирующих фундаментальные проблемы в разграничении прав доступа на уровне графической подсистемы, является атака типа Shatter (Shatter attack). Несмотря на то что классические векторы данной атаки были нивелированы в современных версиях семейства ОС Windows, принципы, лежащие в ее основе, до сих пор изучаются в академических курсах по информационной безопасности как классический пример нарушения доверенной среды взаимодействия процессов. Актуальность исследования данной темы обусловлена необходимостью понимания механизмов межпроцессного взаимодействия (IPC) для разработки надежных и защищенных программных комплексов.</w:t>
      </w:r>
    </w:p>
    <w:bookmarkEnd w:id="9"/>
    <w:bookmarkStart w:id="10" w:name="цели-и-задачи"/>
    <w:p>
      <w:pPr>
        <w:pStyle w:val="Heading2"/>
      </w:pPr>
      <w:r>
        <w:t xml:space="preserve">1.2 Цели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Целью данного доклада является комплексный анализ архитектурной уязвимости, приводящей к эскалации привилегий посредством манипуляции подсистемой оконных сообщений (Shatter attack), а также изучение современных программных механизмов защиты ОС, направленных на противодействие угрозам данного класса.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BodyText"/>
      </w:pPr>
      <w:r>
        <w:t xml:space="preserve">Дать строгое определение понятию эскалации привилегий и рассмотреть принципы разграничения доступа в операционных системах.</w:t>
      </w:r>
      <w:r>
        <w:t xml:space="preserve"> </w:t>
      </w:r>
      <w:r>
        <w:t xml:space="preserve">Проанализировать архитектурные особенности графической подсистемы обмена сообщениями Win32 API и выявить коренные причины возникновения уязвимостей межпроцессного взаимодействия.</w:t>
      </w:r>
      <w:r>
        <w:t xml:space="preserve"> </w:t>
      </w:r>
      <w:r>
        <w:t xml:space="preserve">Детально разобрать механизм и этапы реализации классической Shatter-атаки на процесс с повышенными привилегиями.</w:t>
      </w:r>
      <w:r>
        <w:t xml:space="preserve"> </w:t>
      </w:r>
      <w:r>
        <w:t xml:space="preserve">Рассмотреть современные подходы к защите (на примере технологий Mandatory Integrity Control и Session 0 Isolation), опираясь на труды отечественных исследователей в области архитектуры ОС.</w:t>
      </w:r>
    </w:p>
    <w:bookmarkEnd w:id="10"/>
    <w:bookmarkEnd w:id="11"/>
    <w:bookmarkStart w:id="18" w:name="Xe0c66c4159495feda1ec1f795ae573fb46335cf"/>
    <w:p>
      <w:pPr>
        <w:pStyle w:val="Heading1"/>
      </w:pPr>
      <w:r>
        <w:t xml:space="preserve">2 Теоретические основы эскалации привилегий</w:t>
      </w:r>
    </w:p>
    <w:bookmarkStart w:id="12" w:name="понятие-и-виды-эскалации-привилегий"/>
    <w:p>
      <w:pPr>
        <w:pStyle w:val="Heading2"/>
      </w:pPr>
      <w:r>
        <w:t xml:space="preserve">2.1 Понятие и виды эскалации привилегий</w:t>
      </w:r>
    </w:p>
    <w:p>
      <w:pPr>
        <w:pStyle w:val="FirstParagraph"/>
      </w:pPr>
      <w:r>
        <w:t xml:space="preserve">В современной теории информационной безопасности, как отмечает профессор МГУ В.А. Сухомлин</w:t>
      </w:r>
      <w:r>
        <w:t xml:space="preserve"> </w:t>
      </w:r>
      <w:r>
        <w:t xml:space="preserve">(Сухомлин 2021 г.)</w:t>
      </w:r>
      <w:r>
        <w:t xml:space="preserve">, безопасность вычислительной системы базируется на строгой аутентификации субъектов и авторизации их доступа к объектам. Эскалация привилегий — это процесс несанкционированного получения субъектом (пользователем или процессом) более высоких прав доступа путем эксплуатации логических ошибок, уязвимостей нулевого дня или архитектурных недочетов в программном обеспечении.</w:t>
      </w:r>
    </w:p>
    <w:p>
      <w:pPr>
        <w:pStyle w:val="BodyText"/>
      </w:pPr>
      <w:r>
        <w:t xml:space="preserve">Принято классифицировать эскалацию привилегий на два основных вектора:</w:t>
      </w:r>
    </w:p>
    <w:p>
      <w:pPr>
        <w:pStyle w:val="BodyText"/>
      </w:pPr>
      <w:r>
        <w:rPr>
          <w:b/>
          <w:bCs/>
        </w:rPr>
        <w:t xml:space="preserve">Вертикальная эскалация (Privilege Escalation):</w:t>
      </w:r>
      <w:r>
        <w:t xml:space="preserve"> </w:t>
      </w:r>
      <w:r>
        <w:t xml:space="preserve">процесс с низкими или стандартными правами пользователя преодолевает границы безопасности и получает права суперпользователя (root в UNIX-подобных системах или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в Windows). Это позволяет атакующему полностью контролировать ядро системы.</w:t>
      </w:r>
      <w:r>
        <w:t xml:space="preserve"> </w:t>
      </w:r>
      <w:r>
        <w:rPr>
          <w:b/>
          <w:bCs/>
        </w:rPr>
        <w:t xml:space="preserve">Горизонтальная эскалация:</w:t>
      </w:r>
      <w:r>
        <w:t xml:space="preserve"> </w:t>
      </w:r>
      <w:r>
        <w:t xml:space="preserve">злоумышленник получает доступ к ресурсам и процессам другого пользователя с аналогичным уровнем прав. Это часто используется для обхода системных квот или кражи сессионных токенов конкретного сотрудника.</w:t>
      </w:r>
    </w:p>
    <w:bookmarkEnd w:id="12"/>
    <w:bookmarkStart w:id="17" w:name="X567b162b9a07eef6861bcaa938ae126b8e17eaa"/>
    <w:p>
      <w:pPr>
        <w:pStyle w:val="Heading2"/>
      </w:pPr>
      <w:r>
        <w:t xml:space="preserve">2.2 Архитектура изоляции процессов и уровни привилегий</w:t>
      </w:r>
    </w:p>
    <w:p>
      <w:pPr>
        <w:pStyle w:val="FirstParagraph"/>
      </w:pPr>
      <w:r>
        <w:t xml:space="preserve">В учебных пособиях Д.С. Кулябова и А.В. Корольковой</w:t>
      </w:r>
      <w:r>
        <w:t xml:space="preserve"> </w:t>
      </w:r>
      <w:r>
        <w:t xml:space="preserve">(Кулябов и Королькова 2018 г.)</w:t>
      </w:r>
      <w:r>
        <w:t xml:space="preserve">, посвященных архитектуре операционных систем, неоднократно подчеркивается, что фундаментом защиты является аппаратная поддержка так называемых «колец защиты» (Protection Rings). Современные процессоры архитектуры x86/x64 обеспечивают физическое разделение адресных пространств.</w:t>
      </w:r>
    </w:p>
    <w:p>
      <w:pPr>
        <w:pStyle w:val="BodyText"/>
      </w:pPr>
      <w:r>
        <w:t xml:space="preserve">Ядро операционной системы, драйверы устройств и критически важные службы исполняются в нулевом кольце (Ring 0), имея прямой доступ к аппаратному обеспечению. Пользовательские приложения запускаются в третьем кольце (Ring 3). Переход из Ring 3 в Ring 0 строго регламентирован механизмом системных вызовов (syscalls). Любая уязвимость, позволяющая пользовательскому процессу выполнить произвольный код в контексте процесса, запущенного от имени системы, автоматически приводит к компрометации Ring 0 (рис. 1).</w:t>
      </w:r>
    </w:p>
    <w:bookmarkStart w:id="16" w:name="fig:rings"/>
    <w:p>
      <w:pPr>
        <w:pStyle w:val="CaptionedFigure"/>
      </w:pPr>
      <w:r>
        <w:drawing>
          <wp:inline>
            <wp:extent cx="3733800" cy="2693176"/>
            <wp:effectExtent b="0" l="0" r="0" t="0"/>
            <wp:docPr descr="Рис. 1: Иерархия колец защиты (Protection Rings) и концепция изоляции адресных пространств" title="" id="14" name="Picture"/>
            <a:graphic>
              <a:graphicData uri="http://schemas.openxmlformats.org/drawingml/2006/picture">
                <pic:pic>
                  <pic:nvPicPr>
                    <pic:cNvPr descr="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Иерархия колец защиты (Protection Rings) и концепция изоляции адресных пространств</w:t>
      </w:r>
    </w:p>
    <w:bookmarkEnd w:id="16"/>
    <w:bookmarkEnd w:id="17"/>
    <w:bookmarkEnd w:id="18"/>
    <w:bookmarkStart w:id="25" w:name="X476bc359442525dc601f6724ceecf88b21cf2aa"/>
    <w:p>
      <w:pPr>
        <w:pStyle w:val="Heading1"/>
      </w:pPr>
      <w:r>
        <w:t xml:space="preserve">3 Shatter Attack: эскалация через оконную подсистему</w:t>
      </w:r>
    </w:p>
    <w:bookmarkStart w:id="19" w:name="архитектура-обмена-сообщениями-win32-api"/>
    <w:p>
      <w:pPr>
        <w:pStyle w:val="Heading2"/>
      </w:pPr>
      <w:r>
        <w:t xml:space="preserve">3.1 Архитектура обмена сообщениями Win32 API</w:t>
      </w:r>
    </w:p>
    <w:p>
      <w:pPr>
        <w:pStyle w:val="FirstParagraph"/>
      </w:pPr>
      <w:r>
        <w:t xml:space="preserve">Чтобы понять природу Shatter-атаки, необходимо рассмотреть, как функционирует подсистема пользовательского интерфейса (User Interface, UI) в ОС Windows. В отличие от многих UNIX-систем, где графическая оболочка (например, X-сервер) исторически была отделена от ядра, в ранних версиях Windows (особенно до Windows Vista) графическая подсистема была глубоко интегрирована с системными компонентами</w:t>
      </w:r>
      <w:r>
        <w:t xml:space="preserve"> </w:t>
      </w:r>
      <w:r>
        <w:t xml:space="preserve">(Руссинович и др. 2018 г.)</w:t>
      </w:r>
      <w:r>
        <w:t xml:space="preserve">.</w:t>
      </w:r>
    </w:p>
    <w:p>
      <w:pPr>
        <w:pStyle w:val="BodyText"/>
      </w:pPr>
      <w:r>
        <w:t xml:space="preserve">Каждое окно в Windows обладает собственной процедурой обработки (Window Procedure). Операционная система и приложения общаются друг с другом посредством отправки структурированных сообщений (Messages). Для этого используются системные вызовы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. Например, при нажатии кнопки мыши ОС генерирует сообщение</w:t>
      </w:r>
      <w:r>
        <w:t xml:space="preserve"> </w:t>
      </w:r>
      <w:r>
        <w:rPr>
          <w:rStyle w:val="VerbatimChar"/>
        </w:rPr>
        <w:t xml:space="preserve">WM_LBUTTONDOWN</w:t>
      </w:r>
      <w:r>
        <w:t xml:space="preserve"> </w:t>
      </w:r>
      <w:r>
        <w:t xml:space="preserve">и отправляет его в очередь сообщений конкретного окна.</w:t>
      </w:r>
    </w:p>
    <w:p>
      <w:pPr>
        <w:pStyle w:val="BodyText"/>
      </w:pPr>
      <w:r>
        <w:t xml:space="preserve">Фундаментальная архитектурная ошибка, заложенная на этапе проектирования Win32 API, заключалась в отсутствии проверки уровня привилегий процесса-отправителя по отношению к процессу-получателю в рамках одной интерактивной сессии (одного рабочего стола). Это означало, что любой процесс с правами обычного пользователя мог послать легитимное системное сообщение любому другому окну на том же рабочем столе, даже если это окно принадлежало процессу с правами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(например, графическому интерфейсу антивируса).</w:t>
      </w:r>
    </w:p>
    <w:bookmarkEnd w:id="19"/>
    <w:bookmarkStart w:id="24" w:name="механизм-и-этапы-реализации-атаки"/>
    <w:p>
      <w:pPr>
        <w:pStyle w:val="Heading2"/>
      </w:pPr>
      <w:r>
        <w:t xml:space="preserve">3.2 Механизм и этапы реализации атаки</w:t>
      </w:r>
    </w:p>
    <w:p>
      <w:pPr>
        <w:pStyle w:val="FirstParagraph"/>
      </w:pPr>
      <w:r>
        <w:t xml:space="preserve">Концепция атаки</w:t>
      </w:r>
      <w:r>
        <w:t xml:space="preserve"> </w:t>
      </w:r>
      <w:r>
        <w:t xml:space="preserve">“Shatter attack”</w:t>
      </w:r>
      <w:r>
        <w:t xml:space="preserve"> </w:t>
      </w:r>
      <w:r>
        <w:t xml:space="preserve">(от англ.</w:t>
      </w:r>
      <w:r>
        <w:t xml:space="preserve"> </w:t>
      </w:r>
      <w:r>
        <w:t xml:space="preserve">“разбивать вдребезги”</w:t>
      </w:r>
      <w:r>
        <w:t xml:space="preserve">) была впервые детально описана исследователем безопасности Крисом Пэджетом в 2002 году. Она продемонстрировала, как доверие к механизмам графического интерфейса можно использовать для полного обхода политик разграничения доступа.</w:t>
      </w:r>
    </w:p>
    <w:p>
      <w:pPr>
        <w:pStyle w:val="BodyText"/>
      </w:pPr>
      <w:r>
        <w:t xml:space="preserve">Атака базируется на манипулировании параметрами сообщений, передаваемых целевому окну. Сообщения в Windows часто содержат два дополнительных параметра:</w:t>
      </w:r>
      <w:r>
        <w:t xml:space="preserve"> </w:t>
      </w:r>
      <w:r>
        <w:rPr>
          <w:rStyle w:val="VerbatimChar"/>
        </w:rPr>
        <w:t xml:space="preserve">wParam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lParam</w:t>
      </w:r>
      <w:r>
        <w:t xml:space="preserve">. Для некоторых системных сообщений, таких как</w:t>
      </w:r>
      <w:r>
        <w:t xml:space="preserve"> </w:t>
      </w:r>
      <w:r>
        <w:rPr>
          <w:rStyle w:val="VerbatimChar"/>
        </w:rPr>
        <w:t xml:space="preserve">WM_TIMER</w:t>
      </w:r>
      <w:r>
        <w:t xml:space="preserve"> </w:t>
      </w:r>
      <w:r>
        <w:t xml:space="preserve">(таймер) или сообщений элементов управления (например,</w:t>
      </w:r>
      <w:r>
        <w:t xml:space="preserve"> </w:t>
      </w:r>
      <w:r>
        <w:rPr>
          <w:rStyle w:val="VerbatimChar"/>
        </w:rPr>
        <w:t xml:space="preserve">EM_SETWORDBREAKPROC</w:t>
      </w:r>
      <w:r>
        <w:t xml:space="preserve"> </w:t>
      </w:r>
      <w:r>
        <w:t xml:space="preserve">для текстовых полей), эти параметры используются для передачи указателей на функции обратного вызова (callback functions) в памяти процесса-получателя.</w:t>
      </w:r>
    </w:p>
    <w:p>
      <w:pPr>
        <w:pStyle w:val="BodyText"/>
      </w:pPr>
      <w:r>
        <w:t xml:space="preserve">Алгоритм реализации классической Shatter-атаки включает следующие шаги:</w:t>
      </w:r>
    </w:p>
    <w:p>
      <w:pPr>
        <w:pStyle w:val="BodyText"/>
      </w:pPr>
      <w:r>
        <w:rPr>
          <w:b/>
          <w:bCs/>
        </w:rPr>
        <w:t xml:space="preserve">Разведка и выбор цели:</w:t>
      </w:r>
      <w:r>
        <w:t xml:space="preserve"> </w:t>
      </w:r>
      <w:r>
        <w:t xml:space="preserve">Атакующий процесс сканирует рабочий стол с помощью функции</w:t>
      </w:r>
      <w:r>
        <w:t xml:space="preserve"> </w:t>
      </w:r>
      <w:r>
        <w:rPr>
          <w:rStyle w:val="VerbatimChar"/>
        </w:rPr>
        <w:t xml:space="preserve">EnumWindows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FindWindow</w:t>
      </w:r>
      <w:r>
        <w:t xml:space="preserve"> </w:t>
      </w:r>
      <w:r>
        <w:t xml:space="preserve">в поисках окна, принадлежащего службе с системными привилегиями. Окно может быть даже скрытым (невидимым для пользователя).</w:t>
      </w:r>
    </w:p>
    <w:p>
      <w:pPr>
        <w:pStyle w:val="BodyText"/>
      </w:pPr>
      <w:r>
        <w:rPr>
          <w:b/>
          <w:bCs/>
        </w:rPr>
        <w:t xml:space="preserve">Внедрение вредоносного кода (Payload Injection):</w:t>
      </w:r>
      <w:r>
        <w:t xml:space="preserve"> </w:t>
      </w:r>
      <w:r>
        <w:t xml:space="preserve">Злоумышленник размещает шелл-код (небольшую вредоносную программу, например, запускающую командную строку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) в адресном пространстве целевого процесса. На старых системах это можно было сделать с помощью сообщения</w:t>
      </w:r>
      <w:r>
        <w:t xml:space="preserve"> </w:t>
      </w:r>
      <w:r>
        <w:rPr>
          <w:rStyle w:val="VerbatimChar"/>
        </w:rPr>
        <w:t xml:space="preserve">WM_SETTEXT</w:t>
      </w:r>
      <w:r>
        <w:t xml:space="preserve">, заставив окно сохранить нужный набор байт в своей памяти.</w:t>
      </w:r>
    </w:p>
    <w:p>
      <w:pPr>
        <w:pStyle w:val="BodyText"/>
      </w:pPr>
      <w:r>
        <w:rPr>
          <w:b/>
          <w:bCs/>
        </w:rPr>
        <w:t xml:space="preserve">Отправка триггерного сообщения:</w:t>
      </w:r>
      <w:r>
        <w:t xml:space="preserve"> </w:t>
      </w:r>
      <w:r>
        <w:t xml:space="preserve">Атакующий использует функцию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для отправки специального сообщения целевому окну. В качестве параметра передается адрес ранее внедренного шелл-кода.</w:t>
      </w:r>
    </w:p>
    <w:p>
      <w:pPr>
        <w:pStyle w:val="BodyText"/>
      </w:pPr>
      <w:r>
        <w:rPr>
          <w:b/>
          <w:bCs/>
        </w:rPr>
        <w:t xml:space="preserve">Перехват потока выполнения (Execution):</w:t>
      </w:r>
      <w:r>
        <w:t xml:space="preserve"> </w:t>
      </w:r>
      <w:r>
        <w:t xml:space="preserve">Когда привилегированный процесс обрабатывает полученное сообщение, он интерпретирует переданный параметр как легитимный адрес функции и передает управление по этому адресу. В результате вредоносный код выполняется в контексте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(рис. рис. 2).</w:t>
      </w:r>
    </w:p>
    <w:bookmarkStart w:id="23" w:name="fig:shatter"/>
    <w:p>
      <w:pPr>
        <w:pStyle w:val="CaptionedFigure"/>
      </w:pPr>
      <w:r>
        <w:drawing>
          <wp:inline>
            <wp:extent cx="4267200" cy="2844800"/>
            <wp:effectExtent b="0" l="0" r="0" t="0"/>
            <wp:docPr descr="Рис. 2: Механизм передачи оконных сообщений и перехвата потока выполнения в классической Shatter-атаке." title="" id="21" name="Picture"/>
            <a:graphic>
              <a:graphicData uri="http://schemas.openxmlformats.org/drawingml/2006/picture">
                <pic:pic>
                  <pic:nvPicPr>
                    <pic:cNvPr descr="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Механизм передачи оконных сообщений и перехвата потока выполнения в классической Shatter-атаке.</w:t>
      </w:r>
    </w:p>
    <w:bookmarkEnd w:id="23"/>
    <w:p>
      <w:pPr>
        <w:pStyle w:val="BodyText"/>
      </w:pPr>
      <w:r>
        <w:t xml:space="preserve">Опасность этой уязвимости заключалась в том, что она эксплуатировала не ошибку программиста в конкретном приложении, а фундаментальный принцип работы всей графической подсистемы Windows.</w:t>
      </w:r>
    </w:p>
    <w:bookmarkEnd w:id="24"/>
    <w:bookmarkEnd w:id="25"/>
    <w:bookmarkStart w:id="36" w:name="механизмы-защиты-и-противодействия"/>
    <w:p>
      <w:pPr>
        <w:pStyle w:val="Heading1"/>
      </w:pPr>
      <w:r>
        <w:t xml:space="preserve">4 Механизмы защиты и противодействия</w:t>
      </w:r>
    </w:p>
    <w:p>
      <w:pPr>
        <w:pStyle w:val="FirstParagraph"/>
      </w:pPr>
      <w:r>
        <w:t xml:space="preserve">Эволюция методов защиты от атак класса Shatter является отличным примером того, как разработчики ОС переходят от дискреционного (DAC) к мандатному контролю доступа (MAC). Как подчеркивается в трудах А.А. Малюка</w:t>
      </w:r>
      <w:r>
        <w:t xml:space="preserve"> </w:t>
      </w:r>
      <w:r>
        <w:t xml:space="preserve">(Малюк 2020 г.)</w:t>
      </w:r>
      <w:r>
        <w:t xml:space="preserve"> </w:t>
      </w:r>
      <w:r>
        <w:t xml:space="preserve">по методологическим основам защиты информации, надежность системы достигается только тогда, когда политики безопасности реализуются на уровне архитектуры без возможности их обхода через пользовательские API.</w:t>
      </w:r>
    </w:p>
    <w:bookmarkStart w:id="30" w:name="Xda0065486ff247dbbae9983b196ff473e5e394a"/>
    <w:p>
      <w:pPr>
        <w:pStyle w:val="Heading2"/>
      </w:pPr>
      <w:r>
        <w:t xml:space="preserve">4.1 Изоляция нулевого сеанса (Session 0 Isolation)</w:t>
      </w:r>
    </w:p>
    <w:p>
      <w:pPr>
        <w:pStyle w:val="FirstParagraph"/>
      </w:pPr>
      <w:r>
        <w:t xml:space="preserve">До выхода Windows Vista первая учетная запись, вошедшая в систему, а также все системные службы разделяли общий</w:t>
      </w:r>
      <w:r>
        <w:t xml:space="preserve"> </w:t>
      </w:r>
      <w:r>
        <w:t xml:space="preserve">“Сеанс 0”</w:t>
      </w:r>
      <w:r>
        <w:t xml:space="preserve"> </w:t>
      </w:r>
      <w:r>
        <w:t xml:space="preserve">(Session 0). Это означало, что графические окна служб отображались на том же интерактивном рабочем столе (Interactive Desktop), что и окна пользователя. Именно это позволяло реализовать Shatter-атаку, так как процессы</w:t>
      </w:r>
      <w:r>
        <w:t xml:space="preserve"> </w:t>
      </w:r>
      <w:r>
        <w:t xml:space="preserve">“видели”</w:t>
      </w:r>
      <w:r>
        <w:t xml:space="preserve"> </w:t>
      </w:r>
      <w:r>
        <w:t xml:space="preserve">друг друга.</w:t>
      </w:r>
    </w:p>
    <w:p>
      <w:pPr>
        <w:pStyle w:val="BodyText"/>
      </w:pPr>
      <w:r>
        <w:t xml:space="preserve">Microsoft внедрила архитектурное изменение, получившее название «Изоляция нулевого сеанса». Суть механизма заключается в том, что Сеанс 0 теперь жестко зарезервирован исключительно для неинтерактивных системных служб. Когда первый пользователь входит в систему, для него создается новый изолированный Сеанс 1. Последующие пользователи получают Сеансы 2, 3 и так далее.</w:t>
      </w:r>
    </w:p>
    <w:p>
      <w:pPr>
        <w:pStyle w:val="BodyText"/>
      </w:pPr>
      <w:r>
        <w:t xml:space="preserve">Поскольку службы и пользовательские приложения теперь находятся в физически разных сеансах, они не имеют общего графического рабочего стола. Следовательно, процесс пользователя из Сеанса 1 больше не может использовать</w:t>
      </w:r>
      <w:r>
        <w:t xml:space="preserve"> </w:t>
      </w:r>
      <w:r>
        <w:rPr>
          <w:rStyle w:val="VerbatimChar"/>
        </w:rPr>
        <w:t xml:space="preserve">FindWindow</w:t>
      </w:r>
      <w:r>
        <w:t xml:space="preserve"> </w:t>
      </w:r>
      <w:r>
        <w:t xml:space="preserve">для обнаружения окна системной службы в Сеансе 0 и не может отправить ему сообщение (рис. рис. 3).</w:t>
      </w:r>
    </w:p>
    <w:bookmarkStart w:id="29" w:name="fig:session"/>
    <w:p>
      <w:pPr>
        <w:pStyle w:val="CaptionedFigure"/>
      </w:pPr>
      <w:r>
        <w:drawing>
          <wp:inline>
            <wp:extent cx="4000500" cy="2667000"/>
            <wp:effectExtent b="0" l="0" r="0" t="0"/>
            <wp:docPr descr="Рис. 3: Разделение сеансов пользователя и системных служб как метод противодействия IPC-атакам." title="" id="27" name="Picture"/>
            <a:graphic>
              <a:graphicData uri="http://schemas.openxmlformats.org/drawingml/2006/picture">
                <pic:pic>
                  <pic:nvPicPr>
                    <pic:cNvPr descr="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Разделение сеансов пользователя и системных служб как метод противодействия IPC-атакам.</w:t>
      </w:r>
    </w:p>
    <w:bookmarkEnd w:id="29"/>
    <w:bookmarkEnd w:id="30"/>
    <w:bookmarkStart w:id="35" w:name="X76fe64aeabfffcd9cb618650481d71858aa31e2"/>
    <w:p>
      <w:pPr>
        <w:pStyle w:val="Heading2"/>
      </w:pPr>
      <w:r>
        <w:t xml:space="preserve">4.2 Изоляция привилегий пользовательского интерфейса (UIPI)</w:t>
      </w:r>
    </w:p>
    <w:p>
      <w:pPr>
        <w:pStyle w:val="FirstParagraph"/>
      </w:pPr>
      <w:r>
        <w:t xml:space="preserve">Изоляции нулевого сеанса было недостаточно для защиты от эскалации привилегий в рамках одного пользовательского сеанса (например, когда пользователь запускает одно приложение с обычными правами, а другое — от имени администратора через UAC). Для решения этой задачи была разработана технология UIPI (User Interface Privilege Isolation).</w:t>
      </w:r>
    </w:p>
    <w:p>
      <w:pPr>
        <w:pStyle w:val="BodyText"/>
      </w:pPr>
      <w:r>
        <w:t xml:space="preserve">UIPI является надстройкой над механизмом обязательного контроля целостности (Mandatory Integrity Control, MIC), который концептуально схож с классической мандатной моделью Белла-ЛаПадулы, описываемой Д.С. Кулябовым</w:t>
      </w:r>
      <w:r>
        <w:t xml:space="preserve"> </w:t>
      </w:r>
      <w:r>
        <w:t xml:space="preserve">(Кулябов и Королькова 2018 г.)</w:t>
      </w:r>
      <w:r>
        <w:t xml:space="preserve">. В архитектуре MIC каждому процессу назначается уровень целостности (Integrity Level):</w:t>
      </w:r>
    </w:p>
    <w:p>
      <w:pPr>
        <w:pStyle w:val="BodyText"/>
      </w:pPr>
      <w:r>
        <w:t xml:space="preserve">Low (Низкий) — для процессов с высоким риском компрометации (например, веб-браузеры).</w:t>
      </w:r>
      <w:r>
        <w:t xml:space="preserve"> </w:t>
      </w:r>
      <w:r>
        <w:t xml:space="preserve">Medium (Средний) — стандартный уровень для обычных приложений.</w:t>
      </w:r>
      <w:r>
        <w:t xml:space="preserve"> </w:t>
      </w:r>
      <w:r>
        <w:t xml:space="preserve">High (Высокий) — процессы, запущенные от имени администратора.</w:t>
      </w:r>
      <w:r>
        <w:t xml:space="preserve"> </w:t>
      </w:r>
      <w:r>
        <w:t xml:space="preserve">System (Системный) — системные службы ядра.</w:t>
      </w:r>
      <w:r>
        <w:t xml:space="preserve"> </w:t>
      </w:r>
      <w:r>
        <w:t xml:space="preserve">Технология UIPI аппаратно и программно запрещает процессам с более низким уровнем целостности отправлять сообщения окнам процессов с более высоким уровнем целостности. Любые попытки вызова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в адрес высокопривилегированного процесса просто игнорируются на уровне ядра подсистемы</w:t>
      </w:r>
      <w:r>
        <w:t xml:space="preserve"> </w:t>
      </w:r>
      <w:r>
        <w:rPr>
          <w:rStyle w:val="VerbatimChar"/>
        </w:rPr>
        <w:t xml:space="preserve">win32k.sys</w:t>
      </w:r>
      <w:r>
        <w:t xml:space="preserve">. Разрешен лишь минимальный набор безопасных сообщений (например, информирование об изменении размера экрана) (рис. рис. 4).</w:t>
      </w:r>
    </w:p>
    <w:bookmarkStart w:id="34" w:name="fig:uipi"/>
    <w:p>
      <w:pPr>
        <w:pStyle w:val="CaptionedFigure"/>
      </w:pPr>
      <w:r>
        <w:drawing>
          <wp:inline>
            <wp:extent cx="4267200" cy="2844800"/>
            <wp:effectExtent b="0" l="0" r="0" t="0"/>
            <wp:docPr descr="Рис. 4: Взаимодействие процессов на базе Mandatory Integrity Control (MIC) и фильтрация сообщений." title="" id="32" name="Picture"/>
            <a:graphic>
              <a:graphicData uri="http://schemas.openxmlformats.org/drawingml/2006/picture">
                <pic:pic>
                  <pic:nvPicPr>
                    <pic:cNvPr descr="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Взаимодействие процессов на базе Mandatory Integrity Control (MIC) и фильтрация сообщений.</w:t>
      </w:r>
    </w:p>
    <w:bookmarkEnd w:id="34"/>
    <w:p>
      <w:pPr>
        <w:pStyle w:val="BodyText"/>
      </w:pPr>
      <w:r>
        <w:t xml:space="preserve">Таким образом, комплексное применение строгой сессионной изоляции и мандатного контроля целостности сделало реализацию классической Shatter-атаки невозможной в современных вычислительных средах.</w:t>
      </w:r>
    </w:p>
    <w:bookmarkEnd w:id="35"/>
    <w:bookmarkEnd w:id="36"/>
    <w:bookmarkStart w:id="37" w:name="вывод"/>
    <w:p>
      <w:pPr>
        <w:pStyle w:val="Heading1"/>
      </w:pPr>
      <w:r>
        <w:t xml:space="preserve">5 Вывод</w:t>
      </w:r>
    </w:p>
    <w:p>
      <w:pPr>
        <w:pStyle w:val="FirstParagraph"/>
      </w:pPr>
      <w:r>
        <w:t xml:space="preserve">Проблема эскалации привилегий является одной из наиболее критичных в обеспечении информационной безопасности вычислительных систем</w:t>
      </w:r>
      <w:r>
        <w:t xml:space="preserve"> </w:t>
      </w:r>
      <w:r>
        <w:t xml:space="preserve">(</w:t>
      </w:r>
      <w:r>
        <w:rPr>
          <w:i/>
          <w:iCs/>
        </w:rPr>
        <w:t xml:space="preserve">ГОСТ Р 50922-2006. Защита информации. Основные термины и определения</w:t>
      </w:r>
      <w:r>
        <w:t xml:space="preserve"> </w:t>
      </w:r>
      <w:r>
        <w:t xml:space="preserve">2007 г.)</w:t>
      </w:r>
      <w:r>
        <w:t xml:space="preserve">. Подробный анализ атаки Shatter attack демонстрирует, что игнорирование политик разграничения доступа при разработке системных интерфейсов (на примере Win32 API и системы обмена сообщениями) может привести к возможности полного обхода механизмов безопасности даже при отсутствии ошибок переполнения буфера.</w:t>
      </w:r>
    </w:p>
    <w:p>
      <w:pPr>
        <w:pStyle w:val="BodyText"/>
      </w:pPr>
      <w:r>
        <w:t xml:space="preserve">Развитие современных операционных систем показывает устойчивый тренд на усиление механизмов изоляции. Внедрение таких технологий, как изоляция сеансов (Session 0 Isolation) и мандатный контроль целостности процессов (MIC/UIPI), подтверждает тезисы отечественных ученых (В.А. Сухомлина, Д.С. Кулябова, А.А. Малюка)</w:t>
      </w:r>
      <w:r>
        <w:t xml:space="preserve"> </w:t>
      </w:r>
      <w:r>
        <w:t xml:space="preserve">(Сухомлин 2021 г.; Кулябов и Королькова 2018 г.; Малюк 2020 г.)</w:t>
      </w:r>
      <w:r>
        <w:t xml:space="preserve"> </w:t>
      </w:r>
      <w:r>
        <w:t xml:space="preserve">о том, что надежная защита требует комплексного архитектурного подхода. Изоляция должна применяться на всех уровнях: от файловой системы и оперативной памяти до графических интерфейсов и межпроцессного взаимодействия.</w:t>
      </w:r>
    </w:p>
    <w:p>
      <w:pPr>
        <w:pStyle w:val="BodyText"/>
      </w:pPr>
      <w:r>
        <w:t xml:space="preserve">Специалистам по информационной безопасности критически важно понимать исторические векторы атак, такие как Shatter attack, поскольку принципы инъекции и манипулирования доверием между компонентами системы продолжают эволюционировать, находя отражение в современных угрозах и уязвимостях новых программных платформ</w:t>
      </w:r>
      <w:r>
        <w:t xml:space="preserve"> </w:t>
      </w:r>
      <w:r>
        <w:t xml:space="preserve">(Шаньгин 2022 г.)</w:t>
      </w:r>
      <w:r>
        <w:t xml:space="preserve">.</w:t>
      </w:r>
    </w:p>
    <w:bookmarkEnd w:id="37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38" w:name="ref-gost50922"/>
    <w:p>
      <w:pPr>
        <w:pStyle w:val="Bibliography"/>
      </w:pPr>
      <w:r>
        <w:rPr>
          <w:i/>
          <w:iCs/>
        </w:rPr>
        <w:t xml:space="preserve">ГОСТ Р 50922-2006. Защита информации. Основные термины и определения</w:t>
      </w:r>
      <w:r>
        <w:t xml:space="preserve">. 2007 г. Стандартинформ.</w:t>
      </w:r>
    </w:p>
    <w:bookmarkEnd w:id="38"/>
    <w:bookmarkStart w:id="39" w:name="ref-kulyabov2018"/>
    <w:p>
      <w:pPr>
        <w:pStyle w:val="Bibliography"/>
      </w:pPr>
      <w:r>
        <w:t xml:space="preserve">Кулябов, Д. С., и А. В. Королькова. 2018 г.</w:t>
      </w:r>
      <w:r>
        <w:t xml:space="preserve"> </w:t>
      </w:r>
      <w:r>
        <w:rPr>
          <w:i/>
          <w:iCs/>
        </w:rPr>
        <w:t xml:space="preserve">Архитектура и принципы построения операционных систем: Учебное пособие</w:t>
      </w:r>
      <w:r>
        <w:t xml:space="preserve">. РУДН.</w:t>
      </w:r>
    </w:p>
    <w:bookmarkEnd w:id="39"/>
    <w:bookmarkStart w:id="40" w:name="ref-malyuk2020"/>
    <w:p>
      <w:pPr>
        <w:pStyle w:val="Bibliography"/>
      </w:pPr>
      <w:r>
        <w:t xml:space="preserve">Малюк, А. А. 2020 г.</w:t>
      </w:r>
      <w:r>
        <w:t xml:space="preserve"> </w:t>
      </w:r>
      <w:r>
        <w:rPr>
          <w:i/>
          <w:iCs/>
        </w:rPr>
        <w:t xml:space="preserve">Информационная безопасность: концептуальные и методологические основы защиты информации. Учебное пособие</w:t>
      </w:r>
      <w:r>
        <w:t xml:space="preserve">. Горячая линия-Телеком.</w:t>
      </w:r>
    </w:p>
    <w:bookmarkEnd w:id="40"/>
    <w:bookmarkStart w:id="41" w:name="ref-russinovich2018"/>
    <w:p>
      <w:pPr>
        <w:pStyle w:val="Bibliography"/>
      </w:pPr>
      <w:r>
        <w:t xml:space="preserve">Руссинович, М., Д. Соломон, и А. Ионеску. 2018 г.</w:t>
      </w:r>
      <w:r>
        <w:t xml:space="preserve"> </w:t>
      </w:r>
      <w:r>
        <w:rPr>
          <w:i/>
          <w:iCs/>
        </w:rPr>
        <w:t xml:space="preserve">Внутреннее устройство Windows (Windows Internals), 7-е издание. Часть 1</w:t>
      </w:r>
      <w:r>
        <w:t xml:space="preserve">. Питер.</w:t>
      </w:r>
    </w:p>
    <w:bookmarkEnd w:id="41"/>
    <w:bookmarkStart w:id="42" w:name="ref-sukhomlin2021"/>
    <w:p>
      <w:pPr>
        <w:pStyle w:val="Bibliography"/>
      </w:pPr>
      <w:r>
        <w:t xml:space="preserve">Сухомлин, В. А. 2021 г.</w:t>
      </w:r>
      <w:r>
        <w:t xml:space="preserve"> </w:t>
      </w:r>
      <w:r>
        <w:rPr>
          <w:i/>
          <w:iCs/>
        </w:rPr>
        <w:t xml:space="preserve">Введение в анализ информационной безопасности. Теоретико-методологические основы</w:t>
      </w:r>
      <w:r>
        <w:t xml:space="preserve">. Горячая линия - Телеком.</w:t>
      </w:r>
    </w:p>
    <w:bookmarkEnd w:id="42"/>
    <w:bookmarkStart w:id="43" w:name="ref-shangin2022"/>
    <w:p>
      <w:pPr>
        <w:pStyle w:val="Bibliography"/>
      </w:pPr>
      <w:r>
        <w:t xml:space="preserve">Шаньгин, В. Ф. 2022 г.</w:t>
      </w:r>
      <w:r>
        <w:t xml:space="preserve"> </w:t>
      </w:r>
      <w:r>
        <w:rPr>
          <w:i/>
          <w:iCs/>
        </w:rPr>
        <w:t xml:space="preserve">Информационная безопасность и защита информации в компьютерных системах и сетях</w:t>
      </w:r>
      <w:r>
        <w:t xml:space="preserve">. ИД ФОРУМ: НИЦ ИНФРА-М.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20" Target="media/rId20.jpg" /><Relationship Type="http://schemas.openxmlformats.org/officeDocument/2006/relationships/image" Id="rId26" Target="media/rId26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Эскалация привилегий. Shatter attack.</dc:title>
  <dc:creator/>
  <dc:language>ru-RU</dc:language>
  <cp:keywords/>
  <dcterms:created xsi:type="dcterms:W3CDTF">2026-05-15T14:26:15Z</dcterms:created>
  <dcterms:modified xsi:type="dcterms:W3CDTF">2026-05-15T14:26:15Z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biblio.bib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>рис.</vt:lpwstr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geometry">
    <vt:lpwstr>margin=2cm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subtitle">
    <vt:lpwstr>Доклад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  <property fmtid="{D5CDD505-2E9C-101B-9397-08002B2CF9AE}" pid="74" name="toc">
    <vt:lpwstr>True</vt:lpwstr>
  </property>
  <property fmtid="{D5CDD505-2E9C-101B-9397-08002B2CF9AE}" pid="75" name="toc-depth">
    <vt:lpwstr>2</vt:lpwstr>
  </property>
  <property fmtid="{D5CDD505-2E9C-101B-9397-08002B2CF9AE}" pid="76" name="toc-title">
    <vt:lpwstr>Содержание</vt:lpwstr>
  </property>
</Properties>
</file>