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F2B4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SELECT PROGRAMME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Commercial Baseline — CEO Feedback Summary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InterTradeIreland  |  Built to Scale  |  2026–27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F2B4C"/>
          <w:sz w:val="24"/>
          <w:szCs w:val="24"/>
        </w:rPr>
        <w:t xml:space="preserve">Section A: Organisation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Organisation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CEO / Lead 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Assessor(s)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 Lock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C44B2B"/>
                <w:sz w:val="18"/>
                <w:szCs w:val="18"/>
              </w:rPr>
              <w:t xml:space="preserve">CONFIDENTIAL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F2B4C"/>
          <w:sz w:val="24"/>
          <w:szCs w:val="24"/>
        </w:rPr>
        <w:t xml:space="preserve">Section B: Overall Baseline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Overall Weighted Score (out of 5.00)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         /5.00]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Overall Percentage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         %]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Maturity 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  Fragile / Emerging / Defined / Embedded / Optimised  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Programme Intensity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  Stabilise / Strengthen / Scale  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0–39%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4B2B"/>
                <w:sz w:val="16"/>
                <w:szCs w:val="16"/>
              </w:rPr>
              <w:t xml:space="preserve">Fragile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40–59%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Emerging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60–74%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Defined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75–89%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5A"/>
                <w:sz w:val="16"/>
                <w:szCs w:val="16"/>
              </w:rPr>
              <w:t xml:space="preserve">Embedded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90–100%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5A"/>
                <w:sz w:val="16"/>
                <w:szCs w:val="16"/>
              </w:rPr>
              <w:t xml:space="preserve">Optimised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F2B4C"/>
          <w:sz w:val="24"/>
          <w:szCs w:val="24"/>
        </w:rPr>
        <w:t xml:space="preserve">Section C: Domain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700"/>
        <w:gridCol w:w="1200"/>
        <w:gridCol w:w="106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(0–5)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Model &amp; Revenue Mix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6B5A"/>
                <w:sz w:val="16"/>
                <w:szCs w:val="16"/>
              </w:rPr>
              <w:t xml:space="preserve">Foundation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Products &amp; Unit Economics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6B5A"/>
                <w:sz w:val="16"/>
                <w:szCs w:val="16"/>
              </w:rPr>
              <w:t xml:space="preserve">Foundation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Financial Management &amp; Cash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6B5A"/>
                <w:sz w:val="16"/>
                <w:szCs w:val="16"/>
              </w:rPr>
              <w:t xml:space="preserve">Foundation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Commercial Strategy &amp; Market 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2B4C"/>
                <w:sz w:val="16"/>
                <w:szCs w:val="16"/>
              </w:rPr>
              <w:t xml:space="preserve">Engine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Go-To-Market &amp; Sales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2B4C"/>
                <w:sz w:val="16"/>
                <w:szCs w:val="16"/>
              </w:rPr>
              <w:t xml:space="preserve">Engine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Operations &amp; Delivery Capacity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2B4C"/>
                <w:sz w:val="16"/>
                <w:szCs w:val="16"/>
              </w:rPr>
              <w:t xml:space="preserve">Engine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Cross-Border Readiness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2B4C"/>
                <w:sz w:val="16"/>
                <w:szCs w:val="16"/>
              </w:rPr>
              <w:t xml:space="preserve">Engine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Leadership &amp; Execution Capacity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44B2B"/>
                <w:sz w:val="16"/>
                <w:szCs w:val="16"/>
              </w:rPr>
              <w:t xml:space="preserve">Enabler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Organisational Readiness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44B2B"/>
                <w:sz w:val="16"/>
                <w:szCs w:val="16"/>
              </w:rPr>
              <w:t xml:space="preserve">Enabler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F2B4C"/>
          <w:sz w:val="24"/>
          <w:szCs w:val="24"/>
        </w:rPr>
        <w:t xml:space="preserve">Section D: Key Strengths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Identify 2–3 areas of commercial strength evidenced through the assessment and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B5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B5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B5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F2B4C"/>
          <w:sz w:val="24"/>
          <w:szCs w:val="24"/>
        </w:rPr>
        <w:t xml:space="preserve">Section E: Confirmed Structural Constraints (Maximum 3)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Root constraints identified through validation. These explain the low-scoring domains and will guide programme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B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Constraint: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Linked domains: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B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Constraint: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Linked domains: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B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Constraint: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Linked domains: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F2B4C"/>
          <w:sz w:val="24"/>
          <w:szCs w:val="24"/>
        </w:rPr>
        <w:t xml:space="preserve">Section F: Priority Development Domains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Select 2–3 domains where programme support will be concentrated. These determine consulting priorities and coaching focus.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1500"/>
        <w:gridCol w:w="150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Programme 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   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F2B4C"/>
          <w:sz w:val="24"/>
          <w:szCs w:val="24"/>
        </w:rPr>
        <w:t xml:space="preserve">Section G: Agreed SMART Objectives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Confirmed at validation and linked to baseline findings. These become the active monitoring indicators in the SMART Tracker.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SMART Objective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Objective: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Specific: □  Measurable: □  Achievable: □  Relevant: □  Time-bound: □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Linked domain(s):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Target 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How measured: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SMART Objective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Objective: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Specific: □  Measurable: □  Achievable: □  Relevant: □  Time-bound: □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Linked domain(s):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Target 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How measured: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SMART Objective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Objective: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Specific: □  Measurable: □  Achievable: □  Relevant: □  Time-bound: □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Linked domain(s):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Target 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How measured: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F2B4C"/>
          <w:sz w:val="24"/>
          <w:szCs w:val="24"/>
        </w:rPr>
        <w:t xml:space="preserve">Section H: Immediate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2500"/>
        <w:gridCol w:w="23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B4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Baseline formally locked (2b)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Within 48 hours of validation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Fiona / Clodagh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CEO Feedback Summary issued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Within 48 hours of baseline lock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Fiona / Clodagh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Scale &amp; Change Plan development begins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From Outreach #2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CEO + Programme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Coaching Cycle 1 commences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From 19 May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Assigned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Consulting priorities activated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From Outreach #2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Assigned Consultant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Tracker established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From baseline lock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Programme Team</w:t>
            </w:r>
          </w:p>
        </w:tc>
      </w:tr>
    </w:tbl>
    <w:p>
      <w:pPr>
        <w:spacing w:after="2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F2B4C"/>
          <w:sz w:val="24"/>
          <w:szCs w:val="24"/>
        </w:rPr>
        <w:t xml:space="preserve">Section I: Assessor Notes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Any additional context, observations, or flags for the programme team. This section is not shared with the CEO unless the assessor determines it appropriate.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pBdr>
          <w:top w:val="single" w:color="0F2B4C" w:sz="4" w:space="1"/>
        </w:pBdr>
        <w:spacing w:before="200" w:after="120"/>
      </w:pPr>
      <w:r>
        <w:rPr>
          <w:rFonts w:ascii="Arial" w:cs="Arial" w:eastAsia="Arial" w:hAnsi="Arial"/>
          <w:b/>
          <w:bCs/>
          <w:color w:val="0F2B4C"/>
          <w:sz w:val="24"/>
          <w:szCs w:val="24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Assessor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Issued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CEO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Yes  □ No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F2B4C"/>
                <w:sz w:val="16"/>
                <w:szCs w:val="16"/>
              </w:rPr>
              <w:t xml:space="preserve">Important: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The Locked Baseline (2b) is fixed once confirmed and remains unchanged until the endline reassessment in December. At endline, the identical scoring anchors and weightings are applied, ensuring a controlled, evidence-based comparison of your commercial progress across the full programme period.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Questions? Contact Fiona (087 194 7757) or Clodagh (086 776 6212).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2B4C" w:sz="4" w:space="1"/>
      </w:pBd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InterTradeIreland  |  Built to Scale  | 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B4C" w:sz="4" w:space="1"/>
      </w:pBdr>
    </w:pPr>
    <w:r>
      <w:rPr>
        <w:rFonts w:ascii="Arial" w:cs="Arial" w:eastAsia="Arial" w:hAnsi="Arial"/>
        <w:color w:val="999999"/>
        <w:sz w:val="14"/>
        <w:szCs w:val="14"/>
      </w:rPr>
      <w:t xml:space="preserve">SELECT Programme  |  CEO Feedback Summary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0F2B4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F2B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2026-03-21T12:54:22.152Z</dcterms:created>
  <dcterms:modified xsi:type="dcterms:W3CDTF">2026-03-21T12:54:22.153Z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