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F2B4C"/>
          <w:sz w:val="36"/>
          <w:szCs w:val="36"/>
        </w:rPr>
        <w:t xml:space="preserve">SELECT PROGRAMME</w:t>
      </w:r>
    </w:p>
    <w:p>
      <w:pPr>
        <w:spacing w:after="100"/>
        <w:jc w:val="center"/>
      </w:pPr>
      <w:r>
        <w:rPr>
          <w:rFonts w:ascii="Arial" w:cs="Arial" w:eastAsia="Arial" w:hAnsi="Arial"/>
          <w:b/>
          <w:bCs/>
          <w:color w:val="0F2B4C"/>
          <w:sz w:val="48"/>
          <w:szCs w:val="48"/>
        </w:rPr>
        <w:t xml:space="preserve">Scoring Reference Guide</w:t>
      </w:r>
    </w:p>
    <w:p>
      <w:pPr>
        <w:spacing w:after="200"/>
        <w:jc w:val="center"/>
      </w:pPr>
      <w:r>
        <w:rPr>
          <w:rFonts w:ascii="Arial" w:cs="Arial" w:eastAsia="Arial" w:hAnsi="Arial"/>
          <w:color w:val="555555"/>
          <w:sz w:val="24"/>
          <w:szCs w:val="24"/>
        </w:rPr>
        <w:t xml:space="preserve">0–5 Scoring Anchors for All 9 Commercial Maturity Domains</w:t>
      </w:r>
    </w:p>
    <w:p>
      <w:pPr>
        <w:pBdr>
          <w:bottom w:val="single" w:color="0A6B5A" w:sz="6" w:space="1"/>
        </w:pBdr>
        <w:spacing w:after="200"/>
      </w:pPr>
    </w:p>
    <w:p>
      <w:pPr>
        <w:spacing w:after="60"/>
        <w:jc w:val="center"/>
      </w:pPr>
      <w:r>
        <w:rPr>
          <w:rFonts w:ascii="Arial" w:cs="Arial" w:eastAsia="Arial" w:hAnsi="Arial"/>
          <w:color w:val="888888"/>
          <w:sz w:val="20"/>
          <w:szCs w:val="20"/>
        </w:rPr>
        <w:t xml:space="preserve">InterTradeIreland  |  Built to Scale  |  SELECT 2026–27</w:t>
      </w:r>
    </w:p>
    <w:p>
      <w:pPr>
        <w:spacing w:after="60"/>
        <w:jc w:val="center"/>
      </w:pPr>
      <w:r>
        <w:rPr>
          <w:rFonts w:ascii="Arial" w:cs="Arial" w:eastAsia="Arial" w:hAnsi="Arial"/>
          <w:b/>
          <w:bCs/>
          <w:color w:val="C44B2B"/>
          <w:sz w:val="20"/>
          <w:szCs w:val="20"/>
        </w:rPr>
        <w:t xml:space="preserve">For Assessor Use Only  |  Confidential</w:t>
      </w:r>
    </w:p>
    <w:p>
      <w:pPr>
        <w:spacing w:after="200"/>
        <w:jc w:val="center"/>
      </w:pPr>
      <w:r>
        <w:rPr>
          <w:rFonts w:ascii="Arial" w:cs="Arial" w:eastAsia="Arial" w:hAnsi="Arial"/>
          <w:color w:val="AAAAAA"/>
          <w:sz w:val="18"/>
          <w:szCs w:val="18"/>
        </w:rPr>
        <w:t xml:space="preserve">Version 1.0  |  March 2026</w:t>
      </w:r>
    </w:p>
    <w:p>
      <w:r>
        <w:br w:type="page"/>
      </w:r>
    </w:p>
    <w:p>
      <w:pPr>
        <w:pStyle w:val="Heading1"/>
        <w:spacing w:after="200"/>
      </w:pPr>
      <w:r>
        <w:rPr>
          <w:rFonts w:ascii="Arial" w:cs="Arial" w:eastAsia="Arial" w:hAnsi="Arial"/>
          <w:b/>
          <w:bCs/>
          <w:color w:val="0F2B4C"/>
          <w:sz w:val="28"/>
          <w:szCs w:val="28"/>
        </w:rPr>
        <w:t xml:space="preserve">How to Use This Guide</w:t>
      </w:r>
    </w:p>
    <w:p>
      <w:pPr>
        <w:spacing w:after="160"/>
        <w:jc w:val="left"/>
      </w:pPr>
      <w:r>
        <w:rPr>
          <w:rFonts w:ascii="Arial" w:cs="Arial" w:eastAsia="Arial" w:hAnsi="Arial"/>
          <w:sz w:val="20"/>
          <w:szCs w:val="20"/>
        </w:rPr>
        <w:t xml:space="preserve">This guide provides the scoring anchors for the SELECT Commercial Baseline Assessment. Use it alongside the Commercial Rating Matrix (Excel) when scoring each CEO’s submission.</w:t>
      </w:r>
    </w:p>
    <w:p>
      <w:pPr>
        <w:pStyle w:val="Heading2"/>
        <w:spacing w:before="200" w:after="120"/>
      </w:pPr>
      <w:r>
        <w:rPr>
          <w:rFonts w:ascii="Arial" w:cs="Arial" w:eastAsia="Arial" w:hAnsi="Arial"/>
          <w:b/>
          <w:bCs/>
          <w:color w:val="0F2B4C"/>
          <w:sz w:val="24"/>
          <w:szCs w:val="24"/>
        </w:rPr>
        <w:t xml:space="preserve">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A6B5A" w:val="clear"/>
            <w:tcMar>
              <w:top w:type="dxa" w:w="60"/>
              <w:left w:type="dxa" w:w="100"/>
              <w:bottom w:type="dxa" w:w="60"/>
              <w:right w:type="dxa" w:w="100"/>
            </w:tcMar>
            <w:vAlign w:val="center"/>
          </w:tcPr>
          <w:p>
            <w:pPr>
              <w:spacing w:after="80"/>
              <w:jc w:val="center"/>
            </w:pPr>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Score to the lowest evidenced level — the anchor must be fully met, not partially met.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A6B5A" w:val="clear"/>
            <w:tcMar>
              <w:top w:type="dxa" w:w="60"/>
              <w:left w:type="dxa" w:w="100"/>
              <w:bottom w:type="dxa" w:w="60"/>
              <w:right w:type="dxa" w:w="100"/>
            </w:tcMar>
            <w:vAlign w:val="center"/>
          </w:tcPr>
          <w:p>
            <w:pPr>
              <w:spacing w:after="80"/>
              <w:jc w:val="center"/>
            </w:pPr>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One score (0–5) per domain. No half-scores. No averages.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A6B5A" w:val="clear"/>
            <w:tcMar>
              <w:top w:type="dxa" w:w="60"/>
              <w:left w:type="dxa" w:w="100"/>
              <w:bottom w:type="dxa" w:w="60"/>
              <w:right w:type="dxa" w:w="100"/>
            </w:tcMar>
            <w:vAlign w:val="center"/>
          </w:tcPr>
          <w:p>
            <w:pPr>
              <w:spacing w:after="80"/>
              <w:jc w:val="center"/>
            </w:pPr>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Evidence or notes required for each domain — no score is valid without a rationale.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A6B5A" w:val="clear"/>
            <w:tcMar>
              <w:top w:type="dxa" w:w="60"/>
              <w:left w:type="dxa" w:w="100"/>
              <w:bottom w:type="dxa" w:w="60"/>
              <w:right w:type="dxa" w:w="100"/>
            </w:tcMar>
            <w:vAlign w:val="center"/>
          </w:tcPr>
          <w:p>
            <w:pPr>
              <w:spacing w:after="80"/>
              <w:jc w:val="center"/>
            </w:pPr>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Weak domains = bottom 3 weighted scores, or any domain scoring ≤2.</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A6B5A" w:val="clear"/>
            <w:tcMar>
              <w:top w:type="dxa" w:w="60"/>
              <w:left w:type="dxa" w:w="100"/>
              <w:bottom w:type="dxa" w:w="60"/>
              <w:right w:type="dxa" w:w="100"/>
            </w:tcMar>
            <w:vAlign w:val="center"/>
          </w:tcPr>
          <w:p>
            <w:pPr>
              <w:spacing w:after="80"/>
              <w:jc w:val="center"/>
            </w:pPr>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Scores may be adjusted post-validation only if new material evidence emerges (once only).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0A6B5A" w:val="clear"/>
            <w:tcMar>
              <w:top w:type="dxa" w:w="60"/>
              <w:left w:type="dxa" w:w="100"/>
              <w:bottom w:type="dxa" w:w="60"/>
              <w:right w:type="dxa" w:w="100"/>
            </w:tcMar>
            <w:vAlign w:val="center"/>
          </w:tcPr>
          <w:p>
            <w:pPr>
              <w:spacing w:after="80"/>
              <w:jc w:val="center"/>
            </w:pPr>
            <w:r>
              <w:rPr>
                <w:rFonts w:ascii="Arial" w:cs="Arial" w:eastAsia="Arial" w:hAnsi="Arial"/>
                <w:b/>
                <w:bCs/>
                <w:color w:val="FFFFFF"/>
                <w:sz w:val="18"/>
                <w:szCs w:val="18"/>
              </w:rPr>
              <w:t xml:space="preserve">6</w:t>
            </w:r>
          </w:p>
        </w:tc>
        <w:tc>
          <w:tcPr>
            <w:tcW w:type="dxa" w:w="89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Locked Baseline (2b) may not be amended after lock.</w:t>
            </w:r>
          </w:p>
        </w:tc>
      </w:tr>
    </w:tbl>
    <w:p>
      <w:pPr>
        <w:spacing w:after="40"/>
      </w:pPr>
    </w:p>
    <w:p>
      <w:pPr>
        <w:spacing w:after="120"/>
      </w:pPr>
    </w:p>
    <w:p>
      <w:pPr>
        <w:pStyle w:val="Heading2"/>
        <w:spacing w:before="200" w:after="120"/>
      </w:pPr>
      <w:r>
        <w:rPr>
          <w:rFonts w:ascii="Arial" w:cs="Arial" w:eastAsia="Arial" w:hAnsi="Arial"/>
          <w:b/>
          <w:bCs/>
          <w:color w:val="0F2B4C"/>
          <w:sz w:val="24"/>
          <w:szCs w:val="24"/>
        </w:rPr>
        <w:t xml:space="preserve">Tier Weighting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860"/>
        <w:gridCol w:w="1500"/>
      </w:tblGrid>
      <w:tr>
        <w:tc>
          <w:tcPr>
            <w:tcW w:type="dxa" w:w="20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25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Domains</w:t>
            </w:r>
          </w:p>
        </w:tc>
        <w:tc>
          <w:tcPr>
            <w:tcW w:type="dxa" w:w="15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Weight</w:t>
            </w:r>
          </w:p>
        </w:tc>
        <w:tc>
          <w:tcPr>
            <w:tcW w:type="dxa" w:w="1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Multiplier</w:t>
            </w:r>
          </w:p>
        </w:tc>
        <w:tc>
          <w:tcPr>
            <w:tcW w:type="dxa" w:w="15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color w:val="0A6B5A"/>
                <w:sz w:val="18"/>
                <w:szCs w:val="18"/>
              </w:rPr>
              <w:t xml:space="preserve">Foundation</w:t>
            </w:r>
          </w:p>
        </w:tc>
        <w:tc>
          <w:tcPr>
            <w:tcW w:type="dxa" w:w="25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D1, D2, D3</w:t>
            </w:r>
          </w:p>
        </w:tc>
        <w:tc>
          <w:tcPr>
            <w:tcW w:type="dxa" w:w="15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center"/>
            </w:pPr>
            <w:r>
              <w:rPr>
                <w:rFonts w:ascii="Arial" w:cs="Arial" w:eastAsia="Arial" w:hAnsi="Arial"/>
                <w:sz w:val="18"/>
                <w:szCs w:val="18"/>
              </w:rPr>
              <w:t xml:space="preserve">15% each</w:t>
            </w:r>
          </w:p>
        </w:tc>
        <w:tc>
          <w:tcPr>
            <w:tcW w:type="dxa" w:w="1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center"/>
            </w:pPr>
            <w:r>
              <w:rPr>
                <w:rFonts w:ascii="Arial" w:cs="Arial" w:eastAsia="Arial" w:hAnsi="Arial"/>
                <w:b/>
                <w:bCs/>
                <w:sz w:val="20"/>
                <w:szCs w:val="20"/>
              </w:rPr>
              <w:t xml:space="preserve">×1.5</w:t>
            </w:r>
          </w:p>
        </w:tc>
        <w:tc>
          <w:tcPr>
            <w:tcW w:type="dxa" w:w="15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Highest impact</w:t>
            </w:r>
          </w:p>
        </w:tc>
      </w:tr>
      <w:tr>
        <w:tc>
          <w:tcPr>
            <w:tcW w:type="dxa" w:w="2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vAlign w:val="top"/>
          </w:tcPr>
          <w:p>
            <w:pPr>
              <w:spacing w:after="80"/>
              <w:jc w:val="left"/>
            </w:pPr>
            <w:r>
              <w:rPr>
                <w:rFonts w:ascii="Arial" w:cs="Arial" w:eastAsia="Arial" w:hAnsi="Arial"/>
                <w:b/>
                <w:bCs/>
                <w:color w:val="0F2B4C"/>
                <w:sz w:val="18"/>
                <w:szCs w:val="18"/>
              </w:rPr>
              <w:t xml:space="preserve">Engine</w:t>
            </w:r>
          </w:p>
        </w:tc>
        <w:tc>
          <w:tcPr>
            <w:tcW w:type="dxa" w:w="2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D4, D5, D6, D7</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vAlign w:val="top"/>
          </w:tcPr>
          <w:p>
            <w:pPr>
              <w:spacing w:after="80"/>
              <w:jc w:val="center"/>
            </w:pPr>
            <w:r>
              <w:rPr>
                <w:rFonts w:ascii="Arial" w:cs="Arial" w:eastAsia="Arial" w:hAnsi="Arial"/>
                <w:sz w:val="18"/>
                <w:szCs w:val="18"/>
              </w:rPr>
              <w:t xml:space="preserve">10% each</w:t>
            </w:r>
          </w:p>
        </w:tc>
        <w:tc>
          <w:tcPr>
            <w:tcW w:type="dxa" w:w="18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vAlign w:val="top"/>
          </w:tcPr>
          <w:p>
            <w:pPr>
              <w:spacing w:after="80"/>
              <w:jc w:val="center"/>
            </w:pPr>
            <w:r>
              <w:rPr>
                <w:rFonts w:ascii="Arial" w:cs="Arial" w:eastAsia="Arial" w:hAnsi="Arial"/>
                <w:b/>
                <w:bCs/>
                <w:sz w:val="20"/>
                <w:szCs w:val="20"/>
              </w:rPr>
              <w:t xml:space="preserve">×1.0</w:t>
            </w:r>
          </w:p>
        </w:tc>
        <w:tc>
          <w:tcPr>
            <w:tcW w:type="dxa" w:w="15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Core function</w:t>
            </w:r>
          </w:p>
        </w:tc>
      </w:tr>
      <w:tr>
        <w:tc>
          <w:tcPr>
            <w:tcW w:type="dxa" w:w="20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color w:val="C44B2B"/>
                <w:sz w:val="18"/>
                <w:szCs w:val="18"/>
              </w:rPr>
              <w:t xml:space="preserve">Enabler</w:t>
            </w:r>
          </w:p>
        </w:tc>
        <w:tc>
          <w:tcPr>
            <w:tcW w:type="dxa" w:w="25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D8, D9</w:t>
            </w:r>
          </w:p>
        </w:tc>
        <w:tc>
          <w:tcPr>
            <w:tcW w:type="dxa" w:w="15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center"/>
            </w:pPr>
            <w:r>
              <w:rPr>
                <w:rFonts w:ascii="Arial" w:cs="Arial" w:eastAsia="Arial" w:hAnsi="Arial"/>
                <w:sz w:val="18"/>
                <w:szCs w:val="18"/>
              </w:rPr>
              <w:t xml:space="preserve">10%, 5%</w:t>
            </w:r>
          </w:p>
        </w:tc>
        <w:tc>
          <w:tcPr>
            <w:tcW w:type="dxa" w:w="1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center"/>
            </w:pPr>
            <w:r>
              <w:rPr>
                <w:rFonts w:ascii="Arial" w:cs="Arial" w:eastAsia="Arial" w:hAnsi="Arial"/>
                <w:b/>
                <w:bCs/>
                <w:sz w:val="20"/>
                <w:szCs w:val="20"/>
              </w:rPr>
              <w:t xml:space="preserve">×0.5</w:t>
            </w:r>
          </w:p>
        </w:tc>
        <w:tc>
          <w:tcPr>
            <w:tcW w:type="dxa" w:w="15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Supporting</w:t>
            </w:r>
          </w:p>
        </w:tc>
      </w:tr>
    </w:tbl>
    <w:p>
      <w:pPr>
        <w:spacing w:after="120"/>
      </w:pPr>
    </w:p>
    <w:p>
      <w:pPr>
        <w:pStyle w:val="Heading2"/>
        <w:spacing w:before="200" w:after="120"/>
      </w:pPr>
      <w:r>
        <w:rPr>
          <w:rFonts w:ascii="Arial" w:cs="Arial" w:eastAsia="Arial" w:hAnsi="Arial"/>
          <w:b/>
          <w:bCs/>
          <w:color w:val="0F2B4C"/>
          <w:sz w:val="24"/>
          <w:szCs w:val="24"/>
        </w:rPr>
        <w:t xml:space="preserve">Maturity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 Range</w:t>
            </w:r>
          </w:p>
        </w:tc>
        <w:tc>
          <w:tcPr>
            <w:tcW w:type="dxa" w:w="22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Maturity Level</w:t>
            </w:r>
          </w:p>
        </w:tc>
        <w:tc>
          <w:tcPr>
            <w:tcW w:type="dxa" w:w="53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0–39%</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8"/>
                <w:szCs w:val="18"/>
              </w:rPr>
              <w:t xml:space="preserve">Fragile</w:t>
            </w:r>
          </w:p>
        </w:tc>
        <w:tc>
          <w:tcPr>
            <w:tcW w:type="dxa" w:w="53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Significant structural constraints requiring urgent attention</w:t>
            </w:r>
          </w:p>
        </w:tc>
      </w:tr>
      <w:tr>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40–59%</w:t>
            </w:r>
          </w:p>
        </w:tc>
        <w:tc>
          <w:tcPr>
            <w:tcW w:type="dxa" w:w="22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8"/>
                <w:szCs w:val="18"/>
              </w:rPr>
              <w:t xml:space="preserve">Emerging</w:t>
            </w:r>
          </w:p>
        </w:tc>
        <w:tc>
          <w:tcPr>
            <w:tcW w:type="dxa" w:w="53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Foundations in place but gaps limiting growth</w:t>
            </w:r>
          </w:p>
        </w:tc>
      </w:tr>
      <w:tr>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60–74%</w:t>
            </w:r>
          </w:p>
        </w:tc>
        <w:tc>
          <w:tcPr>
            <w:tcW w:type="dxa" w:w="22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8"/>
                <w:szCs w:val="18"/>
              </w:rPr>
              <w:t xml:space="preserve">Defined</w:t>
            </w:r>
          </w:p>
        </w:tc>
        <w:tc>
          <w:tcPr>
            <w:tcW w:type="dxa" w:w="53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Clear commercial model with some system gaps</w:t>
            </w:r>
          </w:p>
        </w:tc>
      </w:tr>
      <w:tr>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75–89%</w:t>
            </w:r>
          </w:p>
        </w:tc>
        <w:tc>
          <w:tcPr>
            <w:tcW w:type="dxa" w:w="22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8"/>
                <w:szCs w:val="18"/>
              </w:rPr>
              <w:t xml:space="preserve">Embedded</w:t>
            </w:r>
          </w:p>
        </w:tc>
        <w:tc>
          <w:tcPr>
            <w:tcW w:type="dxa" w:w="53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Strong commercial discipline with targeted scaling opportunities</w:t>
            </w:r>
          </w:p>
        </w:tc>
      </w:tr>
      <w:tr>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90–100%</w:t>
            </w:r>
          </w:p>
        </w:tc>
        <w:tc>
          <w:tcPr>
            <w:tcW w:type="dxa" w:w="22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8"/>
                <w:szCs w:val="18"/>
              </w:rPr>
              <w:t xml:space="preserve">Optimised</w:t>
            </w:r>
          </w:p>
        </w:tc>
        <w:tc>
          <w:tcPr>
            <w:tcW w:type="dxa" w:w="53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8"/>
                <w:szCs w:val="18"/>
              </w:rPr>
              <w:t xml:space="preserve">High commercial maturity with strong scaling readiness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1: Business Model &amp; Revenue Mix</w:t>
            </w:r>
          </w:p>
          <w:p>
            <w:pPr>
              <w:spacing w:before="40"/>
            </w:pPr>
            <w:r>
              <w:rPr>
                <w:rFonts w:ascii="Arial" w:cs="Arial" w:eastAsia="Arial" w:hAnsi="Arial"/>
                <w:color w:val="BBBBBB"/>
                <w:sz w:val="16"/>
                <w:szCs w:val="16"/>
              </w:rPr>
              <w:t xml:space="preserve">Foundation Tier  |  Weight: 15%  |  Multiplier: ×1.5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4F0" w:val="clear"/>
            <w:tcMar>
              <w:top w:type="dxa" w:w="80"/>
              <w:left w:type="dxa" w:w="120"/>
              <w:bottom w:type="dxa" w:w="80"/>
              <w:right w:type="dxa" w:w="120"/>
            </w:tcMar>
          </w:tcPr>
          <w:p>
            <w:pPr>
              <w:spacing w:after="80"/>
              <w:jc w:val="left"/>
            </w:pPr>
            <w:r>
              <w:rPr>
                <w:rFonts w:ascii="Arial" w:cs="Arial" w:eastAsia="Arial" w:hAnsi="Arial"/>
                <w:b/>
                <w:bCs/>
                <w:color w:val="0A6B5A"/>
                <w:sz w:val="18"/>
                <w:szCs w:val="18"/>
              </w:rPr>
              <w:t xml:space="preserve">What It Assesses: </w:t>
            </w:r>
            <w:r>
              <w:rPr>
                <w:rFonts w:ascii="Arial" w:cs="Arial" w:eastAsia="Arial" w:hAnsi="Arial"/>
                <w:sz w:val="18"/>
                <w:szCs w:val="18"/>
              </w:rPr>
              <w:t xml:space="preserve">Income diversification, concentration risk, predictability and forward visibility of revenue.</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Q1.1 — Income split (trading, contracts, grants, other) and greatest risk if lost.</w:t>
            </w:r>
          </w:p>
          <w:p>
            <w:pPr>
              <w:spacing w:after="20"/>
              <w:jc w:val="left"/>
            </w:pPr>
            <w:r>
              <w:rPr>
                <w:rFonts w:ascii="Arial" w:cs="Arial" w:eastAsia="Arial" w:hAnsi="Arial"/>
                <w:i/>
                <w:iCs/>
                <w:color w:val="444444"/>
                <w:sz w:val="16"/>
                <w:szCs w:val="16"/>
              </w:rPr>
              <w:t xml:space="preserve">Q1.2 — Which income streams are recurring/predictable vs one-off/uncertain.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documented income breakdown. Revenue sources unknown or entirely grant-dependent. No visibility of forward income. Organisation cannot articulate where money comes from.</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Basic awareness that trading income exists but no breakdown available. Revenue almost entirely from one source or funder. No forward visibility beyond current month. Concentration risk unrecognised.</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Income breakdown exists but is approximate or outdated. Heavy reliance on 1–2 sources (&gt;70% from top source). Some awareness of concentration risk but no mitigation. Limited recurring income identified.</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Documented income breakdown across 3+ sources with reasonable accuracy. Concentration risk acknowledged and under discussion. Some recurring or contract-based income (20–40%). Forward visibility of 3–6 months for at least one stream.</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Clear, current revenue breakdown with verified data. Diversification across multiple streams; no single source exceeds 50%. Recurring/predictable income ≥40%. Forward pipeline visible 6–12 months. Active plans to reduce concentration.</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Fully diversified revenue model with strong recurring base (≥60%). Concentration risk managed and monitored. 12+ month forward visibility. Revenue mix actively managed as a strategic tool. Growth pathways clearly mapped per stream.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2: Products &amp; Unit Economics</w:t>
            </w:r>
          </w:p>
          <w:p>
            <w:pPr>
              <w:spacing w:before="40"/>
            </w:pPr>
            <w:r>
              <w:rPr>
                <w:rFonts w:ascii="Arial" w:cs="Arial" w:eastAsia="Arial" w:hAnsi="Arial"/>
                <w:color w:val="BBBBBB"/>
                <w:sz w:val="16"/>
                <w:szCs w:val="16"/>
              </w:rPr>
              <w:t xml:space="preserve">Foundation Tier  |  Weight: 15%  |  Multiplier: ×1.5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4F0" w:val="clear"/>
            <w:tcMar>
              <w:top w:type="dxa" w:w="80"/>
              <w:left w:type="dxa" w:w="120"/>
              <w:bottom w:type="dxa" w:w="80"/>
              <w:right w:type="dxa" w:w="120"/>
            </w:tcMar>
          </w:tcPr>
          <w:p>
            <w:pPr>
              <w:spacing w:after="80"/>
              <w:jc w:val="left"/>
            </w:pPr>
            <w:r>
              <w:rPr>
                <w:rFonts w:ascii="Arial" w:cs="Arial" w:eastAsia="Arial" w:hAnsi="Arial"/>
                <w:b/>
                <w:bCs/>
                <w:color w:val="0A6B5A"/>
                <w:sz w:val="18"/>
                <w:szCs w:val="18"/>
              </w:rPr>
              <w:t xml:space="preserve">What It Assesses: </w:t>
            </w:r>
            <w:r>
              <w:rPr>
                <w:rFonts w:ascii="Arial" w:cs="Arial" w:eastAsia="Arial" w:hAnsi="Arial"/>
                <w:sz w:val="18"/>
                <w:szCs w:val="18"/>
              </w:rPr>
              <w:t xml:space="preserve">Pricing logic, cost visibility, margin awareness and portfolio performance.</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Q2.1 — Active products/services listed with pricing method.</w:t>
            </w:r>
          </w:p>
          <w:p>
            <w:pPr>
              <w:spacing w:after="20"/>
              <w:jc w:val="left"/>
            </w:pPr>
            <w:r>
              <w:rPr>
                <w:rFonts w:ascii="Arial" w:cs="Arial" w:eastAsia="Arial" w:hAnsi="Arial"/>
                <w:i/>
                <w:iCs/>
                <w:color w:val="444444"/>
                <w:sz w:val="16"/>
                <w:szCs w:val="16"/>
              </w:rPr>
              <w:t xml:space="preserve">Q2.2 — Which offerings make money, break even, or lose money.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product/service listing. Pricing not documented. No awareness of cost to deliver or margins. Organisation cannot say what it sells or whether it is profitable.</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Products/services exist but are not formally listed or categorised. Pricing is reactive or set by gut feel. No cost-to-deliver data. Margin awareness absent or assumed.</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Basic product/service list exists. Pricing follows one method (e.g. cost-plus or subsidised) without market validation. Approximate awareness of which offerings lose money. No formal margin tracking.</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Products/services documented with pricing rationale for each. At least one pricing method is structured (cost-based, market-based). General understanding of profitable vs loss-making offerings. Some cost data available but not routinely tracked.</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Full portfolio documented with pricing methodology per product/service. Cost-to-deliver tracked for core offerings. Margin data available and reviewed. Scale/fix/stop decisions being made based on evidence. Pricing reviewed periodically.</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Portfolio actively managed with unit economics per offering. Full cost visibility including overheads. Margins tracked and benchmarked. Pricing tested and optimised. Clear portfolio strategy: what to scale, fix, or retire. Evidence of pricing discipline across all channels.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3: Financial Management &amp; Cash</w:t>
            </w:r>
          </w:p>
          <w:p>
            <w:pPr>
              <w:spacing w:before="40"/>
            </w:pPr>
            <w:r>
              <w:rPr>
                <w:rFonts w:ascii="Arial" w:cs="Arial" w:eastAsia="Arial" w:hAnsi="Arial"/>
                <w:color w:val="BBBBBB"/>
                <w:sz w:val="16"/>
                <w:szCs w:val="16"/>
              </w:rPr>
              <w:t xml:space="preserve">Foundation Tier  |  Weight: 15%  |  Multiplier: ×1.5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5F4F0" w:val="clear"/>
            <w:tcMar>
              <w:top w:type="dxa" w:w="80"/>
              <w:left w:type="dxa" w:w="120"/>
              <w:bottom w:type="dxa" w:w="80"/>
              <w:right w:type="dxa" w:w="120"/>
            </w:tcMar>
          </w:tcPr>
          <w:p>
            <w:pPr>
              <w:spacing w:after="80"/>
              <w:jc w:val="left"/>
            </w:pPr>
            <w:r>
              <w:rPr>
                <w:rFonts w:ascii="Arial" w:cs="Arial" w:eastAsia="Arial" w:hAnsi="Arial"/>
                <w:b/>
                <w:bCs/>
                <w:color w:val="0A6B5A"/>
                <w:sz w:val="18"/>
                <w:szCs w:val="18"/>
              </w:rPr>
              <w:t xml:space="preserve">What It Assesses: </w:t>
            </w:r>
            <w:r>
              <w:rPr>
                <w:rFonts w:ascii="Arial" w:cs="Arial" w:eastAsia="Arial" w:hAnsi="Arial"/>
                <w:sz w:val="18"/>
                <w:szCs w:val="18"/>
              </w:rPr>
              <w:t xml:space="preserve">Quality of management accounts, forecasting discipline, cash visibility and runway clarity.</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Q3.1 — Financial tools in use, cashflow tracking, months of runway.</w:t>
            </w:r>
          </w:p>
          <w:p>
            <w:pPr>
              <w:spacing w:after="20"/>
              <w:jc w:val="left"/>
            </w:pPr>
            <w:r>
              <w:rPr>
                <w:rFonts w:ascii="Arial" w:cs="Arial" w:eastAsia="Arial" w:hAnsi="Arial"/>
                <w:i/>
                <w:iCs/>
                <w:color w:val="444444"/>
                <w:sz w:val="16"/>
                <w:szCs w:val="16"/>
              </w:rPr>
              <w:t xml:space="preserve">Q3.2 — Confidence in current financial forecasts.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financial records beyond statutory accounts. No budgets, forecasts or cash tracking. Organisation does not know its financial position. Runway unknown.</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Annual accounts exist but are significantly dated. No management accounts. No cashflow tracking. Budget may exist but is not monitored. Runway unknown or guessed. Financial confidence is low.</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Basic financial tracking in place (e.g. annual budget, bank reconciliation). Cash position known approximately. No formal forecasting. Runway estimated but not monitored. Management accounts absent or irregular.</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Management accounts produced (at least quarterly). Budget in place and broadly monitored. Cashflow tracked monthly. Runway known (3–6 months visibility). Financial confidence moderate. Some forecasting attempted.</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Monthly management accounts with variance reporting. Active cashflow management and 6–12 month forecasting. Runway clearly quantified. Budget monitored with corrective action. Financial data informs decisions. Confidence in forecasts is reasonable.</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Full financial management suite: monthly accounts, rolling forecasts, scenario planning, cash management. 12+ month visibility. Financial data drives strategic decisions. Investment-ready financial reporting. Board receives regular financial dashboard. High forecast confidence.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4: Commercial Strategy &amp; Market Focus</w:t>
            </w:r>
          </w:p>
          <w:p>
            <w:pPr>
              <w:spacing w:before="40"/>
            </w:pPr>
            <w:r>
              <w:rPr>
                <w:rFonts w:ascii="Arial" w:cs="Arial" w:eastAsia="Arial" w:hAnsi="Arial"/>
                <w:color w:val="BBBBBB"/>
                <w:sz w:val="16"/>
                <w:szCs w:val="16"/>
              </w:rPr>
              <w:t xml:space="preserve">Engine Tier  |  Weight: 10%  |  Multiplier: ×1.0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spacing w:after="80"/>
              <w:jc w:val="left"/>
            </w:pPr>
            <w:r>
              <w:rPr>
                <w:rFonts w:ascii="Arial" w:cs="Arial" w:eastAsia="Arial" w:hAnsi="Arial"/>
                <w:b/>
                <w:bCs/>
                <w:color w:val="0F2B4C"/>
                <w:sz w:val="18"/>
                <w:szCs w:val="18"/>
              </w:rPr>
              <w:t xml:space="preserve">What It Assesses: </w:t>
            </w:r>
            <w:r>
              <w:rPr>
                <w:rFonts w:ascii="Arial" w:cs="Arial" w:eastAsia="Arial" w:hAnsi="Arial"/>
                <w:sz w:val="18"/>
                <w:szCs w:val="18"/>
              </w:rPr>
              <w:t xml:space="preserve">Paying customer clarity, strength of value proposition and evidence of repeatable demand.</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Q4.1 — What commercial success looks like in 12 months and 2–3 years.</w:t>
            </w:r>
          </w:p>
          <w:p>
            <w:pPr>
              <w:spacing w:after="20"/>
              <w:jc w:val="left"/>
            </w:pPr>
            <w:r>
              <w:rPr>
                <w:rFonts w:ascii="Arial" w:cs="Arial" w:eastAsia="Arial" w:hAnsi="Arial"/>
                <w:i/>
                <w:iCs/>
                <w:color w:val="444444"/>
                <w:sz w:val="16"/>
                <w:szCs w:val="16"/>
              </w:rPr>
              <w:t xml:space="preserve">Q4.2 — Who pays for product/service and strongest evidence of demand.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commercial strategy articulated. No clarity on who pays or why. No evidence of demand. Organisation cannot describe its market position or target customer.</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Vague sense of market opportunity but no documented strategy. Customer base undefined or entirely opportunistic. Demand assumed rather than evidenced. No 12-month commercial vision.</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Some commercial ambition articulated but not documented as strategy. General awareness of customer segments. Demand based on anecdotal evidence (e.g. interest, enquiries). Limited differentiation from alternatives.</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12-month commercial goals documented. Priority customer segments identified with rationale. Some evidence of demand (paying customers, contracts, or pilots). Value proposition articulated but may not be tested. Basic competitive awareness.</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Clear commercial strategy with 12-month and 2–3 year horizons. Target segments defined with buyer evidence. Repeatable demand demonstrated (recurring customers, pipeline). Value proposition tested and differentiated. Competitive positioning understood.</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Robust commercial strategy with multi-year trajectory. Deep customer insight with validated personas. Strong, evidenced repeatable demand. Clear competitive advantage. Strategy actively reviewed and adapted. Market sizing completed with realistic targets.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5: Go-To-Market &amp; Sales</w:t>
            </w:r>
          </w:p>
          <w:p>
            <w:pPr>
              <w:spacing w:before="40"/>
            </w:pPr>
            <w:r>
              <w:rPr>
                <w:rFonts w:ascii="Arial" w:cs="Arial" w:eastAsia="Arial" w:hAnsi="Arial"/>
                <w:color w:val="BBBBBB"/>
                <w:sz w:val="16"/>
                <w:szCs w:val="16"/>
              </w:rPr>
              <w:t xml:space="preserve">Engine Tier  |  Weight: 10%  |  Multiplier: ×1.0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spacing w:after="80"/>
              <w:jc w:val="left"/>
            </w:pPr>
            <w:r>
              <w:rPr>
                <w:rFonts w:ascii="Arial" w:cs="Arial" w:eastAsia="Arial" w:hAnsi="Arial"/>
                <w:b/>
                <w:bCs/>
                <w:color w:val="0F2B4C"/>
                <w:sz w:val="18"/>
                <w:szCs w:val="18"/>
              </w:rPr>
              <w:t xml:space="preserve">What It Assesses: </w:t>
            </w:r>
            <w:r>
              <w:rPr>
                <w:rFonts w:ascii="Arial" w:cs="Arial" w:eastAsia="Arial" w:hAnsi="Arial"/>
                <w:sz w:val="18"/>
                <w:szCs w:val="18"/>
              </w:rPr>
              <w:t xml:space="preserve">Sales ownership, pipeline visibility, conversion process and systemisation.</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Q5.1 — How customers find, engage, buy; founder-led vs systemised; documented process.</w:t>
            </w:r>
          </w:p>
          <w:p>
            <w:pPr>
              <w:spacing w:after="20"/>
              <w:jc w:val="left"/>
            </w:pPr>
            <w:r>
              <w:rPr>
                <w:rFonts w:ascii="Arial" w:cs="Arial" w:eastAsia="Arial" w:hAnsi="Arial"/>
                <w:i/>
                <w:iCs/>
                <w:color w:val="444444"/>
                <w:sz w:val="16"/>
                <w:szCs w:val="16"/>
              </w:rPr>
              <w:t xml:space="preserve">Q5.2 — Digital channels in use; % revenue from repeat customers.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sales process. No pipeline or conversion tracking. No digital presence beyond basic website. Revenue generation entirely reactive or grant-funded. No repeat customer data.</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Sales happen but are entirely founder-led and undocumented. No pipeline tracking. Digital presence minimal or dormant. Repeat business occurs but is not tracked or actively managed.</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Some sales activity with informal process. Founder-dependent but aware of the limitation. Basic digital channels in use (website, social). No CRM or pipeline system. Repeat customer % unknown or estimated.</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Sales process broadly understood and partially documented. Pipeline exists (even if informal). Some delegation beyond founder. 2–3 digital channels active. Repeat customer % known approximately (e.g. 20–40%). Conversion loosely tracked.</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Documented sales process that others could follow. Pipeline tracked with stages and values. CRM or equivalent in use. Multiple digital channels active and monitored. Repeat customer rate tracked (≥40%). Sales not wholly founder-dependent.</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Systemised sales engine with defined process, pipeline management, and conversion metrics. Sales function operates independently of founder. Digital channels integrated and measured. Repeat business actively managed with retention strategy. Channel strategy in place.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6: Operations &amp; Delivery Capacity</w:t>
            </w:r>
          </w:p>
          <w:p>
            <w:pPr>
              <w:spacing w:before="40"/>
            </w:pPr>
            <w:r>
              <w:rPr>
                <w:rFonts w:ascii="Arial" w:cs="Arial" w:eastAsia="Arial" w:hAnsi="Arial"/>
                <w:color w:val="BBBBBB"/>
                <w:sz w:val="16"/>
                <w:szCs w:val="16"/>
              </w:rPr>
              <w:t xml:space="preserve">Engine Tier  |  Weight: 10%  |  Multiplier: ×1.0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spacing w:after="80"/>
              <w:jc w:val="left"/>
            </w:pPr>
            <w:r>
              <w:rPr>
                <w:rFonts w:ascii="Arial" w:cs="Arial" w:eastAsia="Arial" w:hAnsi="Arial"/>
                <w:b/>
                <w:bCs/>
                <w:color w:val="0F2B4C"/>
                <w:sz w:val="18"/>
                <w:szCs w:val="18"/>
              </w:rPr>
              <w:t xml:space="preserve">What It Assesses: </w:t>
            </w:r>
            <w:r>
              <w:rPr>
                <w:rFonts w:ascii="Arial" w:cs="Arial" w:eastAsia="Arial" w:hAnsi="Arial"/>
                <w:sz w:val="18"/>
                <w:szCs w:val="18"/>
              </w:rPr>
              <w:t xml:space="preserve">Delivery model robustness, bottlenecks, scalability and systemisation.</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Q6.1 — What currently limits ability to deliver more (people, cash, systems, space, compliance).</w:t>
            </w:r>
          </w:p>
          <w:p>
            <w:pPr>
              <w:spacing w:after="20"/>
              <w:jc w:val="left"/>
            </w:pPr>
            <w:r>
              <w:rPr>
                <w:rFonts w:ascii="Arial" w:cs="Arial" w:eastAsia="Arial" w:hAnsi="Arial"/>
                <w:i/>
                <w:iCs/>
                <w:color w:val="444444"/>
                <w:sz w:val="16"/>
                <w:szCs w:val="16"/>
              </w:rPr>
              <w:t xml:space="preserve">Q6.2 — What would stop if CEO stepped away for 3 months; who else can sell, deliver, decide.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defined delivery model. Operations entirely ad hoc. Cannot articulate capacity constraints. Everything depends on one person. No awareness of bottlenecks.</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Delivery happens but is undocumented and reactive. Key-person dependency acknowledged but unaddressed. Bottlenecks exist but are not systematically identified. Operations would collapse if CEO stepped away.</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Delivery model broadly understood internally. Key bottlenecks identified (people, cash, or systems). Significant key-person risk remains. Some awareness of capacity limits. No contingency planning.</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Delivery model documented at a basic level. Bottlenecks identified and being addressed. At least one other person can deliver core service. Some systems in place. Capacity limits quantified approximately. 3-month CEO absence would cause disruption but not collapse.</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Delivery model documented with roles and processes. Key bottlenecks have mitigation plans. Delivery capacity quantified. Team can operate for extended period without CEO. Systems support delivery. Scalability constraints understood.</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Robust delivery infrastructure with documented processes, clear roles, and capacity planning. Operations systematised and scalable. Key-person risk mitigated through delegation and documentation. Delivery independent of any single individual. Growth capacity modelled.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7: Cross-Border Readiness</w:t>
            </w:r>
          </w:p>
          <w:p>
            <w:pPr>
              <w:spacing w:before="40"/>
            </w:pPr>
            <w:r>
              <w:rPr>
                <w:rFonts w:ascii="Arial" w:cs="Arial" w:eastAsia="Arial" w:hAnsi="Arial"/>
                <w:color w:val="BBBBBB"/>
                <w:sz w:val="16"/>
                <w:szCs w:val="16"/>
              </w:rPr>
              <w:t xml:space="preserve">Engine Tier  |  Weight: 10%  |  Multiplier: ×1.0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pPr>
              <w:spacing w:after="80"/>
              <w:jc w:val="left"/>
            </w:pPr>
            <w:r>
              <w:rPr>
                <w:rFonts w:ascii="Arial" w:cs="Arial" w:eastAsia="Arial" w:hAnsi="Arial"/>
                <w:b/>
                <w:bCs/>
                <w:color w:val="0F2B4C"/>
                <w:sz w:val="18"/>
                <w:szCs w:val="18"/>
              </w:rPr>
              <w:t xml:space="preserve">What It Assesses: </w:t>
            </w:r>
            <w:r>
              <w:rPr>
                <w:rFonts w:ascii="Arial" w:cs="Arial" w:eastAsia="Arial" w:hAnsi="Arial"/>
                <w:sz w:val="18"/>
                <w:szCs w:val="18"/>
              </w:rPr>
              <w:t xml:space="preserve">Evidence of cross-border activity, opportunity, partnerships, and barrier awareness (NI ↔ ROI focus).</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Q7.1 — Current cross-border activity, opportunity, and partnerships/pilots explored.</w:t>
            </w:r>
          </w:p>
          <w:p>
            <w:pPr>
              <w:spacing w:after="20"/>
              <w:jc w:val="left"/>
            </w:pPr>
            <w:r>
              <w:rPr>
                <w:rFonts w:ascii="Arial" w:cs="Arial" w:eastAsia="Arial" w:hAnsi="Arial"/>
                <w:i/>
                <w:iCs/>
                <w:color w:val="444444"/>
                <w:sz w:val="16"/>
                <w:szCs w:val="16"/>
              </w:rPr>
              <w:t xml:space="preserve">Q7.2 — Barriers to cross-border trade (regulatory, logistics, market knowledge, pricing).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cross-border activity or awareness. Organisation has not considered selling or delivering outside home jurisdiction. No partnerships or market knowledge.</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Vague interest in cross-border but no activity. No market research or partnerships explored. Barriers not identified. Cross-border is aspiration only with no plan.</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Some cross-border interest with initial exploration (desk research, informal conversations). Barriers broadly identified but not addressed. No active cross-border revenue. May have one-off enquiry or contact.</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Active exploration with some evidence (pilot, partnership discussion, or small revenue). Key barriers identified and at least one is being addressed. Basic understanding of target cross-border market. Some cross-border revenue or contract (&lt;10% of income).</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Established cross-border activity with recurring revenue or active partnerships. Barriers understood and mitigation underway. Target market validated with evidence. Cross-border represents 10–25% of activity. Compliance basics addressed.</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Cross-border is a core part of the business model (&gt;25% of revenue or activity). Markets validated with strong demand evidence. Partnerships active and productive. Regulatory and compliance requirements met. Scaling plan in place for cross-border growth.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8: Leadership &amp; Execution Capacity</w:t>
            </w:r>
          </w:p>
          <w:p>
            <w:pPr>
              <w:spacing w:before="40"/>
            </w:pPr>
            <w:r>
              <w:rPr>
                <w:rFonts w:ascii="Arial" w:cs="Arial" w:eastAsia="Arial" w:hAnsi="Arial"/>
                <w:color w:val="BBBBBB"/>
                <w:sz w:val="16"/>
                <w:szCs w:val="16"/>
              </w:rPr>
              <w:t xml:space="preserve">Enabler Tier  |  Weight: 10%  |  Multiplier: ×0.5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C" w:val="clear"/>
            <w:tcMar>
              <w:top w:type="dxa" w:w="80"/>
              <w:left w:type="dxa" w:w="120"/>
              <w:bottom w:type="dxa" w:w="80"/>
              <w:right w:type="dxa" w:w="120"/>
            </w:tcMar>
          </w:tcPr>
          <w:p>
            <w:pPr>
              <w:spacing w:after="80"/>
              <w:jc w:val="left"/>
            </w:pPr>
            <w:r>
              <w:rPr>
                <w:rFonts w:ascii="Arial" w:cs="Arial" w:eastAsia="Arial" w:hAnsi="Arial"/>
                <w:b/>
                <w:bCs/>
                <w:color w:val="C44B2B"/>
                <w:sz w:val="18"/>
                <w:szCs w:val="18"/>
              </w:rPr>
              <w:t xml:space="preserve">What It Assesses: </w:t>
            </w:r>
            <w:r>
              <w:rPr>
                <w:rFonts w:ascii="Arial" w:cs="Arial" w:eastAsia="Arial" w:hAnsi="Arial"/>
                <w:sz w:val="18"/>
                <w:szCs w:val="18"/>
              </w:rPr>
              <w:t xml:space="preserve">CEO time allocation, commercial delegation, impact evidence, and leadership bandwidth.</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Q8.1 — Where CEO spends most time vs where they should spend more.</w:t>
            </w:r>
          </w:p>
          <w:p>
            <w:pPr>
              <w:spacing w:after="20"/>
              <w:jc w:val="left"/>
            </w:pPr>
            <w:r>
              <w:rPr>
                <w:rFonts w:ascii="Arial" w:cs="Arial" w:eastAsia="Arial" w:hAnsi="Arial"/>
                <w:i/>
                <w:iCs/>
                <w:color w:val="444444"/>
                <w:sz w:val="16"/>
                <w:szCs w:val="16"/>
              </w:rPr>
              <w:t xml:space="preserve">Q8.2 — Evidence of social impact that buyers/funders/investors would accept.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CEO cannot articulate time allocation. No delegation. No impact evidence. Leadership entirely reactive with no capacity for strategic work. Organisation is the CEO.</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CEO aware they are overstretched but no plan to address it. Time consumed by delivery and administration. No impact data. Delegation non-existent or ineffective. No commercial leadership bandwidth.</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CEO can identify where time goes (delivery-heavy, strategy-light). Some awareness of delegation need. Impact evidence anecdotal. Beginning to recognise that leadership bandwidth limits growth.</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CEO actively managing time allocation with intent to shift toward strategy/sales. Some delegation in place (even if limited). Impact data collected in some form. Leadership bandwidth constrained but improving. Can articulate what needs to change.</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CEO spending meaningful time on strategy and commercial activity. Delegation working for core operations. Impact evidence structured and presentable to external audiences. Clear plan to build leadership capacity. Team supports execution.</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CEO operates as commercial leader with strategic focus. Strong delegation across delivery, sales, and operations. Impact evidence robust, data-driven, and investment-ready. Leadership pipeline developing. Organisation not dependent on CEO for day-to-day execution.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2B4C" w:val="clear"/>
            <w:tcMar>
              <w:top w:type="dxa" w:w="120"/>
              <w:left w:type="dxa" w:w="160"/>
              <w:bottom w:type="dxa" w:w="120"/>
              <w:right w:type="dxa" w:w="160"/>
            </w:tcMar>
          </w:tcPr>
          <w:p>
            <w:r>
              <w:rPr>
                <w:rFonts w:ascii="Arial" w:cs="Arial" w:eastAsia="Arial" w:hAnsi="Arial"/>
                <w:b/>
                <w:bCs/>
                <w:color w:val="FFFFFF"/>
                <w:sz w:val="24"/>
                <w:szCs w:val="24"/>
              </w:rPr>
              <w:t xml:space="preserve">Domain 9: Organisational Readiness</w:t>
            </w:r>
          </w:p>
          <w:p>
            <w:pPr>
              <w:spacing w:before="40"/>
            </w:pPr>
            <w:r>
              <w:rPr>
                <w:rFonts w:ascii="Arial" w:cs="Arial" w:eastAsia="Arial" w:hAnsi="Arial"/>
                <w:color w:val="BBBBBB"/>
                <w:sz w:val="16"/>
                <w:szCs w:val="16"/>
              </w:rPr>
              <w:t xml:space="preserve">Enabler Tier  |  Weight: 5%  |  Multiplier: ×0.5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EC" w:val="clear"/>
            <w:tcMar>
              <w:top w:type="dxa" w:w="80"/>
              <w:left w:type="dxa" w:w="120"/>
              <w:bottom w:type="dxa" w:w="80"/>
              <w:right w:type="dxa" w:w="120"/>
            </w:tcMar>
          </w:tcPr>
          <w:p>
            <w:pPr>
              <w:spacing w:after="80"/>
              <w:jc w:val="left"/>
            </w:pPr>
            <w:r>
              <w:rPr>
                <w:rFonts w:ascii="Arial" w:cs="Arial" w:eastAsia="Arial" w:hAnsi="Arial"/>
                <w:b/>
                <w:bCs/>
                <w:color w:val="C44B2B"/>
                <w:sz w:val="18"/>
                <w:szCs w:val="18"/>
              </w:rPr>
              <w:t xml:space="preserve">What It Assesses: </w:t>
            </w:r>
            <w:r>
              <w:rPr>
                <w:rFonts w:ascii="Arial" w:cs="Arial" w:eastAsia="Arial" w:hAnsi="Arial"/>
                <w:sz w:val="18"/>
                <w:szCs w:val="18"/>
              </w:rPr>
              <w:t xml:space="preserve">Governance structure, commercial oversight, risk awareness, systems, and compliance readiness.</w:t>
            </w:r>
          </w:p>
          <w:p>
            <w:pPr>
              <w:spacing w:before="80" w:after="40"/>
              <w:jc w:val="left"/>
            </w:pPr>
            <w:r>
              <w:rPr>
                <w:rFonts w:ascii="Arial" w:cs="Arial" w:eastAsia="Arial" w:hAnsi="Arial"/>
                <w:b/>
                <w:bCs/>
                <w:color w:val="555555"/>
                <w:sz w:val="16"/>
                <w:szCs w:val="16"/>
              </w:rPr>
              <w:t xml:space="preserve">Assessment Questions:</w:t>
            </w:r>
          </w:p>
          <w:p>
            <w:pPr>
              <w:spacing w:after="20"/>
              <w:jc w:val="left"/>
            </w:pPr>
            <w:r>
              <w:rPr>
                <w:rFonts w:ascii="Arial" w:cs="Arial" w:eastAsia="Arial" w:hAnsi="Arial"/>
                <w:i/>
                <w:iCs/>
                <w:color w:val="444444"/>
                <w:sz w:val="16"/>
                <w:szCs w:val="16"/>
              </w:rPr>
              <w:t xml:space="preserve">Q9.1 — Governance structure, review frequency, and who approves major commercial decisions.</w:t>
            </w:r>
          </w:p>
          <w:p>
            <w:pPr>
              <w:spacing w:after="20"/>
              <w:jc w:val="left"/>
            </w:pPr>
            <w:r>
              <w:rPr>
                <w:rFonts w:ascii="Arial" w:cs="Arial" w:eastAsia="Arial" w:hAnsi="Arial"/>
                <w:i/>
                <w:iCs/>
                <w:color w:val="444444"/>
                <w:sz w:val="16"/>
                <w:szCs w:val="16"/>
              </w:rPr>
              <w:t xml:space="preserve">Q9.2 — Top 2–3 commercial risks; regulatory or procurement requirements that could block growth.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Score</w:t>
            </w:r>
          </w:p>
        </w:tc>
        <w:tc>
          <w:tcPr>
            <w:tcW w:type="dxa" w:w="18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68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Anchor Description (Score to Lowest Evidenced Level)</w:t>
            </w:r>
          </w:p>
        </w:tc>
      </w:tr>
      <w:tr>
        <w:tc>
          <w:tcPr>
            <w:tcW w:type="dxa" w:w="7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0</w:t>
            </w:r>
          </w:p>
        </w:tc>
        <w:tc>
          <w:tcPr>
            <w:tcW w:type="dxa" w:w="1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No Evidence</w:t>
            </w:r>
          </w:p>
        </w:tc>
        <w:tc>
          <w:tcPr>
            <w:tcW w:type="dxa" w:w="68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 governance structure. No risk register or awareness. No commercial oversight beyond CEO. No systems for tracking performance. Compliance position unknown.</w:t>
            </w:r>
          </w:p>
        </w:tc>
      </w:tr>
      <w:tr>
        <w:tc>
          <w:tcPr>
            <w:tcW w:type="dxa" w:w="7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center"/>
          </w:tcPr>
          <w:p>
            <w:pPr>
              <w:spacing w:after="80"/>
              <w:jc w:val="center"/>
            </w:pPr>
            <w:r>
              <w:rPr>
                <w:rFonts w:ascii="Arial" w:cs="Arial" w:eastAsia="Arial" w:hAnsi="Arial"/>
                <w:b/>
                <w:bCs/>
                <w:color w:val="C44B2B"/>
                <w:sz w:val="22"/>
                <w:szCs w:val="22"/>
              </w:rPr>
              <w:t xml:space="preserve">1</w:t>
            </w:r>
          </w:p>
        </w:tc>
        <w:tc>
          <w:tcPr>
            <w:tcW w:type="dxa" w:w="180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Minimal Awareness</w:t>
            </w:r>
          </w:p>
        </w:tc>
        <w:tc>
          <w:tcPr>
            <w:tcW w:type="dxa" w:w="6860"/>
            <w:tcBorders>
              <w:top w:val="single" w:color="CCCCCC" w:sz="1"/>
              <w:left w:val="single" w:color="CCCCCC" w:sz="1"/>
              <w:bottom w:val="single" w:color="CCCCCC" w:sz="1"/>
              <w:right w:val="single" w:color="CCCCCC" w:sz="1"/>
            </w:tcBorders>
            <w:shd w:fill="FDF0EC"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Nominal governance (board exists on paper). No regular commercial review. Risks not documented. Systems absent or manual. Compliance requirements not mapped. CEO makes all decisions alone.</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2</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Emerging Structure</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Governance structure exists but commercial oversight is limited. Board meets but does not review commercial performance data. Top risks informally known but not documented. Basic systems in place (spreadsheets). Some compliance awareness.</w:t>
            </w:r>
          </w:p>
        </w:tc>
      </w:tr>
      <w:tr>
        <w:tc>
          <w:tcPr>
            <w:tcW w:type="dxa" w:w="7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center"/>
          </w:tcPr>
          <w:p>
            <w:pPr>
              <w:spacing w:after="80"/>
              <w:jc w:val="center"/>
            </w:pPr>
            <w:r>
              <w:rPr>
                <w:rFonts w:ascii="Arial" w:cs="Arial" w:eastAsia="Arial" w:hAnsi="Arial"/>
                <w:b/>
                <w:bCs/>
                <w:color w:val="B8860B"/>
                <w:sz w:val="22"/>
                <w:szCs w:val="22"/>
              </w:rPr>
              <w:t xml:space="preserve">3</w:t>
            </w:r>
          </w:p>
        </w:tc>
        <w:tc>
          <w:tcPr>
            <w:tcW w:type="dxa" w:w="180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Defined Model</w:t>
            </w:r>
          </w:p>
        </w:tc>
        <w:tc>
          <w:tcPr>
            <w:tcW w:type="dxa" w:w="6860"/>
            <w:tcBorders>
              <w:top w:val="single" w:color="CCCCCC" w:sz="1"/>
              <w:left w:val="single" w:color="CCCCCC" w:sz="1"/>
              <w:bottom w:val="single" w:color="CCCCCC" w:sz="1"/>
              <w:right w:val="single" w:color="CCCCCC" w:sz="1"/>
            </w:tcBorders>
            <w:shd w:fill="FFF8E8"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Board or advisory group meets regularly with some commercial agenda items. Commercial performance reviewed at least quarterly. Top 2–3 risks identified. Basic KPI tracking in place. Key compliance requirements known. Decision-making authority broadly understood.</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4</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Structured &amp; Evidenced</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Active governance with regular commercial oversight. Board challenges and supports commercial strategy. Risk register maintained. KPIs tracked and reviewed. Compliance requirements met. Systems support management information. Decision rights clear.</w:t>
            </w:r>
          </w:p>
        </w:tc>
      </w:tr>
      <w:tr>
        <w:tc>
          <w:tcPr>
            <w:tcW w:type="dxa" w:w="7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center"/>
          </w:tcPr>
          <w:p>
            <w:pPr>
              <w:spacing w:after="80"/>
              <w:jc w:val="center"/>
            </w:pPr>
            <w:r>
              <w:rPr>
                <w:rFonts w:ascii="Arial" w:cs="Arial" w:eastAsia="Arial" w:hAnsi="Arial"/>
                <w:b/>
                <w:bCs/>
                <w:color w:val="0A6B5A"/>
                <w:sz w:val="22"/>
                <w:szCs w:val="22"/>
              </w:rPr>
              <w:t xml:space="preserve">5</w:t>
            </w:r>
          </w:p>
        </w:tc>
        <w:tc>
          <w:tcPr>
            <w:tcW w:type="dxa" w:w="180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b/>
                <w:bCs/>
                <w:sz w:val="17"/>
                <w:szCs w:val="17"/>
              </w:rPr>
              <w:t xml:space="preserve">Optimised &amp; Scalable</w:t>
            </w:r>
          </w:p>
        </w:tc>
        <w:tc>
          <w:tcPr>
            <w:tcW w:type="dxa" w:w="6860"/>
            <w:tcBorders>
              <w:top w:val="single" w:color="CCCCCC" w:sz="1"/>
              <w:left w:val="single" w:color="CCCCCC" w:sz="1"/>
              <w:bottom w:val="single" w:color="CCCCCC" w:sz="1"/>
              <w:right w:val="single" w:color="CCCCCC" w:sz="1"/>
            </w:tcBorders>
            <w:shd w:fill="E5F4F0" w:val="clear"/>
            <w:tcMar>
              <w:top w:type="dxa" w:w="60"/>
              <w:left w:type="dxa" w:w="100"/>
              <w:bottom w:type="dxa" w:w="60"/>
              <w:right w:type="dxa" w:w="100"/>
            </w:tcMar>
            <w:vAlign w:val="top"/>
          </w:tcPr>
          <w:p>
            <w:pPr>
              <w:spacing w:after="80"/>
              <w:jc w:val="left"/>
            </w:pPr>
            <w:r>
              <w:rPr>
                <w:rFonts w:ascii="Arial" w:cs="Arial" w:eastAsia="Arial" w:hAnsi="Arial"/>
                <w:sz w:val="17"/>
                <w:szCs w:val="17"/>
              </w:rPr>
              <w:t xml:space="preserve">Strong governance providing genuine commercial challenge. Board has commercial expertise. Risk actively managed with mitigations. Full management information system. Compliance embedded. Procurement-ready. Succession considered. Data-led decision-making culture.</w:t>
            </w:r>
          </w:p>
        </w:tc>
      </w:tr>
    </w:tbl>
    <w:p>
      <w:r>
        <w:br w:type="page"/>
      </w:r>
    </w:p>
    <w:p>
      <w:pPr>
        <w:pStyle w:val="Heading1"/>
        <w:spacing w:after="200"/>
      </w:pPr>
      <w:r>
        <w:rPr>
          <w:rFonts w:ascii="Arial" w:cs="Arial" w:eastAsia="Arial" w:hAnsi="Arial"/>
          <w:b/>
          <w:bCs/>
          <w:color w:val="0F2B4C"/>
          <w:sz w:val="28"/>
          <w:szCs w:val="28"/>
        </w:rPr>
        <w:t xml:space="preserve">Quick Reference: All Domains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100"/>
        <w:gridCol w:w="600"/>
        <w:gridCol w:w="700"/>
        <w:gridCol w:w="4360"/>
      </w:tblGrid>
      <w:tr>
        <w:tc>
          <w:tcPr>
            <w:tcW w:type="dxa" w:w="4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w:t>
            </w:r>
          </w:p>
        </w:tc>
        <w:tc>
          <w:tcPr>
            <w:tcW w:type="dxa" w:w="11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6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w:t>
            </w:r>
          </w:p>
        </w:tc>
        <w:tc>
          <w:tcPr>
            <w:tcW w:type="dxa" w:w="70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Mult.</w:t>
            </w:r>
          </w:p>
        </w:tc>
        <w:tc>
          <w:tcPr>
            <w:tcW w:type="dxa" w:w="4360"/>
            <w:tcBorders>
              <w:top w:val="single" w:color="CCCCCC" w:sz="1"/>
              <w:left w:val="single" w:color="CCCCCC" w:sz="1"/>
              <w:bottom w:val="single" w:color="CCCCCC" w:sz="1"/>
              <w:right w:val="single" w:color="CCCCCC" w:sz="1"/>
            </w:tcBorders>
            <w:shd w:fill="0F2B4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Question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Business Model &amp; Revenue Mix</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color w:val="0A6B5A"/>
                <w:sz w:val="16"/>
                <w:szCs w:val="16"/>
              </w:rPr>
              <w:t xml:space="preserve">Foundation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Where does revenue come from, and how diversified is it?</w:t>
            </w:r>
          </w:p>
        </w:tc>
      </w:tr>
      <w:tr>
        <w:tc>
          <w:tcPr>
            <w:tcW w:type="dxa" w:w="4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2</w:t>
            </w:r>
          </w:p>
        </w:tc>
        <w:tc>
          <w:tcPr>
            <w:tcW w:type="dxa" w:w="22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Products &amp; Unit Economics</w:t>
            </w:r>
          </w:p>
        </w:tc>
        <w:tc>
          <w:tcPr>
            <w:tcW w:type="dxa" w:w="11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color w:val="0A6B5A"/>
                <w:sz w:val="16"/>
                <w:szCs w:val="16"/>
              </w:rPr>
              <w:t xml:space="preserve">Foundation</w:t>
            </w:r>
          </w:p>
        </w:tc>
        <w:tc>
          <w:tcPr>
            <w:tcW w:type="dxa" w:w="6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15%</w:t>
            </w:r>
          </w:p>
        </w:tc>
        <w:tc>
          <w:tcPr>
            <w:tcW w:type="dxa" w:w="7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×1.5</w:t>
            </w:r>
          </w:p>
        </w:tc>
        <w:tc>
          <w:tcPr>
            <w:tcW w:type="dxa" w:w="436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Do products/services make money at the margins needed?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Financial Management &amp; Cash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color w:val="0A6B5A"/>
                <w:sz w:val="16"/>
                <w:szCs w:val="16"/>
              </w:rPr>
              <w:t xml:space="preserve">Foundation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Does the organisation know its financial position and runway?</w:t>
            </w:r>
          </w:p>
        </w:tc>
      </w:tr>
      <w:tr>
        <w:tc>
          <w:tcPr>
            <w:tcW w:type="dxa" w:w="4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4</w:t>
            </w:r>
          </w:p>
        </w:tc>
        <w:tc>
          <w:tcPr>
            <w:tcW w:type="dxa" w:w="22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Commercial Strategy &amp; Market Focus</w:t>
            </w:r>
          </w:p>
        </w:tc>
        <w:tc>
          <w:tcPr>
            <w:tcW w:type="dxa" w:w="11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color w:val="0F2B4C"/>
                <w:sz w:val="16"/>
                <w:szCs w:val="16"/>
              </w:rPr>
              <w:t xml:space="preserve">Engine</w:t>
            </w:r>
          </w:p>
        </w:tc>
        <w:tc>
          <w:tcPr>
            <w:tcW w:type="dxa" w:w="6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×1.0</w:t>
            </w:r>
          </w:p>
        </w:tc>
        <w:tc>
          <w:tcPr>
            <w:tcW w:type="dxa" w:w="436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Is there a clear commercial strategy with evidenced demand?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Go-To-Market &amp; Sales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color w:val="0F2B4C"/>
                <w:sz w:val="16"/>
                <w:szCs w:val="16"/>
              </w:rPr>
              <w:t xml:space="preserve">Engine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Can the organisation convert interest into income systematically?</w:t>
            </w:r>
          </w:p>
        </w:tc>
      </w:tr>
      <w:tr>
        <w:tc>
          <w:tcPr>
            <w:tcW w:type="dxa" w:w="4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6</w:t>
            </w:r>
          </w:p>
        </w:tc>
        <w:tc>
          <w:tcPr>
            <w:tcW w:type="dxa" w:w="22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Operations &amp; Delivery Capacity</w:t>
            </w:r>
          </w:p>
        </w:tc>
        <w:tc>
          <w:tcPr>
            <w:tcW w:type="dxa" w:w="11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color w:val="0F2B4C"/>
                <w:sz w:val="16"/>
                <w:szCs w:val="16"/>
              </w:rPr>
              <w:t xml:space="preserve">Engine</w:t>
            </w:r>
          </w:p>
        </w:tc>
        <w:tc>
          <w:tcPr>
            <w:tcW w:type="dxa" w:w="6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×1.0</w:t>
            </w:r>
          </w:p>
        </w:tc>
        <w:tc>
          <w:tcPr>
            <w:tcW w:type="dxa" w:w="436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Can the organisation deliver more without breaking?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Cross-Border Readiness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color w:val="0F2B4C"/>
                <w:sz w:val="16"/>
                <w:szCs w:val="16"/>
              </w:rPr>
              <w:t xml:space="preserve">Engine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Is cross-border a real activity or just an aspiration?</w:t>
            </w:r>
          </w:p>
        </w:tc>
      </w:tr>
      <w:tr>
        <w:tc>
          <w:tcPr>
            <w:tcW w:type="dxa" w:w="4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Leadership &amp; Execution Capacity</w:t>
            </w:r>
          </w:p>
        </w:tc>
        <w:tc>
          <w:tcPr>
            <w:tcW w:type="dxa" w:w="11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b/>
                <w:bCs/>
                <w:color w:val="C44B2B"/>
                <w:sz w:val="16"/>
                <w:szCs w:val="16"/>
              </w:rPr>
              <w:t xml:space="preserve">Enabler</w:t>
            </w:r>
          </w:p>
        </w:tc>
        <w:tc>
          <w:tcPr>
            <w:tcW w:type="dxa" w:w="6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10%</w:t>
            </w:r>
          </w:p>
        </w:tc>
        <w:tc>
          <w:tcPr>
            <w:tcW w:type="dxa" w:w="70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×0.5</w:t>
            </w:r>
          </w:p>
        </w:tc>
        <w:tc>
          <w:tcPr>
            <w:tcW w:type="dxa" w:w="4360"/>
            <w:tcBorders>
              <w:top w:val="single" w:color="CCCCCC" w:sz="1"/>
              <w:left w:val="single" w:color="CCCCCC" w:sz="1"/>
              <w:bottom w:val="single" w:color="CCCCCC" w:sz="1"/>
              <w:right w:val="single" w:color="CCCCCC" w:sz="1"/>
            </w:tcBorders>
            <w:shd w:fill="F5F5F3"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Is the CEO leading commercially or trapped in delivery?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sz w:val="16"/>
                <w:szCs w:val="16"/>
              </w:rPr>
              <w:t xml:space="preserve">Organisational Readiness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b/>
                <w:bCs/>
                <w:color w:val="C44B2B"/>
                <w:sz w:val="16"/>
                <w:szCs w:val="16"/>
              </w:rPr>
              <w:t xml:space="preserve">Enabler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sz w:val="16"/>
                <w:szCs w:val="16"/>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center"/>
            </w:pPr>
            <w:r>
              <w:rPr>
                <w:rFonts w:ascii="Arial" w:cs="Arial" w:eastAsia="Arial" w:hAnsi="Arial"/>
                <w:b/>
                <w:bCs/>
                <w:sz w:val="16"/>
                <w:szCs w:val="16"/>
              </w:rPr>
              <w:t xml:space="preserve">×0.5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80"/>
              <w:jc w:val="left"/>
            </w:pPr>
            <w:r>
              <w:rPr>
                <w:rFonts w:ascii="Arial" w:cs="Arial" w:eastAsia="Arial" w:hAnsi="Arial"/>
                <w:i/>
                <w:iCs/>
                <w:sz w:val="16"/>
                <w:szCs w:val="16"/>
              </w:rPr>
              <w:t xml:space="preserve">Does governance, risk management and systems support growth?</w:t>
            </w:r>
          </w:p>
        </w:tc>
      </w:tr>
    </w:tbl>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B4C" w:sz="4" w:space="1"/>
      </w:pBdr>
      <w:jc w:val="right"/>
    </w:pPr>
    <w:r>
      <w:rPr>
        <w:rFonts w:ascii="Arial" w:cs="Arial" w:eastAsia="Arial" w:hAnsi="Arial"/>
        <w:color w:val="999999"/>
        <w:sz w:val="14"/>
        <w:szCs w:val="14"/>
      </w:rPr>
      <w:t xml:space="preserve">InterTradeIreland  |  Built to Scale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B4C" w:sz="4" w:space="1"/>
      </w:pBdr>
    </w:pPr>
    <w:r>
      <w:rPr>
        <w:rFonts w:ascii="Arial" w:cs="Arial" w:eastAsia="Arial" w:hAnsi="Arial"/>
        <w:color w:val="999999"/>
        <w:sz w:val="14"/>
        <w:szCs w:val="14"/>
      </w:rPr>
      <w:t xml:space="preserve">SELECT Programme  |  Scoring Reference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0F2B4C"/>
      <w:sz w:val="28"/>
      <w:szCs w:val="28"/>
    </w:rPr>
  </w:style>
  <w:style w:type="paragraph" w:styleId="Heading2">
    <w:name w:val="Heading 2"/>
    <w:basedOn w:val="Normal"/>
    <w:next w:val="Normal"/>
    <w:qFormat/>
    <w:pPr>
      <w:spacing w:before="180" w:after="120"/>
      <w:outlineLvl w:val="1"/>
    </w:pPr>
    <w:rPr>
      <w:rFonts w:ascii="Arial" w:cs="Arial" w:eastAsia="Arial" w:hAnsi="Arial"/>
      <w:b/>
      <w:bCs/>
      <w:color w:val="0F2B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2026-03-21T12:52:24.631Z</dcterms:created>
  <dcterms:modified xsi:type="dcterms:W3CDTF">2026-03-21T12:52:24.632Z</dcterms:modified>
</cp:coreProperties>
</file>

<file path=docProps/custom.xml><?xml version="1.0" encoding="utf-8"?>
<Properties xmlns="http://schemas.openxmlformats.org/officeDocument/2006/custom-properties" xmlns:vt="http://schemas.openxmlformats.org/officeDocument/2006/docPropsVTypes"/>
</file>