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0"/>
      </w:pPr>
    </w:p>
    <w:p>
      <w:pPr>
        <w:spacing w:before="0" w:after="80"/>
        <w:jc w:val="center"/>
      </w:pPr>
      <w:r>
        <w:rPr>
          <w:rFonts w:ascii="Arial" w:cs="Arial" w:eastAsia="Arial" w:hAnsi="Arial"/>
          <w:b/>
          <w:bCs/>
          <w:i w:val="false"/>
          <w:iCs w:val="false"/>
          <w:color w:val="888888"/>
          <w:sz w:val="16"/>
          <w:szCs w:val="16"/>
        </w:rPr>
        <w:t xml:space="preserve">SELECT · BUILT TO SCALE · INTERTRADEIRELAND</w:t>
      </w:r>
    </w:p>
    <w:p>
      <w:pPr>
        <w:spacing w:before="0" w:after="40"/>
        <w:jc w:val="center"/>
      </w:pPr>
      <w:r>
        <w:rPr>
          <w:rFonts w:ascii="Arial" w:cs="Arial" w:eastAsia="Arial" w:hAnsi="Arial"/>
          <w:b/>
          <w:bCs/>
          <w:i w:val="false"/>
          <w:iCs w:val="false"/>
          <w:color w:val="1A2B4A"/>
          <w:sz w:val="52"/>
          <w:szCs w:val="52"/>
        </w:rPr>
        <w:t xml:space="preserve">Commercial Baseline</w:t>
      </w:r>
    </w:p>
    <w:p>
      <w:pPr>
        <w:spacing w:before="0" w:after="200"/>
        <w:jc w:val="center"/>
      </w:pPr>
      <w:r>
        <w:rPr>
          <w:rFonts w:ascii="Arial" w:cs="Arial" w:eastAsia="Arial" w:hAnsi="Arial"/>
          <w:b/>
          <w:bCs/>
          <w:i w:val="false"/>
          <w:iCs w:val="false"/>
          <w:color w:val="1A2B4A"/>
          <w:sz w:val="52"/>
          <w:szCs w:val="52"/>
        </w:rPr>
        <w:t xml:space="preserve">Assessment Workbook</w:t>
      </w:r>
    </w:p>
    <w:p>
      <w:pPr>
        <w:spacing w:before="0" w:after="80"/>
        <w:jc w:val="center"/>
      </w:pPr>
      <w:r>
        <w:rPr>
          <w:rFonts w:ascii="Arial" w:cs="Arial" w:eastAsia="Arial" w:hAnsi="Arial"/>
          <w:b w:val="false"/>
          <w:bCs w:val="false"/>
          <w:i w:val="false"/>
          <w:iCs w:val="false"/>
          <w:color w:val="555555"/>
          <w:sz w:val="20"/>
          <w:szCs w:val="20"/>
        </w:rPr>
        <w:t xml:space="preserve">CEO &amp; Assessment Team · 2026</w:t>
      </w:r>
    </w:p>
    <w:p>
      <w:pPr>
        <w:spacing w:before="0" w:after="80"/>
        <w:jc w:val="center"/>
      </w:pPr>
      <w:r>
        <w:rPr>
          <w:rFonts w:ascii="Arial" w:cs="Arial" w:eastAsia="Arial" w:hAnsi="Arial"/>
          <w:b w:val="false"/>
          <w:bCs w:val="false"/>
          <w:i/>
          <w:iCs/>
          <w:color w:val="00818A"/>
          <w:sz w:val="18"/>
          <w:szCs w:val="18"/>
        </w:rPr>
        <w:t xml:space="preserve">9 Domains · 18 Questions · Foundation · Engine · Enabler</w:t>
      </w:r>
    </w:p>
    <w:p>
      <w:pPr>
        <w:spacing w:before="60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c>
          <w:tcPr>
            <w:tcW w:type="dxa" w:w="3000"/>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Organisation Name</w:t>
            </w:r>
          </w:p>
        </w:tc>
        <w:tc>
          <w:tcPr>
            <w:tcW w:type="dxa" w:w="69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8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906"/>
      </w:tblGrid>
      <w:tr>
        <w:tc>
          <w:tcPr>
            <w:tcW w:type="dxa" w:w="3000"/>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Lead Assessor</w:t>
            </w:r>
          </w:p>
        </w:tc>
        <w:tc>
          <w:tcPr>
            <w:tcW w:type="dxa" w:w="3000"/>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8"/>
                <w:szCs w:val="18"/>
              </w:rPr>
              <w:t xml:space="preserve">☐ Fiona   ☐ Clodagh</w:t>
            </w:r>
          </w:p>
        </w:tc>
        <w:tc>
          <w:tcPr>
            <w:tcW w:type="dxa" w:w="39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8"/>
                <w:szCs w:val="18"/>
              </w:rPr>
              <w:t xml:space="preserve">Date:</w:t>
            </w:r>
          </w:p>
        </w:tc>
      </w:tr>
    </w:tbl>
    <w:p>
      <w:r>
        <w:br w:type="page"/>
      </w:r>
    </w:p>
    <w:p>
      <w:pPr>
        <w:spacing w:before="400" w:after="200"/>
        <w:jc w:val="center"/>
      </w:pPr>
      <w:r>
        <w:rPr>
          <w:rFonts w:ascii="Arial" w:cs="Arial" w:eastAsia="Arial" w:hAnsi="Arial"/>
          <w:b/>
          <w:bCs/>
          <w:i w:val="false"/>
          <w:iCs w:val="false"/>
          <w:color w:val="1A2B4A"/>
          <w:sz w:val="28"/>
          <w:szCs w:val="28"/>
        </w:rPr>
        <w:t xml:space="preserve">FOR THE CEO</w:t>
      </w:r>
    </w:p>
    <w:p>
      <w:pPr>
        <w:spacing w:before="0" w:after="80"/>
        <w:jc w:val="left"/>
      </w:pPr>
      <w:r>
        <w:rPr>
          <w:rFonts w:ascii="Arial" w:cs="Arial" w:eastAsia="Arial" w:hAnsi="Arial"/>
          <w:b w:val="false"/>
          <w:bCs w:val="false"/>
          <w:i w:val="false"/>
          <w:iCs w:val="false"/>
          <w:color w:val="2C2C2C"/>
          <w:sz w:val="20"/>
          <w:szCs w:val="20"/>
        </w:rPr>
        <w:t xml:space="preserve">Your role in this process is straightforward.</w:t>
      </w:r>
    </w:p>
    <w:p>
      <w:pPr>
        <w:spacing w:before="0" w:after="200"/>
        <w:jc w:val="left"/>
      </w:pPr>
      <w:r>
        <w:rPr>
          <w:rFonts w:ascii="Arial" w:cs="Arial" w:eastAsia="Arial" w:hAnsi="Arial"/>
          <w:b/>
          <w:bCs/>
          <w:i w:val="false"/>
          <w:iCs w:val="false"/>
          <w:color w:val="2C2C2C"/>
          <w:sz w:val="20"/>
          <w:szCs w:val="20"/>
        </w:rPr>
        <w:t xml:space="preserve">Three steps. One solo task. The rest you do with your assessor.</w:t>
      </w:r>
    </w:p>
    <w:p>
      <w:pPr>
        <w:spacing w:before="0" w:after="60"/>
        <w:jc w:val="left"/>
      </w:pPr>
      <w:r>
        <w:rPr>
          <w:rFonts w:ascii="Arial" w:cs="Arial" w:eastAsia="Arial" w:hAnsi="Arial"/>
          <w:b/>
          <w:bCs/>
          <w:i w:val="false"/>
          <w:iCs w:val="false"/>
          <w:color w:val="1A2B4A"/>
          <w:sz w:val="22"/>
          <w:szCs w:val="22"/>
        </w:rPr>
        <w:t xml:space="preserve">What this assessment is</w:t>
      </w:r>
    </w:p>
    <w:p>
      <w:pPr>
        <w:spacing w:before="0" w:after="200"/>
        <w:jc w:val="left"/>
      </w:pPr>
      <w:r>
        <w:rPr>
          <w:rFonts w:ascii="Arial" w:cs="Arial" w:eastAsia="Arial" w:hAnsi="Arial"/>
          <w:b w:val="false"/>
          <w:bCs w:val="false"/>
          <w:i w:val="false"/>
          <w:iCs w:val="false"/>
          <w:color w:val="555555"/>
          <w:sz w:val="18"/>
          <w:szCs w:val="18"/>
        </w:rPr>
        <w:t xml:space="preserve">An honest picture of where your organisation operates commercially today — so that SELECT support can be targeted precisely where it will make the most difference. It is not a test, not scored by you, and not a pass/fail exercise. Your answers feed directly into each programme module.</w:t>
      </w:r>
    </w:p>
    <w:p>
      <w:pPr>
        <w:spacing w:before="0" w:after="60"/>
        <w:jc w:val="left"/>
      </w:pPr>
      <w:r>
        <w:rPr>
          <w:rFonts w:ascii="Arial" w:cs="Arial" w:eastAsia="Arial" w:hAnsi="Arial"/>
          <w:b/>
          <w:bCs/>
          <w:i w:val="false"/>
          <w:iCs w:val="false"/>
          <w:color w:val="1A2B4A"/>
          <w:sz w:val="22"/>
          <w:szCs w:val="22"/>
        </w:rPr>
        <w:t xml:space="preserve">Your three steps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7606"/>
      </w:tblGrid>
      <w:tr>
        <w:tc>
          <w:tcPr>
            <w:tcW w:type="dxa" w:w="5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8"/>
                <w:szCs w:val="18"/>
              </w:rPr>
              <w:t xml:space="preserve">#</w:t>
            </w:r>
          </w:p>
        </w:tc>
        <w:tc>
          <w:tcPr>
            <w:tcW w:type="dxa" w:w="1800"/>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What</w:t>
            </w:r>
          </w:p>
        </w:tc>
        <w:tc>
          <w:tcPr>
            <w:tcW w:type="dxa" w:w="76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What it involves</w:t>
            </w:r>
          </w:p>
        </w:tc>
      </w:tr>
      <w:tr>
        <w:tc>
          <w:tcPr>
            <w:tcW w:type="dxa" w:w="5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22"/>
                <w:szCs w:val="22"/>
              </w:rPr>
              <w:t xml:space="preserve">1</w:t>
            </w:r>
          </w:p>
        </w:tc>
        <w:tc>
          <w:tcPr>
            <w:tcW w:type="dxa" w:w="1800"/>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40"/>
            </w:pPr>
            <w:r>
              <w:rPr>
                <w:rFonts w:ascii="Arial" w:cs="Arial" w:eastAsia="Arial" w:hAnsi="Arial"/>
                <w:b/>
                <w:bCs/>
                <w:i w:val="false"/>
                <w:iCs w:val="false"/>
                <w:color w:val="1A2B4A"/>
                <w:sz w:val="17"/>
                <w:szCs w:val="17"/>
              </w:rPr>
              <w:t xml:space="preserve">Prepare</w:t>
            </w:r>
          </w:p>
          <w:p>
            <w:pPr>
              <w:spacing w:after="40"/>
            </w:pPr>
            <w:r>
              <w:rPr>
                <w:rFonts w:ascii="Arial" w:cs="Arial" w:eastAsia="Arial" w:hAnsi="Arial"/>
                <w:b/>
                <w:bCs/>
                <w:i w:val="false"/>
                <w:iCs w:val="false"/>
                <w:color w:val="1A2B4A"/>
                <w:sz w:val="17"/>
                <w:szCs w:val="17"/>
              </w:rPr>
              <w:t xml:space="preserve">27 April</w:t>
            </w:r>
          </w:p>
          <w:p>
            <w:pPr>
              <w:spacing w:after="40"/>
            </w:pPr>
            <w:r>
              <w:rPr>
                <w:rFonts w:ascii="Arial" w:cs="Arial" w:eastAsia="Arial" w:hAnsi="Arial"/>
                <w:b/>
                <w:bCs/>
                <w:i w:val="false"/>
                <w:iCs w:val="false"/>
                <w:color w:val="1A2B4A"/>
                <w:sz w:val="17"/>
                <w:szCs w:val="17"/>
              </w:rPr>
              <w:t xml:space="preserve">1.5–2 hrs</w:t>
            </w:r>
          </w:p>
        </w:tc>
        <w:tc>
          <w:tcPr>
            <w:tcW w:type="dxa" w:w="76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40"/>
            </w:pPr>
            <w:r>
              <w:rPr>
                <w:rFonts w:ascii="Arial" w:cs="Arial" w:eastAsia="Arial" w:hAnsi="Arial"/>
                <w:b w:val="false"/>
                <w:bCs w:val="false"/>
                <w:i w:val="false"/>
                <w:iCs w:val="false"/>
                <w:color w:val="555555"/>
                <w:sz w:val="17"/>
                <w:szCs w:val="17"/>
              </w:rPr>
              <w:t xml:space="preserve">Complete Section 1: 18 questions covering 9 commercial domains. Work through each honestly, based on how things operate today. Drafts and partial answers are fine.</w:t>
            </w:r>
          </w:p>
          <w:p>
            <w:pPr>
              <w:spacing w:after="40"/>
            </w:pPr>
            <w:r>
              <w:rPr>
                <w:rFonts w:ascii="Arial" w:cs="Arial" w:eastAsia="Arial" w:hAnsi="Arial"/>
                <w:b w:val="false"/>
                <w:bCs w:val="false"/>
                <w:i w:val="false"/>
                <w:iCs w:val="false"/>
                <w:color w:val="555555"/>
                <w:sz w:val="17"/>
                <w:szCs w:val="17"/>
              </w:rPr>
              <w:t xml:space="preserve">Send any supporting documents (accounts, plans, org chart) to Fiona or Clodagh. These allow us to score on evidence rather than self-assessment alone.</w:t>
            </w:r>
          </w:p>
        </w:tc>
      </w:tr>
      <w:tr>
        <w:tc>
          <w:tcPr>
            <w:tcW w:type="dxa" w:w="5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22"/>
                <w:szCs w:val="22"/>
              </w:rPr>
              <w:t xml:space="preserve">2</w:t>
            </w:r>
          </w:p>
        </w:tc>
        <w:tc>
          <w:tcPr>
            <w:tcW w:type="dxa" w:w="1800"/>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40"/>
            </w:pPr>
            <w:r>
              <w:rPr>
                <w:rFonts w:ascii="Arial" w:cs="Arial" w:eastAsia="Arial" w:hAnsi="Arial"/>
                <w:b/>
                <w:bCs/>
                <w:i w:val="false"/>
                <w:iCs w:val="false"/>
                <w:color w:val="1A2B4A"/>
                <w:sz w:val="17"/>
                <w:szCs w:val="17"/>
              </w:rPr>
              <w:t xml:space="preserve">Meet</w:t>
            </w:r>
          </w:p>
          <w:p>
            <w:pPr>
              <w:spacing w:after="40"/>
            </w:pPr>
            <w:r>
              <w:rPr>
                <w:rFonts w:ascii="Arial" w:cs="Arial" w:eastAsia="Arial" w:hAnsi="Arial"/>
                <w:b/>
                <w:bCs/>
                <w:i w:val="false"/>
                <w:iCs w:val="false"/>
                <w:color w:val="1A2B4A"/>
                <w:sz w:val="17"/>
                <w:szCs w:val="17"/>
              </w:rPr>
              <w:t xml:space="preserve">4–18 May</w:t>
            </w:r>
          </w:p>
          <w:p>
            <w:pPr>
              <w:spacing w:after="40"/>
            </w:pPr>
            <w:r>
              <w:rPr>
                <w:rFonts w:ascii="Arial" w:cs="Arial" w:eastAsia="Arial" w:hAnsi="Arial"/>
                <w:b/>
                <w:bCs/>
                <w:i w:val="false"/>
                <w:iCs w:val="false"/>
                <w:color w:val="1A2B4A"/>
                <w:sz w:val="17"/>
                <w:szCs w:val="17"/>
              </w:rPr>
              <w:t xml:space="preserve">2–3 hrs</w:t>
            </w:r>
          </w:p>
        </w:tc>
        <w:tc>
          <w:tcPr>
            <w:tcW w:type="dxa" w:w="76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40"/>
            </w:pPr>
            <w:r>
              <w:rPr>
                <w:rFonts w:ascii="Arial" w:cs="Arial" w:eastAsia="Arial" w:hAnsi="Arial"/>
                <w:b w:val="false"/>
                <w:bCs w:val="false"/>
                <w:i w:val="false"/>
                <w:iCs w:val="false"/>
                <w:color w:val="555555"/>
                <w:sz w:val="17"/>
                <w:szCs w:val="17"/>
              </w:rPr>
              <w:t xml:space="preserve">A 2–3 hour session with your assessor held as one longer meeting or split across two shorter sessions. Your assessor will probe your answers, test assumptions, and explore constraints. Together you will agree a problem statement, commercial goals and SMART objectives. Both parties sign Section 4.</w:t>
            </w:r>
          </w:p>
        </w:tc>
      </w:tr>
      <w:tr>
        <w:tc>
          <w:tcPr>
            <w:tcW w:type="dxa" w:w="5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22"/>
                <w:szCs w:val="22"/>
              </w:rPr>
              <w:t xml:space="preserve">3</w:t>
            </w:r>
          </w:p>
        </w:tc>
        <w:tc>
          <w:tcPr>
            <w:tcW w:type="dxa" w:w="1800"/>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40"/>
            </w:pPr>
            <w:r>
              <w:rPr>
                <w:rFonts w:ascii="Arial" w:cs="Arial" w:eastAsia="Arial" w:hAnsi="Arial"/>
                <w:b/>
                <w:bCs/>
                <w:i w:val="false"/>
                <w:iCs w:val="false"/>
                <w:color w:val="1A2B4A"/>
                <w:sz w:val="17"/>
                <w:szCs w:val="17"/>
              </w:rPr>
              <w:t xml:space="preserve">Receive</w:t>
            </w:r>
          </w:p>
          <w:p>
            <w:pPr>
              <w:spacing w:after="40"/>
            </w:pPr>
            <w:r>
              <w:rPr>
                <w:rFonts w:ascii="Arial" w:cs="Arial" w:eastAsia="Arial" w:hAnsi="Arial"/>
                <w:b/>
                <w:bCs/>
                <w:i w:val="false"/>
                <w:iCs w:val="false"/>
                <w:color w:val="1A2B4A"/>
                <w:sz w:val="17"/>
                <w:szCs w:val="17"/>
              </w:rPr>
              <w:t xml:space="preserve">Within 48 hrs</w:t>
            </w:r>
          </w:p>
        </w:tc>
        <w:tc>
          <w:tcPr>
            <w:tcW w:type="dxa" w:w="76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40"/>
            </w:pPr>
            <w:r>
              <w:rPr>
                <w:rFonts w:ascii="Arial" w:cs="Arial" w:eastAsia="Arial" w:hAnsi="Arial"/>
                <w:b w:val="false"/>
                <w:bCs w:val="false"/>
                <w:i w:val="false"/>
                <w:iCs w:val="false"/>
                <w:color w:val="555555"/>
                <w:sz w:val="17"/>
                <w:szCs w:val="17"/>
              </w:rPr>
              <w:t xml:space="preserve">A short written feedback summary confirming your commercial maturity level, the key constraints identified, your priority focus areas, and your SMART objectives for the programme.</w:t>
            </w:r>
          </w:p>
        </w:tc>
      </w:tr>
    </w:tbl>
    <w:p>
      <w:pPr>
        <w:spacing w:before="20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40"/>
            </w:pPr>
            <w:r>
              <w:rPr>
                <w:rFonts w:ascii="Arial" w:cs="Arial" w:eastAsia="Arial" w:hAnsi="Arial"/>
                <w:b w:val="false"/>
                <w:bCs w:val="false"/>
                <w:i w:val="false"/>
                <w:iCs w:val="false"/>
                <w:color w:val="1A2B4A"/>
                <w:sz w:val="17"/>
                <w:szCs w:val="17"/>
              </w:rPr>
              <w:t xml:space="preserve">One important note</w:t>
            </w:r>
          </w:p>
          <w:p>
            <w:pPr>
              <w:spacing w:after="40"/>
            </w:pPr>
            <w:r>
              <w:rPr>
                <w:rFonts w:ascii="Arial" w:cs="Arial" w:eastAsia="Arial" w:hAnsi="Arial"/>
                <w:b w:val="false"/>
                <w:bCs w:val="false"/>
                <w:i w:val="false"/>
                <w:iCs w:val="false"/>
                <w:color w:val="1A2B4A"/>
                <w:sz w:val="17"/>
                <w:szCs w:val="17"/>
              </w:rPr>
              <w:t xml:space="preserve">Scores are set by the assessors only, based on the evidence you provide. Please do not attempt to self-score or second-guess the rating process — responses that try to anticipate scores rather than describe reality are less useful. The most helpful thing you can do is answer honestly.</w:t>
            </w:r>
          </w:p>
        </w:tc>
      </w:tr>
    </w:tbl>
    <w:p>
      <w:pPr>
        <w:spacing w:before="200" w:after="0"/>
      </w:pPr>
    </w:p>
    <w:p>
      <w:pPr>
        <w:spacing w:before="0" w:after="40"/>
        <w:jc w:val="left"/>
      </w:pPr>
      <w:r>
        <w:rPr>
          <w:rFonts w:ascii="Arial" w:cs="Arial" w:eastAsia="Arial" w:hAnsi="Arial"/>
          <w:b/>
          <w:bCs/>
          <w:i w:val="false"/>
          <w:iCs w:val="false"/>
          <w:color w:val="1A2B4A"/>
          <w:sz w:val="18"/>
          <w:szCs w:val="18"/>
        </w:rPr>
        <w:t xml:space="preserve">Questions? Contact</w:t>
      </w:r>
    </w:p>
    <w:p>
      <w:pPr>
        <w:spacing w:before="0" w:after="20"/>
        <w:jc w:val="left"/>
      </w:pPr>
      <w:r>
        <w:rPr>
          <w:rFonts w:ascii="Arial" w:cs="Arial" w:eastAsia="Arial" w:hAnsi="Arial"/>
          <w:b w:val="false"/>
          <w:bCs w:val="false"/>
          <w:i w:val="false"/>
          <w:iCs w:val="false"/>
          <w:color w:val="555555"/>
          <w:sz w:val="17"/>
          <w:szCs w:val="17"/>
        </w:rPr>
        <w:t xml:space="preserve">Fiona Descoteaux  087 194 7757 · fionadescoteaux@gmail.com</w:t>
      </w:r>
    </w:p>
    <w:p>
      <w:pPr>
        <w:spacing w:before="0" w:after="80"/>
        <w:jc w:val="left"/>
      </w:pPr>
      <w:r>
        <w:rPr>
          <w:rFonts w:ascii="Arial" w:cs="Arial" w:eastAsia="Arial" w:hAnsi="Arial"/>
          <w:b w:val="false"/>
          <w:bCs w:val="false"/>
          <w:i w:val="false"/>
          <w:iCs w:val="false"/>
          <w:color w:val="555555"/>
          <w:sz w:val="17"/>
          <w:szCs w:val="17"/>
        </w:rPr>
        <w:t xml:space="preserve">Dr Clodagh O'Reilly  086 776 6212 · clodagh@socialenterprisesolutions.ie</w:t>
      </w:r>
    </w:p>
    <w:p>
      <w:r>
        <w:br w:type="page"/>
      </w:r>
    </w:p>
    <w:p>
      <w:pPr>
        <w:spacing w:before="200" w:after="60"/>
        <w:jc w:val="center"/>
      </w:pPr>
      <w:r>
        <w:rPr>
          <w:rFonts w:ascii="Arial" w:cs="Arial" w:eastAsia="Arial" w:hAnsi="Arial"/>
          <w:b/>
          <w:bCs/>
          <w:i w:val="false"/>
          <w:iCs w:val="false"/>
          <w:color w:val="1A2B4A"/>
          <w:sz w:val="28"/>
          <w:szCs w:val="28"/>
        </w:rPr>
        <w:t xml:space="preserve">Process Checklist</w:t>
      </w:r>
    </w:p>
    <w:p>
      <w:pPr>
        <w:spacing w:before="0" w:after="200"/>
        <w:jc w:val="center"/>
      </w:pPr>
      <w:r>
        <w:rPr>
          <w:rFonts w:ascii="Arial" w:cs="Arial" w:eastAsia="Arial" w:hAnsi="Arial"/>
          <w:b w:val="false"/>
          <w:bCs w:val="false"/>
          <w:i/>
          <w:iCs/>
          <w:color w:val="555555"/>
          <w:sz w:val="16"/>
          <w:szCs w:val="16"/>
        </w:rPr>
        <w:t xml:space="preserve">One checklist per organisation. Complete in sequence. Assessors only.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200"/>
        <w:gridCol w:w="5606"/>
        <w:gridCol w:w="2000"/>
      </w:tblGrid>
      <w:tr>
        <w:tc>
          <w:tcPr>
            <w:tcW w:type="dxa" w:w="500"/>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w:t>
            </w:r>
          </w:p>
        </w:tc>
        <w:tc>
          <w:tcPr>
            <w:tcW w:type="dxa" w:w="600"/>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Step</w:t>
            </w:r>
          </w:p>
        </w:tc>
        <w:tc>
          <w:tcPr>
            <w:tcW w:type="dxa" w:w="1200"/>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When</w:t>
            </w:r>
          </w:p>
        </w:tc>
        <w:tc>
          <w:tcPr>
            <w:tcW w:type="dxa" w:w="5606"/>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What to do</w:t>
            </w:r>
          </w:p>
        </w:tc>
        <w:tc>
          <w:tcPr>
            <w:tcW w:type="dxa" w:w="2000"/>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Lead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20"/>
                <w:szCs w:val="20"/>
              </w:rPr>
              <w:t xml:space="preserv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bCs/>
                <w:i w:val="false"/>
                <w:iCs w:val="false"/>
                <w:color w:val="2C2C2C"/>
                <w:sz w:val="18"/>
                <w:szCs w:val="18"/>
              </w:rPr>
              <w:t xml:space="preserve">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8"/>
                <w:szCs w:val="18"/>
              </w:rPr>
              <w:t xml:space="preserve">23–27 Apr</w:t>
            </w:r>
          </w:p>
        </w:tc>
        <w:tc>
          <w:tcPr>
            <w:tcW w:type="dxa" w:w="5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6"/>
                <w:szCs w:val="16"/>
              </w:rPr>
              <w:t xml:space="preserve">Issue Section 1 to CEO. Set 27 April return deadline. Book assessment session (2–3 hrs).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6"/>
                <w:szCs w:val="16"/>
              </w:rPr>
              <w:t xml:space="preserve">Assessors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20"/>
                <w:szCs w:val="20"/>
              </w:rPr>
              <w:t xml:space="preserv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bCs/>
                <w:i w:val="false"/>
                <w:iCs w:val="false"/>
                <w:color w:val="2C2C2C"/>
                <w:sz w:val="18"/>
                <w:szCs w:val="18"/>
              </w:rPr>
              <w:t xml:space="preserve">B</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8"/>
                <w:szCs w:val="18"/>
              </w:rPr>
              <w:t xml:space="preserve">28–30 Apr</w:t>
            </w:r>
          </w:p>
        </w:tc>
        <w:tc>
          <w:tcPr>
            <w:tcW w:type="dxa" w:w="5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6"/>
                <w:szCs w:val="16"/>
              </w:rPr>
              <w:t xml:space="preserve">Read CEO submission end-to-end before scoring. Score all 9 domains (0–5) in the Rating Matrix. Score to lowest evidenced level.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6"/>
                <w:szCs w:val="16"/>
              </w:rPr>
              <w:t xml:space="preserve">Assessors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20"/>
                <w:szCs w:val="20"/>
              </w:rPr>
              <w:t xml:space="preserv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bCs/>
                <w:i w:val="false"/>
                <w:iCs w:val="false"/>
                <w:color w:val="2C2C2C"/>
                <w:sz w:val="18"/>
                <w:szCs w:val="18"/>
              </w:rPr>
              <w:t xml:space="preserve">C</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8"/>
                <w:szCs w:val="18"/>
              </w:rPr>
              <w:t xml:space="preserve">30 Apr–3 May</w:t>
            </w:r>
          </w:p>
        </w:tc>
        <w:tc>
          <w:tcPr>
            <w:tcW w:type="dxa" w:w="5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6"/>
                <w:szCs w:val="16"/>
              </w:rPr>
              <w:t xml:space="preserve">Review weakest domains. Prepare probing questions from Section 3. Draft session agenda.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6"/>
                <w:szCs w:val="16"/>
              </w:rPr>
              <w:t xml:space="preserve">Assessors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20"/>
                <w:szCs w:val="20"/>
              </w:rPr>
              <w:t xml:space="preserv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bCs/>
                <w:i w:val="false"/>
                <w:iCs w:val="false"/>
                <w:color w:val="2C2C2C"/>
                <w:sz w:val="18"/>
                <w:szCs w:val="18"/>
              </w:rPr>
              <w:t xml:space="preserv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8"/>
                <w:szCs w:val="18"/>
              </w:rPr>
              <w:t xml:space="preserve">4–18 May</w:t>
            </w:r>
          </w:p>
        </w:tc>
        <w:tc>
          <w:tcPr>
            <w:tcW w:type="dxa" w:w="5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6"/>
                <w:szCs w:val="16"/>
              </w:rPr>
              <w:t xml:space="preserve">Run assessment session. Validate constraints. Together: agree problem statement, goals and SMART objectives. Both parties sign Section 4.</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6"/>
                <w:szCs w:val="16"/>
              </w:rPr>
              <w:t xml:space="preserve">Both</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20"/>
                <w:szCs w:val="20"/>
              </w:rPr>
              <w:t xml:space="preserv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bCs/>
                <w:i w:val="false"/>
                <w:iCs w:val="false"/>
                <w:color w:val="2C2C2C"/>
                <w:sz w:val="18"/>
                <w:szCs w:val="18"/>
              </w:rPr>
              <w:t xml:space="preserve">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8"/>
                <w:szCs w:val="18"/>
              </w:rPr>
              <w:t xml:space="preserve">Within 48 hrs</w:t>
            </w:r>
          </w:p>
        </w:tc>
        <w:tc>
          <w:tcPr>
            <w:tcW w:type="dxa" w:w="5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6"/>
                <w:szCs w:val="16"/>
              </w:rPr>
              <w:t xml:space="preserve">Adjust scores only if new evidence emerged (once only). Confirm overall score and maturity label. Lock baseline.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6"/>
                <w:szCs w:val="16"/>
              </w:rPr>
              <w:t xml:space="preserve">Assessors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20"/>
                <w:szCs w:val="20"/>
              </w:rPr>
              <w:t xml:space="preserv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bCs/>
                <w:i w:val="false"/>
                <w:iCs w:val="false"/>
                <w:color w:val="2C2C2C"/>
                <w:sz w:val="18"/>
                <w:szCs w:val="18"/>
              </w:rPr>
              <w:t xml:space="preserve">F</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8"/>
                <w:szCs w:val="18"/>
              </w:rPr>
              <w:t xml:space="preserve">Within 48 hrs</w:t>
            </w:r>
          </w:p>
        </w:tc>
        <w:tc>
          <w:tcPr>
            <w:tcW w:type="dxa" w:w="5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6"/>
                <w:szCs w:val="16"/>
              </w:rPr>
              <w:t xml:space="preserve">Complete and issue CEO Feedback Template: maturity level, constraints, objectives, focus areas.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6"/>
                <w:szCs w:val="16"/>
              </w:rPr>
              <w:t xml:space="preserve">Assessors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20"/>
                <w:szCs w:val="20"/>
              </w:rPr>
              <w:t xml:space="preserv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bCs/>
                <w:i w:val="false"/>
                <w:iCs w:val="false"/>
                <w:color w:val="2C2C2C"/>
                <w:sz w:val="18"/>
                <w:szCs w:val="18"/>
              </w:rPr>
              <w:t xml:space="preserve">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8"/>
                <w:szCs w:val="18"/>
              </w:rPr>
              <w:t xml:space="preserve">From 19 May</w:t>
            </w:r>
          </w:p>
        </w:tc>
        <w:tc>
          <w:tcPr>
            <w:tcW w:type="dxa" w:w="5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6"/>
                <w:szCs w:val="16"/>
              </w:rPr>
              <w:t xml:space="preserve">Reference locked baseline throughout programme — coaching, mentoring, modules. Do not re-score.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6"/>
                <w:szCs w:val="16"/>
              </w:rPr>
              <w:t xml:space="preserve">Programme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20"/>
                <w:szCs w:val="20"/>
              </w:rPr>
              <w:t xml:space="preserv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bCs/>
                <w:i w:val="false"/>
                <w:iCs w:val="false"/>
                <w:color w:val="2C2C2C"/>
                <w:sz w:val="18"/>
                <w:szCs w:val="18"/>
              </w:rPr>
              <w:t xml:space="preserve">H</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8"/>
                <w:szCs w:val="18"/>
              </w:rPr>
              <w:t xml:space="preserve">December</w:t>
            </w:r>
          </w:p>
        </w:tc>
        <w:tc>
          <w:tcPr>
            <w:tcW w:type="dxa" w:w="56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6"/>
                <w:szCs w:val="16"/>
              </w:rPr>
              <w:t xml:space="preserve">Re-run full assessment using identical 9 domains and scoring anchors. Compare against baseline.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6"/>
                <w:szCs w:val="16"/>
              </w:rPr>
              <w:t xml:space="preserve">Assessors</w:t>
            </w:r>
          </w:p>
        </w:tc>
      </w:tr>
    </w:tbl>
    <w:p>
      <w:r>
        <w:br w:type="page"/>
      </w:r>
    </w:p>
    <w:p>
      <w:pPr>
        <w:spacing w:before="0" w:after="20"/>
        <w:jc w:val="center"/>
      </w:pPr>
      <w:r>
        <w:rPr>
          <w:rFonts w:ascii="Arial" w:cs="Arial" w:eastAsia="Arial" w:hAnsi="Arial"/>
          <w:b w:val="false"/>
          <w:bCs w:val="false"/>
          <w:i w:val="false"/>
          <w:iCs w:val="false"/>
          <w:color w:val="888888"/>
          <w:sz w:val="16"/>
          <w:szCs w:val="16"/>
        </w:rPr>
        <w:t xml:space="preserve">Section 1</w:t>
      </w:r>
    </w:p>
    <w:p>
      <w:pPr>
        <w:spacing w:before="0" w:after="60"/>
        <w:jc w:val="center"/>
      </w:pPr>
      <w:r>
        <w:rPr>
          <w:rFonts w:ascii="Arial" w:cs="Arial" w:eastAsia="Arial" w:hAnsi="Arial"/>
          <w:b/>
          <w:bCs/>
          <w:i w:val="false"/>
          <w:iCs w:val="false"/>
          <w:color w:val="1A2B4A"/>
          <w:sz w:val="32"/>
          <w:szCs w:val="32"/>
        </w:rPr>
        <w:t xml:space="preserve">CEO Pre-Work</w:t>
      </w:r>
    </w:p>
    <w:p>
      <w:pPr>
        <w:spacing w:before="0" w:after="200"/>
        <w:jc w:val="center"/>
      </w:pPr>
      <w:r>
        <w:rPr>
          <w:rFonts w:ascii="Arial" w:cs="Arial" w:eastAsia="Arial" w:hAnsi="Arial"/>
          <w:b w:val="false"/>
          <w:bCs w:val="false"/>
          <w:i/>
          <w:iCs/>
          <w:color w:val="555555"/>
          <w:sz w:val="17"/>
          <w:szCs w:val="17"/>
        </w:rPr>
        <w:t xml:space="preserve">Complete honestly based on how your organisation operates today. There are no right answers. 18 questions, approximately 30–40 minutes.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00"/>
        <w:gridCol w:w="9106"/>
      </w:tblGrid>
      <w:tr>
        <w:tc>
          <w:tcPr>
            <w:tcW w:type="dxa" w:w="800"/>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1</w:t>
            </w:r>
          </w:p>
        </w:tc>
        <w:tc>
          <w:tcPr>
            <w:tcW w:type="dxa" w:w="91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Business Model &amp; Revenue Mix</w:t>
            </w:r>
          </w:p>
        </w:tc>
      </w:tr>
    </w:tbl>
    <w:p>
      <w:pPr>
        <w:spacing w:before="0" w:after="120"/>
        <w:jc w:val="left"/>
      </w:pPr>
      <w:r>
        <w:rPr>
          <w:rFonts w:ascii="Arial" w:cs="Arial" w:eastAsia="Arial" w:hAnsi="Arial"/>
          <w:b w:val="false"/>
          <w:bCs w:val="false"/>
          <w:i/>
          <w:iCs/>
          <w:color w:val="00818A"/>
          <w:sz w:val="16"/>
          <w:szCs w:val="16"/>
        </w:rPr>
        <w:t xml:space="preserve">→ Feeds into M1 (June) and M2 (July) — opportunity sizing and revenue model design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c>
          <w:tcPr>
            <w:tcW w:type="dxa" w:w="7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6"/>
                <w:szCs w:val="16"/>
              </w:rPr>
              <w:t xml:space="preserve">1.1</w:t>
            </w:r>
          </w:p>
        </w:tc>
        <w:tc>
          <w:tcPr>
            <w:tcW w:type="dxa" w:w="92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7"/>
                <w:szCs w:val="17"/>
              </w:rPr>
              <w:t xml:space="preserve">Estimate % of income from: ☐ Trading/sales  ☐ Contracts  ☐ Grants/donations  ☐ Other. Which source, if lost tomorrow, would cause the greatest risk?</w:t>
            </w:r>
          </w:p>
        </w:tc>
      </w:tr>
      <w:tr>
        <w:tc>
          <w:tcPr>
            <w:tcW w:type="dxa" w:w="700"/>
            <w:tcBorders>
              <w:top w:val="none" w:color="FFFFFF" w:sz="0"/>
              <w:left w:val="none" w:color="FFFFFF" w:sz="0"/>
              <w:bottom w:val="none" w:color="FFFFFF" w:sz="0"/>
              <w:right w:val="none" w:color="FFFFFF" w:sz="0"/>
            </w:tcBorders>
          </w:tcPr>
          <w:p/>
        </w:tc>
        <w:tc>
          <w:tcPr>
            <w:tcW w:type="dxa" w:w="92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8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c>
          <w:tcPr>
            <w:tcW w:type="dxa" w:w="7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6"/>
                <w:szCs w:val="16"/>
              </w:rPr>
              <w:t xml:space="preserve">1.2</w:t>
            </w:r>
          </w:p>
        </w:tc>
        <w:tc>
          <w:tcPr>
            <w:tcW w:type="dxa" w:w="92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7"/>
                <w:szCs w:val="17"/>
              </w:rPr>
              <w:t xml:space="preserve">Which income streams are recurring and predictable? Which are one-off or uncertain?</w:t>
            </w:r>
          </w:p>
        </w:tc>
      </w:tr>
      <w:tr>
        <w:tc>
          <w:tcPr>
            <w:tcW w:type="dxa" w:w="700"/>
            <w:tcBorders>
              <w:top w:val="none" w:color="FFFFFF" w:sz="0"/>
              <w:left w:val="none" w:color="FFFFFF" w:sz="0"/>
              <w:bottom w:val="none" w:color="FFFFFF" w:sz="0"/>
              <w:right w:val="none" w:color="FFFFFF" w:sz="0"/>
            </w:tcBorders>
          </w:tcPr>
          <w:p/>
        </w:tc>
        <w:tc>
          <w:tcPr>
            <w:tcW w:type="dxa" w:w="92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20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00"/>
        <w:gridCol w:w="9106"/>
      </w:tblGrid>
      <w:tr>
        <w:tc>
          <w:tcPr>
            <w:tcW w:type="dxa" w:w="800"/>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2</w:t>
            </w:r>
          </w:p>
        </w:tc>
        <w:tc>
          <w:tcPr>
            <w:tcW w:type="dxa" w:w="91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Products &amp; Unit Economics</w:t>
            </w:r>
          </w:p>
        </w:tc>
      </w:tr>
    </w:tbl>
    <w:p>
      <w:pPr>
        <w:spacing w:before="0" w:after="120"/>
        <w:jc w:val="left"/>
      </w:pPr>
      <w:r>
        <w:rPr>
          <w:rFonts w:ascii="Arial" w:cs="Arial" w:eastAsia="Arial" w:hAnsi="Arial"/>
          <w:b w:val="false"/>
          <w:bCs w:val="false"/>
          <w:i/>
          <w:iCs/>
          <w:color w:val="00818A"/>
          <w:sz w:val="16"/>
          <w:szCs w:val="16"/>
        </w:rPr>
        <w:t xml:space="preserve">→ Feeds into M2 (July) and M4 (September) — scale/fix/stop decisions and pricing model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c>
          <w:tcPr>
            <w:tcW w:type="dxa" w:w="7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6"/>
                <w:szCs w:val="16"/>
              </w:rPr>
              <w:t xml:space="preserve">2.1</w:t>
            </w:r>
          </w:p>
        </w:tc>
        <w:tc>
          <w:tcPr>
            <w:tcW w:type="dxa" w:w="92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7"/>
                <w:szCs w:val="17"/>
              </w:rPr>
              <w:t xml:space="preserve">List your active products/services and how prices are set (☐ Cost-based  ☐ Market-based  ☐ Subsidised  ☐ Other).</w:t>
            </w:r>
          </w:p>
        </w:tc>
      </w:tr>
      <w:tr>
        <w:tc>
          <w:tcPr>
            <w:tcW w:type="dxa" w:w="700"/>
            <w:tcBorders>
              <w:top w:val="none" w:color="FFFFFF" w:sz="0"/>
              <w:left w:val="none" w:color="FFFFFF" w:sz="0"/>
              <w:bottom w:val="none" w:color="FFFFFF" w:sz="0"/>
              <w:right w:val="none" w:color="FFFFFF" w:sz="0"/>
            </w:tcBorders>
          </w:tcPr>
          <w:p/>
        </w:tc>
        <w:tc>
          <w:tcPr>
            <w:tcW w:type="dxa" w:w="92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8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c>
          <w:tcPr>
            <w:tcW w:type="dxa" w:w="7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6"/>
                <w:szCs w:val="16"/>
              </w:rPr>
              <w:t xml:space="preserve">2.2</w:t>
            </w:r>
          </w:p>
        </w:tc>
        <w:tc>
          <w:tcPr>
            <w:tcW w:type="dxa" w:w="92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7"/>
                <w:szCs w:val="17"/>
              </w:rPr>
              <w:t xml:space="preserve">Which offerings make money, break even, or lose money? (Estimates are fine.)</w:t>
            </w:r>
          </w:p>
        </w:tc>
      </w:tr>
      <w:tr>
        <w:tc>
          <w:tcPr>
            <w:tcW w:type="dxa" w:w="700"/>
            <w:tcBorders>
              <w:top w:val="none" w:color="FFFFFF" w:sz="0"/>
              <w:left w:val="none" w:color="FFFFFF" w:sz="0"/>
              <w:bottom w:val="none" w:color="FFFFFF" w:sz="0"/>
              <w:right w:val="none" w:color="FFFFFF" w:sz="0"/>
            </w:tcBorders>
          </w:tcPr>
          <w:p/>
        </w:tc>
        <w:tc>
          <w:tcPr>
            <w:tcW w:type="dxa" w:w="92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20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00"/>
        <w:gridCol w:w="9106"/>
      </w:tblGrid>
      <w:tr>
        <w:tc>
          <w:tcPr>
            <w:tcW w:type="dxa" w:w="800"/>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3</w:t>
            </w:r>
          </w:p>
        </w:tc>
        <w:tc>
          <w:tcPr>
            <w:tcW w:type="dxa" w:w="91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Financial Management &amp; Cash</w:t>
            </w:r>
          </w:p>
        </w:tc>
      </w:tr>
    </w:tbl>
    <w:p>
      <w:pPr>
        <w:spacing w:before="0" w:after="120"/>
        <w:jc w:val="left"/>
      </w:pPr>
      <w:r>
        <w:rPr>
          <w:rFonts w:ascii="Arial" w:cs="Arial" w:eastAsia="Arial" w:hAnsi="Arial"/>
          <w:b w:val="false"/>
          <w:bCs w:val="false"/>
          <w:i/>
          <w:iCs/>
          <w:color w:val="00818A"/>
          <w:sz w:val="16"/>
          <w:szCs w:val="16"/>
        </w:rPr>
        <w:t xml:space="preserve">→ Feeds into M4 (September) and M7 (December) — financial model and investment readiness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c>
          <w:tcPr>
            <w:tcW w:type="dxa" w:w="7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6"/>
                <w:szCs w:val="16"/>
              </w:rPr>
              <w:t xml:space="preserve">3.1</w:t>
            </w:r>
          </w:p>
        </w:tc>
        <w:tc>
          <w:tcPr>
            <w:tcW w:type="dxa" w:w="92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7"/>
                <w:szCs w:val="17"/>
              </w:rPr>
              <w:t xml:space="preserve">Which do you currently use? ☐ Annual accounts  ☐ Management accounts  ☐ Budgets  ☐ Forecasts. Do you track cashflow? Approximate months of runway?</w:t>
            </w:r>
          </w:p>
        </w:tc>
      </w:tr>
      <w:tr>
        <w:tc>
          <w:tcPr>
            <w:tcW w:type="dxa" w:w="700"/>
            <w:tcBorders>
              <w:top w:val="none" w:color="FFFFFF" w:sz="0"/>
              <w:left w:val="none" w:color="FFFFFF" w:sz="0"/>
              <w:bottom w:val="none" w:color="FFFFFF" w:sz="0"/>
              <w:right w:val="none" w:color="FFFFFF" w:sz="0"/>
            </w:tcBorders>
          </w:tcPr>
          <w:p/>
        </w:tc>
        <w:tc>
          <w:tcPr>
            <w:tcW w:type="dxa" w:w="92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8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c>
          <w:tcPr>
            <w:tcW w:type="dxa" w:w="7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6"/>
                <w:szCs w:val="16"/>
              </w:rPr>
              <w:t xml:space="preserve">3.2</w:t>
            </w:r>
          </w:p>
        </w:tc>
        <w:tc>
          <w:tcPr>
            <w:tcW w:type="dxa" w:w="92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7"/>
                <w:szCs w:val="17"/>
              </w:rPr>
              <w:t xml:space="preserve">How confident are you in your current financial forecasts? ☐ Low  ☐ Medium  ☐ High</w:t>
            </w:r>
          </w:p>
        </w:tc>
      </w:tr>
      <w:tr>
        <w:tc>
          <w:tcPr>
            <w:tcW w:type="dxa" w:w="700"/>
            <w:tcBorders>
              <w:top w:val="none" w:color="FFFFFF" w:sz="0"/>
              <w:left w:val="none" w:color="FFFFFF" w:sz="0"/>
              <w:bottom w:val="none" w:color="FFFFFF" w:sz="0"/>
              <w:right w:val="none" w:color="FFFFFF" w:sz="0"/>
            </w:tcBorders>
          </w:tcPr>
          <w:p/>
        </w:tc>
        <w:tc>
          <w:tcPr>
            <w:tcW w:type="dxa" w:w="92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200" w:after="0"/>
      </w:pP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00"/>
        <w:gridCol w:w="9106"/>
      </w:tblGrid>
      <w:tr>
        <w:tc>
          <w:tcPr>
            <w:tcW w:type="dxa" w:w="800"/>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4</w:t>
            </w:r>
          </w:p>
        </w:tc>
        <w:tc>
          <w:tcPr>
            <w:tcW w:type="dxa" w:w="91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Commercial Strategy &amp; Market Focus</w:t>
            </w:r>
          </w:p>
        </w:tc>
      </w:tr>
    </w:tbl>
    <w:p>
      <w:pPr>
        <w:spacing w:before="0" w:after="120"/>
        <w:jc w:val="left"/>
      </w:pPr>
      <w:r>
        <w:rPr>
          <w:rFonts w:ascii="Arial" w:cs="Arial" w:eastAsia="Arial" w:hAnsi="Arial"/>
          <w:b w:val="false"/>
          <w:bCs w:val="false"/>
          <w:i/>
          <w:iCs/>
          <w:color w:val="00818A"/>
          <w:sz w:val="16"/>
          <w:szCs w:val="16"/>
        </w:rPr>
        <w:t xml:space="preserve">→ Feeds into M1 (June) and M3 (August) — commercial direction and market validation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c>
          <w:tcPr>
            <w:tcW w:type="dxa" w:w="7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6"/>
                <w:szCs w:val="16"/>
              </w:rPr>
              <w:t xml:space="preserve">4.1</w:t>
            </w:r>
          </w:p>
        </w:tc>
        <w:tc>
          <w:tcPr>
            <w:tcW w:type="dxa" w:w="92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7"/>
                <w:szCs w:val="17"/>
              </w:rPr>
              <w:t xml:space="preserve">What does commercial success look like in 12 months and 2–3 years?</w:t>
            </w:r>
          </w:p>
        </w:tc>
      </w:tr>
      <w:tr>
        <w:tc>
          <w:tcPr>
            <w:tcW w:type="dxa" w:w="700"/>
            <w:tcBorders>
              <w:top w:val="none" w:color="FFFFFF" w:sz="0"/>
              <w:left w:val="none" w:color="FFFFFF" w:sz="0"/>
              <w:bottom w:val="none" w:color="FFFFFF" w:sz="0"/>
              <w:right w:val="none" w:color="FFFFFF" w:sz="0"/>
            </w:tcBorders>
          </w:tcPr>
          <w:p/>
        </w:tc>
        <w:tc>
          <w:tcPr>
            <w:tcW w:type="dxa" w:w="92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8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c>
          <w:tcPr>
            <w:tcW w:type="dxa" w:w="7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6"/>
                <w:szCs w:val="16"/>
              </w:rPr>
              <w:t xml:space="preserve">4.2</w:t>
            </w:r>
          </w:p>
        </w:tc>
        <w:tc>
          <w:tcPr>
            <w:tcW w:type="dxa" w:w="92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7"/>
                <w:szCs w:val="17"/>
              </w:rPr>
              <w:t xml:space="preserve">Who pays for your product or service? What is your strongest evidence of demand? ☐ Paying customers  ☐ Pilots  ☐ Contracts  ☐ Pipeline</w:t>
            </w:r>
          </w:p>
        </w:tc>
      </w:tr>
      <w:tr>
        <w:tc>
          <w:tcPr>
            <w:tcW w:type="dxa" w:w="700"/>
            <w:tcBorders>
              <w:top w:val="none" w:color="FFFFFF" w:sz="0"/>
              <w:left w:val="none" w:color="FFFFFF" w:sz="0"/>
              <w:bottom w:val="none" w:color="FFFFFF" w:sz="0"/>
              <w:right w:val="none" w:color="FFFFFF" w:sz="0"/>
            </w:tcBorders>
          </w:tcPr>
          <w:p/>
        </w:tc>
        <w:tc>
          <w:tcPr>
            <w:tcW w:type="dxa" w:w="92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20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00"/>
        <w:gridCol w:w="9106"/>
      </w:tblGrid>
      <w:tr>
        <w:tc>
          <w:tcPr>
            <w:tcW w:type="dxa" w:w="800"/>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5</w:t>
            </w:r>
          </w:p>
        </w:tc>
        <w:tc>
          <w:tcPr>
            <w:tcW w:type="dxa" w:w="91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Go-To-Market &amp; Sales</w:t>
            </w:r>
          </w:p>
        </w:tc>
      </w:tr>
    </w:tbl>
    <w:p>
      <w:pPr>
        <w:spacing w:before="0" w:after="120"/>
        <w:jc w:val="left"/>
      </w:pPr>
      <w:r>
        <w:rPr>
          <w:rFonts w:ascii="Arial" w:cs="Arial" w:eastAsia="Arial" w:hAnsi="Arial"/>
          <w:b w:val="false"/>
          <w:bCs w:val="false"/>
          <w:i/>
          <w:iCs/>
          <w:color w:val="00818A"/>
          <w:sz w:val="16"/>
          <w:szCs w:val="16"/>
        </w:rPr>
        <w:t xml:space="preserve">→ Feeds into M3 (August) and M6 (November) — sales engine and systemisation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c>
          <w:tcPr>
            <w:tcW w:type="dxa" w:w="7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6"/>
                <w:szCs w:val="16"/>
              </w:rPr>
              <w:t xml:space="preserve">5.1</w:t>
            </w:r>
          </w:p>
        </w:tc>
        <w:tc>
          <w:tcPr>
            <w:tcW w:type="dxa" w:w="92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7"/>
                <w:szCs w:val="17"/>
              </w:rPr>
              <w:t xml:space="preserve">How do customers find, engage with, and buy from you? Who leads sales — founder-led, shared, or systemised? Is there a documented process someone else could follow?</w:t>
            </w:r>
          </w:p>
        </w:tc>
      </w:tr>
      <w:tr>
        <w:tc>
          <w:tcPr>
            <w:tcW w:type="dxa" w:w="700"/>
            <w:tcBorders>
              <w:top w:val="none" w:color="FFFFFF" w:sz="0"/>
              <w:left w:val="none" w:color="FFFFFF" w:sz="0"/>
              <w:bottom w:val="none" w:color="FFFFFF" w:sz="0"/>
              <w:right w:val="none" w:color="FFFFFF" w:sz="0"/>
            </w:tcBorders>
          </w:tcPr>
          <w:p/>
        </w:tc>
        <w:tc>
          <w:tcPr>
            <w:tcW w:type="dxa" w:w="92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8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c>
          <w:tcPr>
            <w:tcW w:type="dxa" w:w="7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6"/>
                <w:szCs w:val="16"/>
              </w:rPr>
              <w:t xml:space="preserve">5.2</w:t>
            </w:r>
          </w:p>
        </w:tc>
        <w:tc>
          <w:tcPr>
            <w:tcW w:type="dxa" w:w="92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7"/>
                <w:szCs w:val="17"/>
              </w:rPr>
              <w:t xml:space="preserve">What digital channels are you using? ☐ Website  ☐ Social media  ☐ Email marketing  ☐ E-commerce  ☐ CRM  ☐ None. What % of revenue comes from repeat customers?</w:t>
            </w:r>
          </w:p>
        </w:tc>
      </w:tr>
      <w:tr>
        <w:tc>
          <w:tcPr>
            <w:tcW w:type="dxa" w:w="700"/>
            <w:tcBorders>
              <w:top w:val="none" w:color="FFFFFF" w:sz="0"/>
              <w:left w:val="none" w:color="FFFFFF" w:sz="0"/>
              <w:bottom w:val="none" w:color="FFFFFF" w:sz="0"/>
              <w:right w:val="none" w:color="FFFFFF" w:sz="0"/>
            </w:tcBorders>
          </w:tcPr>
          <w:p/>
        </w:tc>
        <w:tc>
          <w:tcPr>
            <w:tcW w:type="dxa" w:w="92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20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00"/>
        <w:gridCol w:w="9106"/>
      </w:tblGrid>
      <w:tr>
        <w:tc>
          <w:tcPr>
            <w:tcW w:type="dxa" w:w="800"/>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6</w:t>
            </w:r>
          </w:p>
        </w:tc>
        <w:tc>
          <w:tcPr>
            <w:tcW w:type="dxa" w:w="91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Operations &amp; Delivery Capacity</w:t>
            </w:r>
          </w:p>
        </w:tc>
      </w:tr>
    </w:tbl>
    <w:p>
      <w:pPr>
        <w:spacing w:before="0" w:after="120"/>
        <w:jc w:val="left"/>
      </w:pPr>
      <w:r>
        <w:rPr>
          <w:rFonts w:ascii="Arial" w:cs="Arial" w:eastAsia="Arial" w:hAnsi="Arial"/>
          <w:b w:val="false"/>
          <w:bCs w:val="false"/>
          <w:i/>
          <w:iCs/>
          <w:color w:val="00818A"/>
          <w:sz w:val="16"/>
          <w:szCs w:val="16"/>
        </w:rPr>
        <w:t xml:space="preserve">→ Feeds into M5 (October) and M6 (November) — operational change and scaling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c>
          <w:tcPr>
            <w:tcW w:type="dxa" w:w="7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6"/>
                <w:szCs w:val="16"/>
              </w:rPr>
              <w:t xml:space="preserve">6.1</w:t>
            </w:r>
          </w:p>
        </w:tc>
        <w:tc>
          <w:tcPr>
            <w:tcW w:type="dxa" w:w="92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7"/>
                <w:szCs w:val="17"/>
              </w:rPr>
              <w:t xml:space="preserve">What currently limits your ability to deliver more? ☐ People  ☐ Cash  ☐ Systems  ☐ Space  ☐ Other</w:t>
            </w:r>
          </w:p>
        </w:tc>
      </w:tr>
      <w:tr>
        <w:tc>
          <w:tcPr>
            <w:tcW w:type="dxa" w:w="700"/>
            <w:tcBorders>
              <w:top w:val="none" w:color="FFFFFF" w:sz="0"/>
              <w:left w:val="none" w:color="FFFFFF" w:sz="0"/>
              <w:bottom w:val="none" w:color="FFFFFF" w:sz="0"/>
              <w:right w:val="none" w:color="FFFFFF" w:sz="0"/>
            </w:tcBorders>
          </w:tcPr>
          <w:p/>
        </w:tc>
        <w:tc>
          <w:tcPr>
            <w:tcW w:type="dxa" w:w="92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8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c>
          <w:tcPr>
            <w:tcW w:type="dxa" w:w="7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6"/>
                <w:szCs w:val="16"/>
              </w:rPr>
              <w:t xml:space="preserve">6.2</w:t>
            </w:r>
          </w:p>
        </w:tc>
        <w:tc>
          <w:tcPr>
            <w:tcW w:type="dxa" w:w="92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7"/>
                <w:szCs w:val="17"/>
              </w:rPr>
              <w:t xml:space="preserve">If you stepped away for 3 months, what would stop? Who else can sell, deliver, and make commercial decisions?</w:t>
            </w:r>
          </w:p>
        </w:tc>
      </w:tr>
      <w:tr>
        <w:tc>
          <w:tcPr>
            <w:tcW w:type="dxa" w:w="700"/>
            <w:tcBorders>
              <w:top w:val="none" w:color="FFFFFF" w:sz="0"/>
              <w:left w:val="none" w:color="FFFFFF" w:sz="0"/>
              <w:bottom w:val="none" w:color="FFFFFF" w:sz="0"/>
              <w:right w:val="none" w:color="FFFFFF" w:sz="0"/>
            </w:tcBorders>
          </w:tcPr>
          <w:p/>
        </w:tc>
        <w:tc>
          <w:tcPr>
            <w:tcW w:type="dxa" w:w="92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200" w:after="0"/>
      </w:pP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00"/>
        <w:gridCol w:w="9106"/>
      </w:tblGrid>
      <w:tr>
        <w:tc>
          <w:tcPr>
            <w:tcW w:type="dxa" w:w="800"/>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7</w:t>
            </w:r>
          </w:p>
        </w:tc>
        <w:tc>
          <w:tcPr>
            <w:tcW w:type="dxa" w:w="91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Cross-Border Readiness</w:t>
            </w:r>
          </w:p>
        </w:tc>
      </w:tr>
    </w:tbl>
    <w:p>
      <w:pPr>
        <w:spacing w:before="0" w:after="120"/>
        <w:jc w:val="left"/>
      </w:pPr>
      <w:r>
        <w:rPr>
          <w:rFonts w:ascii="Arial" w:cs="Arial" w:eastAsia="Arial" w:hAnsi="Arial"/>
          <w:b w:val="false"/>
          <w:bCs w:val="false"/>
          <w:i/>
          <w:iCs/>
          <w:color w:val="00818A"/>
          <w:sz w:val="16"/>
          <w:szCs w:val="16"/>
        </w:rPr>
        <w:t xml:space="preserve">→ Feeds into M3 (August) and M7 (December) — cross-border channels and compliance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c>
          <w:tcPr>
            <w:tcW w:type="dxa" w:w="7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6"/>
                <w:szCs w:val="16"/>
              </w:rPr>
              <w:t xml:space="preserve">7.1</w:t>
            </w:r>
          </w:p>
        </w:tc>
        <w:tc>
          <w:tcPr>
            <w:tcW w:type="dxa" w:w="92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7"/>
                <w:szCs w:val="17"/>
              </w:rPr>
              <w:t xml:space="preserve">Do you sell or deliver across the border (NI ↔ ROI)? Describe current activity, opportunity, and any partnerships or pilots explored.</w:t>
            </w:r>
          </w:p>
        </w:tc>
      </w:tr>
      <w:tr>
        <w:tc>
          <w:tcPr>
            <w:tcW w:type="dxa" w:w="700"/>
            <w:tcBorders>
              <w:top w:val="none" w:color="FFFFFF" w:sz="0"/>
              <w:left w:val="none" w:color="FFFFFF" w:sz="0"/>
              <w:bottom w:val="none" w:color="FFFFFF" w:sz="0"/>
              <w:right w:val="none" w:color="FFFFFF" w:sz="0"/>
            </w:tcBorders>
          </w:tcPr>
          <w:p/>
        </w:tc>
        <w:tc>
          <w:tcPr>
            <w:tcW w:type="dxa" w:w="92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8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c>
          <w:tcPr>
            <w:tcW w:type="dxa" w:w="7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6"/>
                <w:szCs w:val="16"/>
              </w:rPr>
              <w:t xml:space="preserve">7.2</w:t>
            </w:r>
          </w:p>
        </w:tc>
        <w:tc>
          <w:tcPr>
            <w:tcW w:type="dxa" w:w="92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7"/>
                <w:szCs w:val="17"/>
              </w:rPr>
              <w:t xml:space="preserve">What barriers exist to cross-border trade? ☐ Regulatory  ☐ Logistics  ☐ Market knowledge  ☐ Pricing  ☐ None identified</w:t>
            </w:r>
          </w:p>
        </w:tc>
      </w:tr>
      <w:tr>
        <w:tc>
          <w:tcPr>
            <w:tcW w:type="dxa" w:w="700"/>
            <w:tcBorders>
              <w:top w:val="none" w:color="FFFFFF" w:sz="0"/>
              <w:left w:val="none" w:color="FFFFFF" w:sz="0"/>
              <w:bottom w:val="none" w:color="FFFFFF" w:sz="0"/>
              <w:right w:val="none" w:color="FFFFFF" w:sz="0"/>
            </w:tcBorders>
          </w:tcPr>
          <w:p/>
        </w:tc>
        <w:tc>
          <w:tcPr>
            <w:tcW w:type="dxa" w:w="92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20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00"/>
        <w:gridCol w:w="9106"/>
      </w:tblGrid>
      <w:tr>
        <w:tc>
          <w:tcPr>
            <w:tcW w:type="dxa" w:w="800"/>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8</w:t>
            </w:r>
          </w:p>
        </w:tc>
        <w:tc>
          <w:tcPr>
            <w:tcW w:type="dxa" w:w="91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Leadership &amp; Execution Capacity</w:t>
            </w:r>
          </w:p>
        </w:tc>
      </w:tr>
    </w:tbl>
    <w:p>
      <w:pPr>
        <w:spacing w:before="0" w:after="120"/>
        <w:jc w:val="left"/>
      </w:pPr>
      <w:r>
        <w:rPr>
          <w:rFonts w:ascii="Arial" w:cs="Arial" w:eastAsia="Arial" w:hAnsi="Arial"/>
          <w:b w:val="false"/>
          <w:bCs w:val="false"/>
          <w:i/>
          <w:iCs/>
          <w:color w:val="00818A"/>
          <w:sz w:val="16"/>
          <w:szCs w:val="16"/>
        </w:rPr>
        <w:t xml:space="preserve">→ Feeds into M1 (June), M5 (October) and M7 (December) — commercial ownership, delegation, succession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c>
          <w:tcPr>
            <w:tcW w:type="dxa" w:w="7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6"/>
                <w:szCs w:val="16"/>
              </w:rPr>
              <w:t xml:space="preserve">8.1</w:t>
            </w:r>
          </w:p>
        </w:tc>
        <w:tc>
          <w:tcPr>
            <w:tcW w:type="dxa" w:w="92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7"/>
                <w:szCs w:val="17"/>
              </w:rPr>
              <w:t xml:space="preserve">Where do you spend most of your time? ☐ Delivery  ☐ Sales  ☐ Strategy  ☐ Admin  ☐ Fundraising  ☐ Other. Where should you be spending more?</w:t>
            </w:r>
          </w:p>
        </w:tc>
      </w:tr>
      <w:tr>
        <w:tc>
          <w:tcPr>
            <w:tcW w:type="dxa" w:w="700"/>
            <w:tcBorders>
              <w:top w:val="none" w:color="FFFFFF" w:sz="0"/>
              <w:left w:val="none" w:color="FFFFFF" w:sz="0"/>
              <w:bottom w:val="none" w:color="FFFFFF" w:sz="0"/>
              <w:right w:val="none" w:color="FFFFFF" w:sz="0"/>
            </w:tcBorders>
          </w:tcPr>
          <w:p/>
        </w:tc>
        <w:tc>
          <w:tcPr>
            <w:tcW w:type="dxa" w:w="92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8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c>
          <w:tcPr>
            <w:tcW w:type="dxa" w:w="7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6"/>
                <w:szCs w:val="16"/>
              </w:rPr>
              <w:t xml:space="preserve">8.2</w:t>
            </w:r>
          </w:p>
        </w:tc>
        <w:tc>
          <w:tcPr>
            <w:tcW w:type="dxa" w:w="92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7"/>
                <w:szCs w:val="17"/>
              </w:rPr>
              <w:t xml:space="preserve">Can you evidence the social impact your trading funds? Do you have data that buyers, funders or investors would accept?</w:t>
            </w:r>
          </w:p>
        </w:tc>
      </w:tr>
      <w:tr>
        <w:tc>
          <w:tcPr>
            <w:tcW w:type="dxa" w:w="700"/>
            <w:tcBorders>
              <w:top w:val="none" w:color="FFFFFF" w:sz="0"/>
              <w:left w:val="none" w:color="FFFFFF" w:sz="0"/>
              <w:bottom w:val="none" w:color="FFFFFF" w:sz="0"/>
              <w:right w:val="none" w:color="FFFFFF" w:sz="0"/>
            </w:tcBorders>
          </w:tcPr>
          <w:p/>
        </w:tc>
        <w:tc>
          <w:tcPr>
            <w:tcW w:type="dxa" w:w="92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20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00"/>
        <w:gridCol w:w="9106"/>
      </w:tblGrid>
      <w:tr>
        <w:tc>
          <w:tcPr>
            <w:tcW w:type="dxa" w:w="800"/>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9</w:t>
            </w:r>
          </w:p>
        </w:tc>
        <w:tc>
          <w:tcPr>
            <w:tcW w:type="dxa" w:w="91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Organisational Readiness</w:t>
            </w:r>
          </w:p>
        </w:tc>
      </w:tr>
    </w:tbl>
    <w:p>
      <w:pPr>
        <w:spacing w:before="0" w:after="120"/>
        <w:jc w:val="left"/>
      </w:pPr>
      <w:r>
        <w:rPr>
          <w:rFonts w:ascii="Arial" w:cs="Arial" w:eastAsia="Arial" w:hAnsi="Arial"/>
          <w:b w:val="false"/>
          <w:bCs w:val="false"/>
          <w:i/>
          <w:iCs/>
          <w:color w:val="00818A"/>
          <w:sz w:val="16"/>
          <w:szCs w:val="16"/>
        </w:rPr>
        <w:t xml:space="preserve">→ Feeds into M5 (October), M6 (November) and M7 (December) — governance, systems, investment readiness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c>
          <w:tcPr>
            <w:tcW w:type="dxa" w:w="7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6"/>
                <w:szCs w:val="16"/>
              </w:rPr>
              <w:t xml:space="preserve">9.1</w:t>
            </w:r>
          </w:p>
        </w:tc>
        <w:tc>
          <w:tcPr>
            <w:tcW w:type="dxa" w:w="92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7"/>
                <w:szCs w:val="17"/>
              </w:rPr>
              <w:t xml:space="preserve">Governance structure: ☐ Full board  ☐ Advisory group  ☐ No formal governance. How often is commercial performance reviewed? Who approves major commercial decisions?</w:t>
            </w:r>
          </w:p>
        </w:tc>
      </w:tr>
      <w:tr>
        <w:tc>
          <w:tcPr>
            <w:tcW w:type="dxa" w:w="700"/>
            <w:tcBorders>
              <w:top w:val="none" w:color="FFFFFF" w:sz="0"/>
              <w:left w:val="none" w:color="FFFFFF" w:sz="0"/>
              <w:bottom w:val="none" w:color="FFFFFF" w:sz="0"/>
              <w:right w:val="none" w:color="FFFFFF" w:sz="0"/>
            </w:tcBorders>
          </w:tcPr>
          <w:p/>
        </w:tc>
        <w:tc>
          <w:tcPr>
            <w:tcW w:type="dxa" w:w="92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8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c>
          <w:tcPr>
            <w:tcW w:type="dxa" w:w="7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6"/>
                <w:szCs w:val="16"/>
              </w:rPr>
              <w:t xml:space="preserve">9.2</w:t>
            </w:r>
          </w:p>
        </w:tc>
        <w:tc>
          <w:tcPr>
            <w:tcW w:type="dxa" w:w="92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7"/>
                <w:szCs w:val="17"/>
              </w:rPr>
              <w:t xml:space="preserve">What are your top 2–3 commercial risks? Any regulatory or procurement requirements that could block growth or contracts?</w:t>
            </w:r>
          </w:p>
        </w:tc>
      </w:tr>
      <w:tr>
        <w:tc>
          <w:tcPr>
            <w:tcW w:type="dxa" w:w="700"/>
            <w:tcBorders>
              <w:top w:val="none" w:color="FFFFFF" w:sz="0"/>
              <w:left w:val="none" w:color="FFFFFF" w:sz="0"/>
              <w:bottom w:val="none" w:color="FFFFFF" w:sz="0"/>
              <w:right w:val="none" w:color="FFFFFF" w:sz="0"/>
            </w:tcBorders>
          </w:tcPr>
          <w:p/>
        </w:tc>
        <w:tc>
          <w:tcPr>
            <w:tcW w:type="dxa" w:w="92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200" w:after="0"/>
      </w:pPr>
    </w:p>
    <w:p>
      <w:pPr>
        <w:spacing w:before="200" w:after="80"/>
        <w:jc w:val="left"/>
      </w:pPr>
      <w:r>
        <w:rPr>
          <w:rFonts w:ascii="Arial" w:cs="Arial" w:eastAsia="Arial" w:hAnsi="Arial"/>
          <w:b w:val="false"/>
          <w:bCs w:val="false"/>
          <w:i w:val="false"/>
          <w:iCs w:val="false"/>
          <w:color w:val="555555"/>
          <w:sz w:val="17"/>
          <w:szCs w:val="17"/>
        </w:rPr>
        <w:t xml:space="preserve">Return to:  fionadescoteaux@gmail.com  or  clodagh@socialenterprisesolutions.ie  by 27 April. Drafts and partial answers welcome.</w:t>
      </w:r>
    </w:p>
    <w:p>
      <w:r>
        <w:br w:type="page"/>
      </w:r>
    </w:p>
    <w:p>
      <w:pPr>
        <w:spacing w:before="0" w:after="20"/>
        <w:jc w:val="center"/>
      </w:pPr>
      <w:r>
        <w:rPr>
          <w:rFonts w:ascii="Arial" w:cs="Arial" w:eastAsia="Arial" w:hAnsi="Arial"/>
          <w:b w:val="false"/>
          <w:bCs w:val="false"/>
          <w:i w:val="false"/>
          <w:iCs w:val="false"/>
          <w:color w:val="888888"/>
          <w:sz w:val="16"/>
          <w:szCs w:val="16"/>
        </w:rPr>
        <w:t xml:space="preserve">Section 2</w:t>
      </w:r>
    </w:p>
    <w:p>
      <w:pPr>
        <w:spacing w:before="0" w:after="60"/>
        <w:jc w:val="center"/>
      </w:pPr>
      <w:r>
        <w:rPr>
          <w:rFonts w:ascii="Arial" w:cs="Arial" w:eastAsia="Arial" w:hAnsi="Arial"/>
          <w:b/>
          <w:bCs/>
          <w:i w:val="false"/>
          <w:iCs w:val="false"/>
          <w:color w:val="1A2B4A"/>
          <w:sz w:val="32"/>
          <w:szCs w:val="32"/>
        </w:rPr>
        <w:t xml:space="preserve">Rating Matrix</w:t>
      </w:r>
    </w:p>
    <w:p>
      <w:pPr>
        <w:spacing w:before="0" w:after="120"/>
        <w:jc w:val="center"/>
      </w:pPr>
      <w:r>
        <w:rPr>
          <w:rFonts w:ascii="Arial" w:cs="Arial" w:eastAsia="Arial" w:hAnsi="Arial"/>
          <w:b w:val="false"/>
          <w:bCs w:val="false"/>
          <w:i/>
          <w:iCs/>
          <w:color w:val="555555"/>
          <w:sz w:val="17"/>
          <w:szCs w:val="17"/>
        </w:rPr>
        <w:t xml:space="preserve">Assessors only. Use the Scoring Reference Guide alongside this section. Score each domain 0–5. Evidence notes mandatory. Score to lowest fully evidenced level.</w:t>
      </w:r>
    </w:p>
    <w:p>
      <w:pPr>
        <w:spacing w:before="0" w:after="200"/>
        <w:jc w:val="center"/>
      </w:pPr>
      <w:r>
        <w:rPr>
          <w:rFonts w:ascii="Arial" w:cs="Arial" w:eastAsia="Arial" w:hAnsi="Arial"/>
          <w:b w:val="false"/>
          <w:bCs w:val="false"/>
          <w:i/>
          <w:iCs/>
          <w:color w:val="888888"/>
          <w:sz w:val="15"/>
          <w:szCs w:val="15"/>
        </w:rPr>
        <w:t xml:space="preserve">—  Post-validation adjustments permitted once only · document the evidence basis in Section 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c>
          <w:tcPr>
            <w:tcW w:type="dxa" w:w="3302"/>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Foundation  ×1.5</w:t>
            </w:r>
          </w:p>
        </w:tc>
        <w:tc>
          <w:tcPr>
            <w:tcW w:type="dxa" w:w="3302"/>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8"/>
                <w:szCs w:val="18"/>
              </w:rPr>
              <w:t xml:space="preserve">Engine  ×1.0</w:t>
            </w:r>
          </w:p>
        </w:tc>
        <w:tc>
          <w:tcPr>
            <w:tcW w:type="dxa" w:w="3302"/>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Enabler  ×0.5</w:t>
            </w:r>
          </w:p>
        </w:tc>
      </w:tr>
      <w:tr>
        <w:tc>
          <w:tcPr>
            <w:tcW w:type="dxa" w:w="3302"/>
            <w:tcBorders>
              <w:top w:val="single" w:color="CCCCCC" w:sz="1"/>
              <w:left w:val="single" w:color="CCCCCC" w:sz="1"/>
              <w:bottom w:val="single" w:color="CCCCCC" w:sz="1"/>
              <w:right w:val="single" w:color="CCCCCC" w:sz="1"/>
            </w:tcBorders>
            <w:shd w:fill="EEF8F8"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8"/>
                <w:szCs w:val="18"/>
              </w:rPr>
              <w:t xml:space="preserve">Domains 1, 2, 3</w:t>
            </w:r>
          </w:p>
        </w:tc>
        <w:tc>
          <w:tcPr>
            <w:tcW w:type="dxa" w:w="3302"/>
            <w:tcBorders>
              <w:top w:val="single" w:color="CCCCCC" w:sz="1"/>
              <w:left w:val="single" w:color="CCCCCC" w:sz="1"/>
              <w:bottom w:val="single" w:color="CCCCCC" w:sz="1"/>
              <w:right w:val="single" w:color="CCCCCC" w:sz="1"/>
            </w:tcBorders>
            <w:shd w:fill="EEF8F8"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8"/>
                <w:szCs w:val="18"/>
              </w:rPr>
              <w:t xml:space="preserve">Domains 4, 5, 6, 7</w:t>
            </w:r>
          </w:p>
        </w:tc>
        <w:tc>
          <w:tcPr>
            <w:tcW w:type="dxa" w:w="3302"/>
            <w:tcBorders>
              <w:top w:val="single" w:color="CCCCCC" w:sz="1"/>
              <w:left w:val="single" w:color="CCCCCC" w:sz="1"/>
              <w:bottom w:val="single" w:color="CCCCCC" w:sz="1"/>
              <w:right w:val="single" w:color="CCCCCC" w:sz="1"/>
            </w:tcBorders>
            <w:shd w:fill="EEF8F8"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8"/>
                <w:szCs w:val="18"/>
              </w:rPr>
              <w:t xml:space="preserve">Domains 8, 9</w:t>
            </w:r>
          </w:p>
        </w:tc>
      </w:tr>
    </w:tbl>
    <w:p>
      <w:pPr>
        <w:spacing w:before="12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7"/>
        <w:gridCol w:w="2477"/>
        <w:gridCol w:w="2476"/>
      </w:tblGrid>
      <w:tr>
        <w:tc>
          <w:tcPr>
            <w:tcW w:type="dxa" w:w="247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Organisation</w:t>
            </w:r>
          </w:p>
        </w:tc>
        <w:tc>
          <w:tcPr>
            <w:tcW w:type="dxa" w:w="2477"/>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CEO</w:t>
            </w:r>
          </w:p>
        </w:tc>
        <w:tc>
          <w:tcPr>
            <w:tcW w:type="dxa" w:w="2477"/>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Scored by</w:t>
            </w:r>
          </w:p>
        </w:tc>
        <w:tc>
          <w:tcPr>
            <w:tcW w:type="dxa" w:w="247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Date</w:t>
            </w:r>
          </w:p>
        </w:tc>
      </w:tr>
    </w:tbl>
    <w:p>
      <w:pPr>
        <w:spacing w:before="60" w:after="0"/>
      </w:pPr>
    </w:p>
    <w:p>
      <w:pPr>
        <w:spacing w:before="0" w:after="80"/>
        <w:jc w:val="left"/>
      </w:pPr>
      <w:r>
        <w:rPr>
          <w:rFonts w:ascii="Arial" w:cs="Arial" w:eastAsia="Arial" w:hAnsi="Arial"/>
          <w:b w:val="false"/>
          <w:bCs w:val="false"/>
          <w:i/>
          <w:iCs/>
          <w:color w:val="888888"/>
          <w:sz w:val="15"/>
          <w:szCs w:val="15"/>
        </w:rPr>
        <w:t xml:space="preserve">—  One integer (0–5) per domain · no half-scores · score to lowest fully evidenced level · evidence notes mandatory</w:t>
      </w:r>
    </w:p>
    <w:p>
      <w:pPr>
        <w:spacing w:before="120" w:after="60"/>
        <w:jc w:val="left"/>
      </w:pPr>
      <w:r>
        <w:rPr>
          <w:rFonts w:ascii="Arial" w:cs="Arial" w:eastAsia="Arial" w:hAnsi="Arial"/>
          <w:b/>
          <w:bCs/>
          <w:i w:val="false"/>
          <w:iCs w:val="false"/>
          <w:color w:val="1A2B4A"/>
          <w:sz w:val="20"/>
          <w:szCs w:val="20"/>
        </w:rPr>
        <w:t xml:space="preserve">1st Review</w:t>
      </w:r>
    </w:p>
    <w:p>
      <w:pPr>
        <w:spacing w:before="0" w:after="60"/>
        <w:jc w:val="left"/>
      </w:pPr>
      <w:r>
        <w:rPr>
          <w:rFonts w:ascii="Arial" w:cs="Arial" w:eastAsia="Arial" w:hAnsi="Arial"/>
          <w:b w:val="false"/>
          <w:bCs w:val="false"/>
          <w:i/>
          <w:iCs/>
          <w:color w:val="555555"/>
          <w:sz w:val="16"/>
          <w:szCs w:val="16"/>
        </w:rPr>
        <w:t xml:space="preserve">Complete after reading the CEO Pre-Work end-to-end. One score per domain. Evidence notes mandatory.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1600"/>
        <w:gridCol w:w="1200"/>
        <w:gridCol w:w="2806"/>
      </w:tblGrid>
      <w:tr>
        <w:tc>
          <w:tcPr>
            <w:tcW w:type="dxa" w:w="500"/>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w:t>
            </w:r>
          </w:p>
        </w:tc>
        <w:tc>
          <w:tcPr>
            <w:tcW w:type="dxa" w:w="3800"/>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Domain</w:t>
            </w:r>
          </w:p>
        </w:tc>
        <w:tc>
          <w:tcPr>
            <w:tcW w:type="dxa" w:w="1600"/>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Tier</w:t>
            </w:r>
          </w:p>
        </w:tc>
        <w:tc>
          <w:tcPr>
            <w:tcW w:type="dxa" w:w="1200"/>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Score 0–5</w:t>
            </w:r>
          </w:p>
        </w:tc>
        <w:tc>
          <w:tcPr>
            <w:tcW w:type="dxa" w:w="2806"/>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Key Evidence / Notes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1</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bCs/>
                <w:i w:val="false"/>
                <w:iCs w:val="false"/>
                <w:color w:val="2C2C2C"/>
                <w:sz w:val="18"/>
                <w:szCs w:val="18"/>
              </w:rPr>
              <w:t xml:space="preserve">Business Model &amp; Revenue Mix</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iCs/>
                <w:color w:val="555555"/>
                <w:sz w:val="18"/>
                <w:szCs w:val="18"/>
              </w:rPr>
              <w:t xml:space="preserve">Foundation</w:t>
            </w:r>
          </w:p>
        </w:tc>
        <w:tc>
          <w:tcPr>
            <w:tcW w:type="dxa" w:w="1200"/>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c>
          <w:tcPr>
            <w:tcW w:type="dxa" w:w="28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2</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bCs/>
                <w:i w:val="false"/>
                <w:iCs w:val="false"/>
                <w:color w:val="2C2C2C"/>
                <w:sz w:val="18"/>
                <w:szCs w:val="18"/>
              </w:rPr>
              <w:t xml:space="preserve">Products &amp; Unit Economics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iCs/>
                <w:color w:val="555555"/>
                <w:sz w:val="18"/>
                <w:szCs w:val="18"/>
              </w:rPr>
              <w:t xml:space="preserve">Foundation</w:t>
            </w:r>
          </w:p>
        </w:tc>
        <w:tc>
          <w:tcPr>
            <w:tcW w:type="dxa" w:w="1200"/>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c>
          <w:tcPr>
            <w:tcW w:type="dxa" w:w="28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3</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bCs/>
                <w:i w:val="false"/>
                <w:iCs w:val="false"/>
                <w:color w:val="2C2C2C"/>
                <w:sz w:val="18"/>
                <w:szCs w:val="18"/>
              </w:rPr>
              <w:t xml:space="preserve">Financial Management &amp; Cash</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iCs/>
                <w:color w:val="555555"/>
                <w:sz w:val="18"/>
                <w:szCs w:val="18"/>
              </w:rPr>
              <w:t xml:space="preserve">Foundation</w:t>
            </w:r>
          </w:p>
        </w:tc>
        <w:tc>
          <w:tcPr>
            <w:tcW w:type="dxa" w:w="1200"/>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c>
          <w:tcPr>
            <w:tcW w:type="dxa" w:w="28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4</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bCs/>
                <w:i w:val="false"/>
                <w:iCs w:val="false"/>
                <w:color w:val="2C2C2C"/>
                <w:sz w:val="18"/>
                <w:szCs w:val="18"/>
              </w:rPr>
              <w:t xml:space="preserve">Commercial Strategy &amp; Market Focus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iCs/>
                <w:color w:val="555555"/>
                <w:sz w:val="18"/>
                <w:szCs w:val="18"/>
              </w:rPr>
              <w:t xml:space="preserve">Engine</w:t>
            </w:r>
          </w:p>
        </w:tc>
        <w:tc>
          <w:tcPr>
            <w:tcW w:type="dxa" w:w="1200"/>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c>
          <w:tcPr>
            <w:tcW w:type="dxa" w:w="28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5</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bCs/>
                <w:i w:val="false"/>
                <w:iCs w:val="false"/>
                <w:color w:val="2C2C2C"/>
                <w:sz w:val="18"/>
                <w:szCs w:val="18"/>
              </w:rPr>
              <w:t xml:space="preserve">Go-To-Market &amp; Sales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iCs/>
                <w:color w:val="555555"/>
                <w:sz w:val="18"/>
                <w:szCs w:val="18"/>
              </w:rPr>
              <w:t xml:space="preserve">Engine</w:t>
            </w:r>
          </w:p>
        </w:tc>
        <w:tc>
          <w:tcPr>
            <w:tcW w:type="dxa" w:w="1200"/>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c>
          <w:tcPr>
            <w:tcW w:type="dxa" w:w="28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6</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bCs/>
                <w:i w:val="false"/>
                <w:iCs w:val="false"/>
                <w:color w:val="2C2C2C"/>
                <w:sz w:val="18"/>
                <w:szCs w:val="18"/>
              </w:rPr>
              <w:t xml:space="preserve">Operations &amp; Delivery Capacity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iCs/>
                <w:color w:val="555555"/>
                <w:sz w:val="18"/>
                <w:szCs w:val="18"/>
              </w:rPr>
              <w:t xml:space="preserve">Engine</w:t>
            </w:r>
          </w:p>
        </w:tc>
        <w:tc>
          <w:tcPr>
            <w:tcW w:type="dxa" w:w="1200"/>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c>
          <w:tcPr>
            <w:tcW w:type="dxa" w:w="28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7</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bCs/>
                <w:i w:val="false"/>
                <w:iCs w:val="false"/>
                <w:color w:val="2C2C2C"/>
                <w:sz w:val="18"/>
                <w:szCs w:val="18"/>
              </w:rPr>
              <w:t xml:space="preserve">Cross-Border Readiness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iCs/>
                <w:color w:val="555555"/>
                <w:sz w:val="18"/>
                <w:szCs w:val="18"/>
              </w:rPr>
              <w:t xml:space="preserve">Engine</w:t>
            </w:r>
          </w:p>
        </w:tc>
        <w:tc>
          <w:tcPr>
            <w:tcW w:type="dxa" w:w="1200"/>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c>
          <w:tcPr>
            <w:tcW w:type="dxa" w:w="28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8</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bCs/>
                <w:i w:val="false"/>
                <w:iCs w:val="false"/>
                <w:color w:val="2C2C2C"/>
                <w:sz w:val="18"/>
                <w:szCs w:val="18"/>
              </w:rPr>
              <w:t xml:space="preserve">Leadership &amp; Execution Capacity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iCs/>
                <w:color w:val="555555"/>
                <w:sz w:val="18"/>
                <w:szCs w:val="18"/>
              </w:rPr>
              <w:t xml:space="preserve">Enabler</w:t>
            </w:r>
          </w:p>
        </w:tc>
        <w:tc>
          <w:tcPr>
            <w:tcW w:type="dxa" w:w="1200"/>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c>
          <w:tcPr>
            <w:tcW w:type="dxa" w:w="28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9</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bCs/>
                <w:i w:val="false"/>
                <w:iCs w:val="false"/>
                <w:color w:val="2C2C2C"/>
                <w:sz w:val="18"/>
                <w:szCs w:val="18"/>
              </w:rPr>
              <w:t xml:space="preserve">Organisational Readiness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iCs/>
                <w:color w:val="555555"/>
                <w:sz w:val="18"/>
                <w:szCs w:val="18"/>
              </w:rPr>
              <w:t xml:space="preserve">Enabler</w:t>
            </w:r>
          </w:p>
        </w:tc>
        <w:tc>
          <w:tcPr>
            <w:tcW w:type="dxa" w:w="1200"/>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c>
          <w:tcPr>
            <w:tcW w:type="dxa" w:w="28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r>
        <w:tc>
          <w:tcPr>
            <w:tcW w:type="dxa" w:w="500"/>
            <w:tcBorders>
              <w:top w:val="single" w:color="CCCCCC" w:sz="1"/>
              <w:left w:val="single" w:color="CCCCCC" w:sz="1"/>
              <w:bottom w:val="single" w:color="CCCCCC" w:sz="1"/>
              <w:right w:val="single" w:color="CCCCCC" w:sz="1"/>
            </w:tcBorders>
            <w:shd w:fill="1A2B4A"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8"/>
                <w:szCs w:val="18"/>
              </w:rPr>
              <w:t xml:space="preserve"/>
            </w:r>
          </w:p>
        </w:tc>
        <w:tc>
          <w:tcPr>
            <w:tcW w:type="dxa" w:w="3800"/>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Overall score — 1st Review</w:t>
            </w:r>
          </w:p>
        </w:tc>
        <w:tc>
          <w:tcPr>
            <w:tcW w:type="dxa" w:w="1600"/>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
            </w:r>
          </w:p>
        </w:tc>
        <w:tc>
          <w:tcPr>
            <w:tcW w:type="dxa" w:w="1200"/>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5</w:t>
            </w:r>
          </w:p>
        </w:tc>
        <w:tc>
          <w:tcPr>
            <w:tcW w:type="dxa" w:w="28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Maturity Label: _______________________</w:t>
            </w:r>
          </w:p>
        </w:tc>
      </w:tr>
    </w:tbl>
    <w:p>
      <w:pPr>
        <w:spacing w:before="120" w:after="0"/>
      </w:pPr>
    </w:p>
    <w:p>
      <w:pPr>
        <w:spacing w:before="0" w:after="60"/>
        <w:jc w:val="left"/>
      </w:pPr>
      <w:r>
        <w:rPr>
          <w:rFonts w:ascii="Arial" w:cs="Arial" w:eastAsia="Arial" w:hAnsi="Arial"/>
          <w:b/>
          <w:bCs/>
          <w:i w:val="false"/>
          <w:iCs w:val="false"/>
          <w:color w:val="1A2B4A"/>
          <w:sz w:val="18"/>
          <w:szCs w:val="18"/>
        </w:rPr>
        <w:t xml:space="preserve">Maturity Scale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0.0–1.4
Foundational</w:t>
            </w:r>
          </w:p>
        </w:tc>
        <w:tc>
          <w:tcPr>
            <w:tcW w:type="dxa" w:w="1981"/>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1.5–2.4
Emerging</w:t>
            </w:r>
          </w:p>
        </w:tc>
        <w:tc>
          <w:tcPr>
            <w:tcW w:type="dxa" w:w="1981"/>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2.5–3.4
Defined</w:t>
            </w:r>
          </w:p>
        </w:tc>
        <w:tc>
          <w:tcPr>
            <w:tcW w:type="dxa" w:w="1981"/>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3.5–4.4
Embedded</w:t>
            </w:r>
          </w:p>
        </w:tc>
        <w:tc>
          <w:tcPr>
            <w:tcW w:type="dxa" w:w="1982"/>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4.5–5.0
Optimised</w:t>
            </w:r>
          </w:p>
        </w:tc>
      </w:tr>
    </w:tbl>
    <w:p>
      <w:pPr>
        <w:spacing w:before="200" w:after="0"/>
      </w:pPr>
    </w:p>
    <w:p>
      <w:pPr>
        <w:spacing w:before="0" w:after="60"/>
        <w:jc w:val="left"/>
      </w:pPr>
      <w:r>
        <w:rPr>
          <w:rFonts w:ascii="Arial" w:cs="Arial" w:eastAsia="Arial" w:hAnsi="Arial"/>
          <w:b/>
          <w:bCs/>
          <w:i w:val="false"/>
          <w:iCs w:val="false"/>
          <w:color w:val="1A2B4A"/>
          <w:sz w:val="18"/>
          <w:szCs w:val="18"/>
        </w:rPr>
        <w:t xml:space="preserve">Locked — confirmed after goals and SMART objectives agreed</w:t>
      </w:r>
    </w:p>
    <w:p>
      <w:pPr>
        <w:spacing w:before="0" w:after="80"/>
        <w:jc w:val="left"/>
      </w:pPr>
      <w:r>
        <w:rPr>
          <w:rFonts w:ascii="Arial" w:cs="Arial" w:eastAsia="Arial" w:hAnsi="Arial"/>
          <w:b w:val="false"/>
          <w:bCs w:val="false"/>
          <w:i/>
          <w:iCs/>
          <w:color w:val="555555"/>
          <w:sz w:val="16"/>
          <w:szCs w:val="16"/>
        </w:rPr>
        <w:t xml:space="preserve">Only complete if a score changed after the assessment session. If no changes, write 'No changes' and sign below. Adjustments permitted once only — document the evidence basis.</w:t>
      </w:r>
    </w:p>
    <w:p>
      <w:pPr>
        <w:spacing w:before="0" w:after="80"/>
        <w:jc w:val="left"/>
      </w:pPr>
      <w:r>
        <w:rPr>
          <w:rFonts w:ascii="Arial" w:cs="Arial" w:eastAsia="Arial" w:hAnsi="Arial"/>
          <w:b w:val="false"/>
          <w:bCs w:val="false"/>
          <w:i w:val="false"/>
          <w:iCs w:val="false"/>
          <w:color w:val="2C2C2C"/>
          <w:sz w:val="18"/>
          <w:szCs w:val="18"/>
        </w:rPr>
        <w:t xml:space="preserve">☐ No changes to scores after assessment session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800"/>
        <w:gridCol w:w="1500"/>
        <w:gridCol w:w="1500"/>
        <w:gridCol w:w="3106"/>
      </w:tblGrid>
      <w:tr>
        <w:tc>
          <w:tcPr>
            <w:tcW w:type="dxa" w:w="3800"/>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Domain</w:t>
            </w:r>
          </w:p>
        </w:tc>
        <w:tc>
          <w:tcPr>
            <w:tcW w:type="dxa" w:w="1500"/>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1st Review</w:t>
            </w:r>
          </w:p>
        </w:tc>
        <w:tc>
          <w:tcPr>
            <w:tcW w:type="dxa" w:w="1500"/>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Locked</w:t>
            </w:r>
          </w:p>
        </w:tc>
        <w:tc>
          <w:tcPr>
            <w:tcW w:type="dxa" w:w="3106"/>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Evidence basis for change</w:t>
            </w:r>
          </w:p>
        </w:tc>
      </w:tr>
      <w:tr>
        <w:tc>
          <w:tcPr>
            <w:tcW w:type="dxa" w:w="3800"/>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c>
          <w:tcPr>
            <w:tcW w:type="dxa" w:w="1500"/>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c>
          <w:tcPr>
            <w:tcW w:type="dxa" w:w="1500"/>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c>
          <w:tcPr>
            <w:tcW w:type="dxa" w:w="31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r>
        <w:tc>
          <w:tcPr>
            <w:tcW w:type="dxa" w:w="3800"/>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c>
          <w:tcPr>
            <w:tcW w:type="dxa" w:w="1500"/>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c>
          <w:tcPr>
            <w:tcW w:type="dxa" w:w="1500"/>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c>
          <w:tcPr>
            <w:tcW w:type="dxa" w:w="31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r>
        <w:tc>
          <w:tcPr>
            <w:tcW w:type="dxa" w:w="3800"/>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c>
          <w:tcPr>
            <w:tcW w:type="dxa" w:w="1500"/>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c>
          <w:tcPr>
            <w:tcW w:type="dxa" w:w="1500"/>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c>
          <w:tcPr>
            <w:tcW w:type="dxa" w:w="31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r>
        <w:tc>
          <w:tcPr>
            <w:tcW w:type="dxa" w:w="3800"/>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Overall score — Locked</w:t>
            </w:r>
          </w:p>
        </w:tc>
        <w:tc>
          <w:tcPr>
            <w:tcW w:type="dxa" w:w="1500"/>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5</w:t>
            </w:r>
          </w:p>
        </w:tc>
        <w:tc>
          <w:tcPr>
            <w:tcW w:type="dxa" w:w="1500"/>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 Unchanged</w:t>
            </w:r>
          </w:p>
        </w:tc>
        <w:tc>
          <w:tcPr>
            <w:tcW w:type="dxa" w:w="31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Revised Maturity Label: _______________</w:t>
            </w:r>
          </w:p>
        </w:tc>
      </w:tr>
    </w:tbl>
    <w:p>
      <w:r>
        <w:br w:type="page"/>
      </w:r>
    </w:p>
    <w:p>
      <w:pPr>
        <w:spacing w:before="0" w:after="20"/>
        <w:jc w:val="center"/>
      </w:pPr>
      <w:r>
        <w:rPr>
          <w:rFonts w:ascii="Arial" w:cs="Arial" w:eastAsia="Arial" w:hAnsi="Arial"/>
          <w:b w:val="false"/>
          <w:bCs w:val="false"/>
          <w:i w:val="false"/>
          <w:iCs w:val="false"/>
          <w:color w:val="888888"/>
          <w:sz w:val="16"/>
          <w:szCs w:val="16"/>
        </w:rPr>
        <w:t xml:space="preserve">Section 3</w:t>
      </w:r>
    </w:p>
    <w:p>
      <w:pPr>
        <w:spacing w:before="0" w:after="60"/>
        <w:jc w:val="center"/>
      </w:pPr>
      <w:r>
        <w:rPr>
          <w:rFonts w:ascii="Arial" w:cs="Arial" w:eastAsia="Arial" w:hAnsi="Arial"/>
          <w:b/>
          <w:bCs/>
          <w:i w:val="false"/>
          <w:iCs w:val="false"/>
          <w:color w:val="1A2B4A"/>
          <w:sz w:val="32"/>
          <w:szCs w:val="32"/>
        </w:rPr>
        <w:t xml:space="preserve">Validation Meeting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7"/>
        <w:gridCol w:w="2477"/>
        <w:gridCol w:w="2476"/>
      </w:tblGrid>
      <w:tr>
        <w:tc>
          <w:tcPr>
            <w:tcW w:type="dxa" w:w="247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Meeting Date</w:t>
            </w:r>
          </w:p>
        </w:tc>
        <w:tc>
          <w:tcPr>
            <w:tcW w:type="dxa" w:w="2477"/>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8"/>
                <w:szCs w:val="18"/>
              </w:rPr>
              <w:t xml:space="preserve">Format  ☐ In person  ☐ Online</w:t>
            </w:r>
          </w:p>
        </w:tc>
        <w:tc>
          <w:tcPr>
            <w:tcW w:type="dxa" w:w="2477"/>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CEO Name</w:t>
            </w:r>
          </w:p>
        </w:tc>
        <w:tc>
          <w:tcPr>
            <w:tcW w:type="dxa" w:w="247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555555"/>
                <w:sz w:val="18"/>
                <w:szCs w:val="18"/>
              </w:rPr>
              <w:t xml:space="preserve">Duration</w:t>
            </w:r>
          </w:p>
        </w:tc>
      </w:tr>
    </w:tbl>
    <w:p>
      <w:pPr>
        <w:spacing w:before="8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40"/>
            </w:pPr>
            <w:r>
              <w:rPr>
                <w:rFonts w:ascii="Arial" w:cs="Arial" w:eastAsia="Arial" w:hAnsi="Arial"/>
                <w:b w:val="false"/>
                <w:bCs w:val="false"/>
                <w:i w:val="false"/>
                <w:iCs w:val="false"/>
                <w:color w:val="1A2B4A"/>
                <w:sz w:val="17"/>
                <w:szCs w:val="17"/>
              </w:rPr>
              <w:t xml:space="preserve">Before the meeting — assessor preparation</w:t>
            </w:r>
          </w:p>
          <w:p>
            <w:pPr>
              <w:spacing w:after="40"/>
            </w:pPr>
            <w:r>
              <w:rPr>
                <w:rFonts w:ascii="Arial" w:cs="Arial" w:eastAsia="Arial" w:hAnsi="Arial"/>
                <w:b w:val="false"/>
                <w:bCs w:val="false"/>
                <w:i w:val="false"/>
                <w:iCs w:val="false"/>
                <w:color w:val="1A2B4A"/>
                <w:sz w:val="17"/>
                <w:szCs w:val="17"/>
              </w:rPr>
              <w:t xml:space="preserve">Read the CEO Pre-Work end-to-end and flag 2–3 answers in each domain that need probing — incomplete, inconsistent, optimistic or vague. Write the specific phrase the CEO used so you can quote it back to them.</w:t>
            </w:r>
          </w:p>
        </w:tc>
      </w:tr>
    </w:tbl>
    <w:p>
      <w:pPr>
        <w:spacing w:before="8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00"/>
        <w:gridCol w:w="9306"/>
      </w:tblGrid>
      <w:tr>
        <w:tc>
          <w:tcPr>
            <w:tcW w:type="dxa" w:w="6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8"/>
                <w:szCs w:val="18"/>
              </w:rPr>
              <w:t xml:space="preserve">S1</w:t>
            </w:r>
          </w:p>
        </w:tc>
        <w:tc>
          <w:tcPr>
            <w:tcW w:type="dxa" w:w="93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The CEO Pre-Work — what the CEO described about their organisation, priorities and constraints.</w:t>
            </w:r>
          </w:p>
        </w:tc>
      </w:tr>
      <w:tr>
        <w:tc>
          <w:tcPr>
            <w:tcW w:type="dxa" w:w="6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8"/>
                <w:szCs w:val="18"/>
              </w:rPr>
              <w:t xml:space="preserve">S2</w:t>
            </w:r>
          </w:p>
        </w:tc>
        <w:tc>
          <w:tcPr>
            <w:tcW w:type="dxa" w:w="93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The Rating Matrix — what the assessors observed and scored across the 9 domains.</w:t>
            </w:r>
          </w:p>
        </w:tc>
      </w:tr>
      <w:tr>
        <w:tc>
          <w:tcPr>
            <w:tcW w:type="dxa" w:w="6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8"/>
                <w:szCs w:val="18"/>
              </w:rPr>
              <w:t xml:space="preserve">S3</w:t>
            </w:r>
          </w:p>
        </w:tc>
        <w:tc>
          <w:tcPr>
            <w:tcW w:type="dxa" w:w="93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The Validation Meeting — what emerged through probing, including where the CEO's view and the assessors' scoring aligned or diverged.</w:t>
            </w:r>
          </w:p>
        </w:tc>
      </w:tr>
    </w:tbl>
    <w:p>
      <w:pPr>
        <w:spacing w:before="12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00"/>
        <w:gridCol w:w="9306"/>
      </w:tblGrid>
      <w:tr>
        <w:tc>
          <w:tcPr>
            <w:tcW w:type="dxa" w:w="6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8"/>
                <w:szCs w:val="18"/>
              </w:rPr>
              <w:t xml:space="preserve">1</w:t>
            </w:r>
          </w:p>
        </w:tc>
        <w:tc>
          <w:tcPr>
            <w:tcW w:type="dxa" w:w="93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Open — how did it feel to complete?</w:t>
            </w:r>
          </w:p>
        </w:tc>
      </w:tr>
    </w:tbl>
    <w:p>
      <w:pPr>
        <w:spacing w:before="0" w:after="60"/>
        <w:jc w:val="left"/>
      </w:pPr>
      <w:r>
        <w:rPr>
          <w:rFonts w:ascii="Arial" w:cs="Arial" w:eastAsia="Arial" w:hAnsi="Arial"/>
          <w:b w:val="false"/>
          <w:bCs w:val="false"/>
          <w:i/>
          <w:iCs/>
          <w:color w:val="555555"/>
          <w:sz w:val="16"/>
          <w:szCs w:val="16"/>
        </w:rPr>
        <w:t xml:space="preserve">Settle the CEO, surface self-awareness and flag where their own answers felt uncertain.</w:t>
      </w:r>
    </w:p>
    <w:p>
      <w:pPr>
        <w:spacing w:before="0" w:after="40"/>
        <w:jc w:val="left"/>
      </w:pPr>
      <w:r>
        <w:rPr>
          <w:rFonts w:ascii="Arial" w:cs="Arial" w:eastAsia="Arial" w:hAnsi="Arial"/>
          <w:b w:val="false"/>
          <w:bCs w:val="false"/>
          <w:i w:val="false"/>
          <w:iCs w:val="false"/>
          <w:color w:val="00818A"/>
          <w:sz w:val="16"/>
          <w:szCs w:val="16"/>
        </w:rPr>
        <w:t xml:space="preserve">→ When you worked through the questionnaire, which domain felt most straightforward to answer?</w:t>
      </w:r>
    </w:p>
    <w:p>
      <w:pPr>
        <w:spacing w:before="0" w:after="40"/>
        <w:jc w:val="left"/>
      </w:pPr>
      <w:r>
        <w:rPr>
          <w:rFonts w:ascii="Arial" w:cs="Arial" w:eastAsia="Arial" w:hAnsi="Arial"/>
          <w:b w:val="false"/>
          <w:bCs w:val="false"/>
          <w:i w:val="false"/>
          <w:iCs w:val="false"/>
          <w:color w:val="00818A"/>
          <w:sz w:val="16"/>
          <w:szCs w:val="16"/>
        </w:rPr>
        <w:t xml:space="preserve">→ Which section made you pause or feel uncertain — where did you write the least?</w:t>
      </w:r>
    </w:p>
    <w:p>
      <w:pPr>
        <w:spacing w:before="0" w:after="40"/>
        <w:jc w:val="left"/>
      </w:pPr>
      <w:r>
        <w:rPr>
          <w:rFonts w:ascii="Arial" w:cs="Arial" w:eastAsia="Arial" w:hAnsi="Arial"/>
          <w:b w:val="false"/>
          <w:bCs w:val="false"/>
          <w:i w:val="false"/>
          <w:iCs w:val="false"/>
          <w:color w:val="00818A"/>
          <w:sz w:val="16"/>
          <w:szCs w:val="16"/>
        </w:rPr>
        <w:t xml:space="preserve">→ Is there anything you wrote that you'd want to revisit or add to 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60" w:after="0"/>
      </w:pPr>
    </w:p>
    <w:p>
      <w:pPr>
        <w:spacing w:before="0" w:after="20"/>
        <w:jc w:val="left"/>
      </w:pPr>
      <w:r>
        <w:rPr>
          <w:rFonts w:ascii="Arial" w:cs="Arial" w:eastAsia="Arial" w:hAnsi="Arial"/>
          <w:b w:val="false"/>
          <w:bCs w:val="false"/>
          <w:i w:val="false"/>
          <w:iCs w:val="false"/>
          <w:color w:val="2C2C2C"/>
          <w:sz w:val="16"/>
          <w:szCs w:val="16"/>
        </w:rPr>
        <w:t xml:space="preserve">☐ CEO is self-aware and reflective</w:t>
      </w:r>
    </w:p>
    <w:p>
      <w:pPr>
        <w:spacing w:before="0" w:after="20"/>
        <w:jc w:val="left"/>
      </w:pPr>
      <w:r>
        <w:rPr>
          <w:rFonts w:ascii="Arial" w:cs="Arial" w:eastAsia="Arial" w:hAnsi="Arial"/>
          <w:b w:val="false"/>
          <w:bCs w:val="false"/>
          <w:i w:val="false"/>
          <w:iCs w:val="false"/>
          <w:color w:val="2C2C2C"/>
          <w:sz w:val="16"/>
          <w:szCs w:val="16"/>
        </w:rPr>
        <w:t xml:space="preserve">☐ Gaps or uncertainty noted — explore in relevant domain</w:t>
      </w:r>
    </w:p>
    <w:p>
      <w:pPr>
        <w:spacing w:before="0" w:after="20"/>
        <w:jc w:val="left"/>
      </w:pPr>
      <w:r>
        <w:rPr>
          <w:rFonts w:ascii="Arial" w:cs="Arial" w:eastAsia="Arial" w:hAnsi="Arial"/>
          <w:b w:val="false"/>
          <w:bCs w:val="false"/>
          <w:i w:val="false"/>
          <w:iCs w:val="false"/>
          <w:color w:val="2C2C2C"/>
          <w:sz w:val="16"/>
          <w:szCs w:val="16"/>
        </w:rPr>
        <w:t xml:space="preserve">☐ Significant hesitation on a domain — probe more deeply</w:t>
      </w:r>
    </w:p>
    <w:p>
      <w:pPr>
        <w:spacing w:before="12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00"/>
        <w:gridCol w:w="9306"/>
      </w:tblGrid>
      <w:tr>
        <w:tc>
          <w:tcPr>
            <w:tcW w:type="dxa" w:w="6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8"/>
                <w:szCs w:val="18"/>
              </w:rPr>
              <w:t xml:space="preserve">2</w:t>
            </w:r>
          </w:p>
        </w:tc>
        <w:tc>
          <w:tcPr>
            <w:tcW w:type="dxa" w:w="93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Probe the business model and money</w:t>
            </w:r>
          </w:p>
        </w:tc>
      </w:tr>
    </w:tbl>
    <w:p>
      <w:pPr>
        <w:spacing w:before="0" w:after="60"/>
        <w:jc w:val="left"/>
      </w:pPr>
      <w:r>
        <w:rPr>
          <w:rFonts w:ascii="Arial" w:cs="Arial" w:eastAsia="Arial" w:hAnsi="Arial"/>
          <w:b w:val="false"/>
          <w:bCs w:val="false"/>
          <w:i/>
          <w:iCs/>
          <w:color w:val="555555"/>
          <w:sz w:val="16"/>
          <w:szCs w:val="16"/>
        </w:rPr>
        <w:t xml:space="preserve">Test whether the revenue picture described in domains 1–3 reflects commercial reality — not aspiration or approximation.</w:t>
      </w:r>
    </w:p>
    <w:p>
      <w:pPr>
        <w:spacing w:before="0" w:after="40"/>
        <w:jc w:val="left"/>
      </w:pPr>
      <w:r>
        <w:rPr>
          <w:rFonts w:ascii="Arial" w:cs="Arial" w:eastAsia="Arial" w:hAnsi="Arial"/>
          <w:b w:val="false"/>
          <w:bCs w:val="false"/>
          <w:i w:val="false"/>
          <w:iCs w:val="false"/>
          <w:color w:val="00818A"/>
          <w:sz w:val="16"/>
          <w:szCs w:val="16"/>
        </w:rPr>
        <w:t xml:space="preserve">→ You described your income split as [their answer to 1.1] — can you walk me through what that looked like in the last 12 months in practice?</w:t>
      </w:r>
    </w:p>
    <w:p>
      <w:pPr>
        <w:spacing w:before="0" w:after="40"/>
        <w:jc w:val="left"/>
      </w:pPr>
      <w:r>
        <w:rPr>
          <w:rFonts w:ascii="Arial" w:cs="Arial" w:eastAsia="Arial" w:hAnsi="Arial"/>
          <w:b w:val="false"/>
          <w:bCs w:val="false"/>
          <w:i w:val="false"/>
          <w:iCs w:val="false"/>
          <w:color w:val="00818A"/>
          <w:sz w:val="16"/>
          <w:szCs w:val="16"/>
        </w:rPr>
        <w:t xml:space="preserve">→ You said [their answer on pricing / cost] — do you know what it actually costs to deliver that, including your time?</w:t>
      </w:r>
    </w:p>
    <w:p>
      <w:pPr>
        <w:spacing w:before="0" w:after="40"/>
        <w:jc w:val="left"/>
      </w:pPr>
      <w:r>
        <w:rPr>
          <w:rFonts w:ascii="Arial" w:cs="Arial" w:eastAsia="Arial" w:hAnsi="Arial"/>
          <w:b w:val="false"/>
          <w:bCs w:val="false"/>
          <w:i w:val="false"/>
          <w:iCs w:val="false"/>
          <w:color w:val="00818A"/>
          <w:sz w:val="16"/>
          <w:szCs w:val="16"/>
        </w:rPr>
        <w:t xml:space="preserve">→ You mentioned [their answer on cash / forecasts] — what would your cash position look like if your largest income source reduced significantly next month?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60" w:after="0"/>
      </w:pPr>
    </w:p>
    <w:p>
      <w:pPr>
        <w:spacing w:before="0" w:after="20"/>
        <w:jc w:val="left"/>
      </w:pPr>
      <w:r>
        <w:rPr>
          <w:rFonts w:ascii="Arial" w:cs="Arial" w:eastAsia="Arial" w:hAnsi="Arial"/>
          <w:b w:val="false"/>
          <w:bCs w:val="false"/>
          <w:i w:val="false"/>
          <w:iCs w:val="false"/>
          <w:color w:val="2C2C2C"/>
          <w:sz w:val="16"/>
          <w:szCs w:val="16"/>
        </w:rPr>
        <w:t xml:space="preserve">☐ Revenue picture is accurate and evidenced</w:t>
      </w:r>
    </w:p>
    <w:p>
      <w:pPr>
        <w:spacing w:before="0" w:after="20"/>
        <w:jc w:val="left"/>
      </w:pPr>
      <w:r>
        <w:rPr>
          <w:rFonts w:ascii="Arial" w:cs="Arial" w:eastAsia="Arial" w:hAnsi="Arial"/>
          <w:b w:val="false"/>
          <w:bCs w:val="false"/>
          <w:i w:val="false"/>
          <w:iCs w:val="false"/>
          <w:color w:val="2C2C2C"/>
          <w:sz w:val="16"/>
          <w:szCs w:val="16"/>
        </w:rPr>
        <w:t xml:space="preserve">☐ Pricing / cost knowledge is shallower than stated — note for scoring</w:t>
      </w:r>
    </w:p>
    <w:p>
      <w:pPr>
        <w:spacing w:before="0" w:after="20"/>
        <w:jc w:val="left"/>
      </w:pPr>
      <w:r>
        <w:rPr>
          <w:rFonts w:ascii="Arial" w:cs="Arial" w:eastAsia="Arial" w:hAnsi="Arial"/>
          <w:b w:val="false"/>
          <w:bCs w:val="false"/>
          <w:i w:val="false"/>
          <w:iCs w:val="false"/>
          <w:color w:val="2C2C2C"/>
          <w:sz w:val="16"/>
          <w:szCs w:val="16"/>
        </w:rPr>
        <w:t xml:space="preserve">☐ Cash position is more uncertain than stated — flag</w:t>
      </w:r>
    </w:p>
    <w:p>
      <w:pPr>
        <w:spacing w:before="12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00"/>
        <w:gridCol w:w="9306"/>
      </w:tblGrid>
      <w:tr>
        <w:tc>
          <w:tcPr>
            <w:tcW w:type="dxa" w:w="6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8"/>
                <w:szCs w:val="18"/>
              </w:rPr>
              <w:t xml:space="preserve">3</w:t>
            </w:r>
          </w:p>
        </w:tc>
        <w:tc>
          <w:tcPr>
            <w:tcW w:type="dxa" w:w="93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Test the market and sales reality</w:t>
            </w:r>
          </w:p>
        </w:tc>
      </w:tr>
    </w:tbl>
    <w:p>
      <w:pPr>
        <w:spacing w:before="0" w:after="60"/>
        <w:jc w:val="left"/>
      </w:pPr>
      <w:r>
        <w:rPr>
          <w:rFonts w:ascii="Arial" w:cs="Arial" w:eastAsia="Arial" w:hAnsi="Arial"/>
          <w:b w:val="false"/>
          <w:bCs w:val="false"/>
          <w:i/>
          <w:iCs/>
          <w:color w:val="555555"/>
          <w:sz w:val="16"/>
          <w:szCs w:val="16"/>
        </w:rPr>
        <w:t xml:space="preserve">Probe whether demand and sales activity described in domains 4–5 is evidenced or assumed. Test digital and cross-border readiness.</w:t>
      </w:r>
    </w:p>
    <w:p>
      <w:pPr>
        <w:spacing w:before="0" w:after="40"/>
        <w:jc w:val="left"/>
      </w:pPr>
      <w:r>
        <w:rPr>
          <w:rFonts w:ascii="Arial" w:cs="Arial" w:eastAsia="Arial" w:hAnsi="Arial"/>
          <w:b w:val="false"/>
          <w:bCs w:val="false"/>
          <w:i w:val="false"/>
          <w:iCs w:val="false"/>
          <w:color w:val="00818A"/>
          <w:sz w:val="16"/>
          <w:szCs w:val="16"/>
        </w:rPr>
        <w:t xml:space="preserve">→ You described your main customer as [their answer to 4.2] — how did you find them, and could you find ten more?</w:t>
      </w:r>
    </w:p>
    <w:p>
      <w:pPr>
        <w:spacing w:before="0" w:after="40"/>
        <w:jc w:val="left"/>
      </w:pPr>
      <w:r>
        <w:rPr>
          <w:rFonts w:ascii="Arial" w:cs="Arial" w:eastAsia="Arial" w:hAnsi="Arial"/>
          <w:b w:val="false"/>
          <w:bCs w:val="false"/>
          <w:i w:val="false"/>
          <w:iCs w:val="false"/>
          <w:color w:val="00818A"/>
          <w:sz w:val="16"/>
          <w:szCs w:val="16"/>
        </w:rPr>
        <w:t xml:space="preserve">→ You said sales are [their answer on founder-led / shared / systemised] — what would happen to new business if you were unavailable for two months?</w:t>
      </w:r>
    </w:p>
    <w:p>
      <w:pPr>
        <w:spacing w:before="0" w:after="40"/>
        <w:jc w:val="left"/>
      </w:pPr>
      <w:r>
        <w:rPr>
          <w:rFonts w:ascii="Arial" w:cs="Arial" w:eastAsia="Arial" w:hAnsi="Arial"/>
          <w:b w:val="false"/>
          <w:bCs w:val="false"/>
          <w:i w:val="false"/>
          <w:iCs w:val="false"/>
          <w:color w:val="00818A"/>
          <w:sz w:val="16"/>
          <w:szCs w:val="16"/>
        </w:rPr>
        <w:t xml:space="preserve">→ You mentioned [their answer on pipeline / contracts] — what does your pipeline actually look like right 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60" w:after="0"/>
      </w:pPr>
    </w:p>
    <w:p>
      <w:pPr>
        <w:spacing w:before="0" w:after="20"/>
        <w:jc w:val="left"/>
      </w:pPr>
      <w:r>
        <w:rPr>
          <w:rFonts w:ascii="Arial" w:cs="Arial" w:eastAsia="Arial" w:hAnsi="Arial"/>
          <w:b w:val="false"/>
          <w:bCs w:val="false"/>
          <w:i w:val="false"/>
          <w:iCs w:val="false"/>
          <w:color w:val="2C2C2C"/>
          <w:sz w:val="16"/>
          <w:szCs w:val="16"/>
        </w:rPr>
        <w:t xml:space="preserve">☐ Demand is evidenced — paying customers or real pipeline</w:t>
      </w:r>
    </w:p>
    <w:p>
      <w:pPr>
        <w:spacing w:before="0" w:after="20"/>
        <w:jc w:val="left"/>
      </w:pPr>
      <w:r>
        <w:rPr>
          <w:rFonts w:ascii="Arial" w:cs="Arial" w:eastAsia="Arial" w:hAnsi="Arial"/>
          <w:b w:val="false"/>
          <w:bCs w:val="false"/>
          <w:i w:val="false"/>
          <w:iCs w:val="false"/>
          <w:color w:val="2C2C2C"/>
          <w:sz w:val="16"/>
          <w:szCs w:val="16"/>
        </w:rPr>
        <w:t xml:space="preserve">☐ Sales is more founder-dependent than acknowledged</w:t>
      </w:r>
    </w:p>
    <w:p>
      <w:pPr>
        <w:spacing w:before="0" w:after="20"/>
        <w:jc w:val="left"/>
      </w:pPr>
      <w:r>
        <w:rPr>
          <w:rFonts w:ascii="Arial" w:cs="Arial" w:eastAsia="Arial" w:hAnsi="Arial"/>
          <w:b w:val="false"/>
          <w:bCs w:val="false"/>
          <w:i w:val="false"/>
          <w:iCs w:val="false"/>
          <w:color w:val="2C2C2C"/>
          <w:sz w:val="16"/>
          <w:szCs w:val="16"/>
        </w:rPr>
        <w:t xml:space="preserve">☐ Market understanding is assumed not evidenced — note for scoring</w:t>
      </w:r>
    </w:p>
    <w:p>
      <w:pPr>
        <w:spacing w:before="12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00"/>
        <w:gridCol w:w="9306"/>
      </w:tblGrid>
      <w:tr>
        <w:tc>
          <w:tcPr>
            <w:tcW w:type="dxa" w:w="6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8"/>
                <w:szCs w:val="18"/>
              </w:rPr>
              <w:t xml:space="preserve">4</w:t>
            </w:r>
          </w:p>
        </w:tc>
        <w:tc>
          <w:tcPr>
            <w:tcW w:type="dxa" w:w="93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Stress-test delivery and operations</w:t>
            </w:r>
          </w:p>
        </w:tc>
      </w:tr>
    </w:tbl>
    <w:p>
      <w:pPr>
        <w:spacing w:before="0" w:after="60"/>
        <w:jc w:val="left"/>
      </w:pPr>
      <w:r>
        <w:rPr>
          <w:rFonts w:ascii="Arial" w:cs="Arial" w:eastAsia="Arial" w:hAnsi="Arial"/>
          <w:b w:val="false"/>
          <w:bCs w:val="false"/>
          <w:i/>
          <w:iCs/>
          <w:color w:val="555555"/>
          <w:sz w:val="16"/>
          <w:szCs w:val="16"/>
        </w:rPr>
        <w:t xml:space="preserve">Probe whether the delivery picture in domain 6 would hold under growth — and whether the constraints named are the real ones.</w:t>
      </w:r>
    </w:p>
    <w:p>
      <w:pPr>
        <w:spacing w:before="0" w:after="40"/>
        <w:jc w:val="left"/>
      </w:pPr>
      <w:r>
        <w:rPr>
          <w:rFonts w:ascii="Arial" w:cs="Arial" w:eastAsia="Arial" w:hAnsi="Arial"/>
          <w:b w:val="false"/>
          <w:bCs w:val="false"/>
          <w:i w:val="false"/>
          <w:iCs w:val="false"/>
          <w:color w:val="00818A"/>
          <w:sz w:val="16"/>
          <w:szCs w:val="16"/>
        </w:rPr>
        <w:t xml:space="preserve">→ You said [their answer to 6.1 on what limits delivery] — is that the real constraint, or is there something deeper underneath it?</w:t>
      </w:r>
    </w:p>
    <w:p>
      <w:pPr>
        <w:spacing w:before="0" w:after="40"/>
        <w:jc w:val="left"/>
      </w:pPr>
      <w:r>
        <w:rPr>
          <w:rFonts w:ascii="Arial" w:cs="Arial" w:eastAsia="Arial" w:hAnsi="Arial"/>
          <w:b w:val="false"/>
          <w:bCs w:val="false"/>
          <w:i w:val="false"/>
          <w:iCs w:val="false"/>
          <w:color w:val="00818A"/>
          <w:sz w:val="16"/>
          <w:szCs w:val="16"/>
        </w:rPr>
        <w:t xml:space="preserve">→ You described delivery as [their answer to 6.1] — what would break first if you doubled volume in the next 6 months?</w:t>
      </w:r>
    </w:p>
    <w:p>
      <w:pPr>
        <w:spacing w:before="0" w:after="40"/>
        <w:jc w:val="left"/>
      </w:pPr>
      <w:r>
        <w:rPr>
          <w:rFonts w:ascii="Arial" w:cs="Arial" w:eastAsia="Arial" w:hAnsi="Arial"/>
          <w:b w:val="false"/>
          <w:bCs w:val="false"/>
          <w:i w:val="false"/>
          <w:iCs w:val="false"/>
          <w:color w:val="00818A"/>
          <w:sz w:val="16"/>
          <w:szCs w:val="16"/>
        </w:rPr>
        <w:t xml:space="preserve">→ Which parts of how you deliver are written down, and which parts only exist in your head or your team's heads?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60" w:after="0"/>
      </w:pPr>
    </w:p>
    <w:p>
      <w:pPr>
        <w:spacing w:before="0" w:after="20"/>
        <w:jc w:val="left"/>
      </w:pPr>
      <w:r>
        <w:rPr>
          <w:rFonts w:ascii="Arial" w:cs="Arial" w:eastAsia="Arial" w:hAnsi="Arial"/>
          <w:b w:val="false"/>
          <w:bCs w:val="false"/>
          <w:i w:val="false"/>
          <w:iCs w:val="false"/>
          <w:color w:val="2C2C2C"/>
          <w:sz w:val="16"/>
          <w:szCs w:val="16"/>
        </w:rPr>
        <w:t xml:space="preserve">☐ Delivery capacity is accurately described</w:t>
      </w:r>
    </w:p>
    <w:p>
      <w:pPr>
        <w:spacing w:before="0" w:after="20"/>
        <w:jc w:val="left"/>
      </w:pPr>
      <w:r>
        <w:rPr>
          <w:rFonts w:ascii="Arial" w:cs="Arial" w:eastAsia="Arial" w:hAnsi="Arial"/>
          <w:b w:val="false"/>
          <w:bCs w:val="false"/>
          <w:i w:val="false"/>
          <w:iCs w:val="false"/>
          <w:color w:val="2C2C2C"/>
          <w:sz w:val="16"/>
          <w:szCs w:val="16"/>
        </w:rPr>
        <w:t xml:space="preserve">☐ Real constraint is different from what was stated — note for scoring</w:t>
      </w:r>
    </w:p>
    <w:p>
      <w:pPr>
        <w:spacing w:before="0" w:after="20"/>
        <w:jc w:val="left"/>
      </w:pPr>
      <w:r>
        <w:rPr>
          <w:rFonts w:ascii="Arial" w:cs="Arial" w:eastAsia="Arial" w:hAnsi="Arial"/>
          <w:b w:val="false"/>
          <w:bCs w:val="false"/>
          <w:i w:val="false"/>
          <w:iCs w:val="false"/>
          <w:color w:val="2C2C2C"/>
          <w:sz w:val="16"/>
          <w:szCs w:val="16"/>
        </w:rPr>
        <w:t xml:space="preserve">☐ Significant person-dependency identified — flag for programme priority</w:t>
      </w:r>
    </w:p>
    <w:p>
      <w:pPr>
        <w:spacing w:before="12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00"/>
        <w:gridCol w:w="9306"/>
      </w:tblGrid>
      <w:tr>
        <w:tc>
          <w:tcPr>
            <w:tcW w:type="dxa" w:w="6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8"/>
                <w:szCs w:val="18"/>
              </w:rPr>
              <w:t xml:space="preserve">5</w:t>
            </w:r>
          </w:p>
        </w:tc>
        <w:tc>
          <w:tcPr>
            <w:tcW w:type="dxa" w:w="93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Cross-border and leadership readiness</w:t>
            </w:r>
          </w:p>
        </w:tc>
      </w:tr>
    </w:tbl>
    <w:p>
      <w:pPr>
        <w:spacing w:before="0" w:after="60"/>
        <w:jc w:val="left"/>
      </w:pPr>
      <w:r>
        <w:rPr>
          <w:rFonts w:ascii="Arial" w:cs="Arial" w:eastAsia="Arial" w:hAnsi="Arial"/>
          <w:b w:val="false"/>
          <w:bCs w:val="false"/>
          <w:i/>
          <w:iCs/>
          <w:color w:val="555555"/>
          <w:sz w:val="16"/>
          <w:szCs w:val="16"/>
        </w:rPr>
        <w:t xml:space="preserve">Probe cross-border barriers and opportunities. Test leadership capacity, time allocation and impact evidence.</w:t>
      </w:r>
    </w:p>
    <w:p>
      <w:pPr>
        <w:spacing w:before="0" w:after="40"/>
        <w:jc w:val="left"/>
      </w:pPr>
      <w:r>
        <w:rPr>
          <w:rFonts w:ascii="Arial" w:cs="Arial" w:eastAsia="Arial" w:hAnsi="Arial"/>
          <w:b w:val="false"/>
          <w:bCs w:val="false"/>
          <w:i w:val="false"/>
          <w:iCs w:val="false"/>
          <w:color w:val="00818A"/>
          <w:sz w:val="16"/>
          <w:szCs w:val="16"/>
        </w:rPr>
        <w:t xml:space="preserve">→ You described your cross-border activity as [their answer to 7.1] — what would it take to double that or start?</w:t>
      </w:r>
    </w:p>
    <w:p>
      <w:pPr>
        <w:spacing w:before="0" w:after="40"/>
        <w:jc w:val="left"/>
      </w:pPr>
      <w:r>
        <w:rPr>
          <w:rFonts w:ascii="Arial" w:cs="Arial" w:eastAsia="Arial" w:hAnsi="Arial"/>
          <w:b w:val="false"/>
          <w:bCs w:val="false"/>
          <w:i w:val="false"/>
          <w:iCs w:val="false"/>
          <w:color w:val="00818A"/>
          <w:sz w:val="16"/>
          <w:szCs w:val="16"/>
        </w:rPr>
        <w:t xml:space="preserve">→ You said you spend most time on [their answer to 8.1] — is that where you should be spending it?</w:t>
      </w:r>
    </w:p>
    <w:p>
      <w:pPr>
        <w:spacing w:before="0" w:after="40"/>
        <w:jc w:val="left"/>
      </w:pPr>
      <w:r>
        <w:rPr>
          <w:rFonts w:ascii="Arial" w:cs="Arial" w:eastAsia="Arial" w:hAnsi="Arial"/>
          <w:b w:val="false"/>
          <w:bCs w:val="false"/>
          <w:i w:val="false"/>
          <w:iCs w:val="false"/>
          <w:color w:val="00818A"/>
          <w:sz w:val="16"/>
          <w:szCs w:val="16"/>
        </w:rPr>
        <w:t xml:space="preserve">→ You mentioned [their answer on impact evidence] — could you present that to an investor or procurement panel today?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60" w:after="0"/>
      </w:pPr>
    </w:p>
    <w:p>
      <w:pPr>
        <w:spacing w:before="0" w:after="20"/>
        <w:jc w:val="left"/>
      </w:pPr>
      <w:r>
        <w:rPr>
          <w:rFonts w:ascii="Arial" w:cs="Arial" w:eastAsia="Arial" w:hAnsi="Arial"/>
          <w:b w:val="false"/>
          <w:bCs w:val="false"/>
          <w:i w:val="false"/>
          <w:iCs w:val="false"/>
          <w:color w:val="2C2C2C"/>
          <w:sz w:val="16"/>
          <w:szCs w:val="16"/>
        </w:rPr>
        <w:t xml:space="preserve">☐ Cross-border opportunity is realistic and understood</w:t>
      </w:r>
    </w:p>
    <w:p>
      <w:pPr>
        <w:spacing w:before="0" w:after="20"/>
        <w:jc w:val="left"/>
      </w:pPr>
      <w:r>
        <w:rPr>
          <w:rFonts w:ascii="Arial" w:cs="Arial" w:eastAsia="Arial" w:hAnsi="Arial"/>
          <w:b w:val="false"/>
          <w:bCs w:val="false"/>
          <w:i w:val="false"/>
          <w:iCs w:val="false"/>
          <w:color w:val="2C2C2C"/>
          <w:sz w:val="16"/>
          <w:szCs w:val="16"/>
        </w:rPr>
        <w:t xml:space="preserve">☐ CEO time allocation is a constraint — flag for coaching</w:t>
      </w:r>
    </w:p>
    <w:p>
      <w:pPr>
        <w:spacing w:before="0" w:after="20"/>
        <w:jc w:val="left"/>
      </w:pPr>
      <w:r>
        <w:rPr>
          <w:rFonts w:ascii="Arial" w:cs="Arial" w:eastAsia="Arial" w:hAnsi="Arial"/>
          <w:b w:val="false"/>
          <w:bCs w:val="false"/>
          <w:i w:val="false"/>
          <w:iCs w:val="false"/>
          <w:color w:val="2C2C2C"/>
          <w:sz w:val="16"/>
          <w:szCs w:val="16"/>
        </w:rPr>
        <w:t xml:space="preserve">☐ Impact evidence is weak — flag for M7</w:t>
      </w:r>
    </w:p>
    <w:p>
      <w:pPr>
        <w:spacing w:before="12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00"/>
        <w:gridCol w:w="9306"/>
      </w:tblGrid>
      <w:tr>
        <w:tc>
          <w:tcPr>
            <w:tcW w:type="dxa" w:w="6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8"/>
                <w:szCs w:val="18"/>
              </w:rPr>
              <w:t xml:space="preserve">6</w:t>
            </w:r>
          </w:p>
        </w:tc>
        <w:tc>
          <w:tcPr>
            <w:tcW w:type="dxa" w:w="93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Confirm constraints and name the problem</w:t>
            </w:r>
          </w:p>
        </w:tc>
      </w:tr>
    </w:tbl>
    <w:p>
      <w:pPr>
        <w:spacing w:before="0" w:after="60"/>
        <w:jc w:val="left"/>
      </w:pPr>
      <w:r>
        <w:rPr>
          <w:rFonts w:ascii="Arial" w:cs="Arial" w:eastAsia="Arial" w:hAnsi="Arial"/>
          <w:b w:val="false"/>
          <w:bCs w:val="false"/>
          <w:i/>
          <w:iCs/>
          <w:color w:val="555555"/>
          <w:sz w:val="16"/>
          <w:szCs w:val="16"/>
        </w:rPr>
        <w:t xml:space="preserve">Move from individual domain observations to a single agreed statement of the core commercial challenge.</w:t>
      </w:r>
    </w:p>
    <w:p>
      <w:pPr>
        <w:spacing w:before="0" w:after="40"/>
        <w:jc w:val="left"/>
      </w:pPr>
      <w:r>
        <w:rPr>
          <w:rFonts w:ascii="Arial" w:cs="Arial" w:eastAsia="Arial" w:hAnsi="Arial"/>
          <w:b w:val="false"/>
          <w:bCs w:val="false"/>
          <w:i w:val="false"/>
          <w:iCs w:val="false"/>
          <w:color w:val="00818A"/>
          <w:sz w:val="16"/>
          <w:szCs w:val="16"/>
        </w:rPr>
        <w:t xml:space="preserve">→ Looking across everything we've discussed — what do you think is the single biggest thing holding back your commercial progress right now?</w:t>
      </w:r>
    </w:p>
    <w:p>
      <w:pPr>
        <w:spacing w:before="0" w:after="40"/>
        <w:jc w:val="left"/>
      </w:pPr>
      <w:r>
        <w:rPr>
          <w:rFonts w:ascii="Arial" w:cs="Arial" w:eastAsia="Arial" w:hAnsi="Arial"/>
          <w:b w:val="false"/>
          <w:bCs w:val="false"/>
          <w:i w:val="false"/>
          <w:iCs w:val="false"/>
          <w:color w:val="00818A"/>
          <w:sz w:val="16"/>
          <w:szCs w:val="16"/>
        </w:rPr>
        <w:t xml:space="preserve">→ You said [their answer to their hardest question] — do you still think that's the core issue, or has this conversation shifted your view?</w:t>
      </w:r>
    </w:p>
    <w:p>
      <w:pPr>
        <w:spacing w:before="0" w:after="40"/>
        <w:jc w:val="left"/>
      </w:pPr>
      <w:r>
        <w:rPr>
          <w:rFonts w:ascii="Arial" w:cs="Arial" w:eastAsia="Arial" w:hAnsi="Arial"/>
          <w:b w:val="false"/>
          <w:bCs w:val="false"/>
          <w:i w:val="false"/>
          <w:iCs w:val="false"/>
          <w:color w:val="00818A"/>
          <w:sz w:val="16"/>
          <w:szCs w:val="16"/>
        </w:rPr>
        <w:t xml:space="preserve">→ In one sentence: what is the commercial problem SELECT needs to help you solve?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60" w:after="0"/>
      </w:pPr>
    </w:p>
    <w:p>
      <w:pPr>
        <w:spacing w:before="0" w:after="20"/>
        <w:jc w:val="left"/>
      </w:pPr>
      <w:r>
        <w:rPr>
          <w:rFonts w:ascii="Arial" w:cs="Arial" w:eastAsia="Arial" w:hAnsi="Arial"/>
          <w:b w:val="false"/>
          <w:bCs w:val="false"/>
          <w:i w:val="false"/>
          <w:iCs w:val="false"/>
          <w:color w:val="2C2C2C"/>
          <w:sz w:val="16"/>
          <w:szCs w:val="16"/>
        </w:rPr>
        <w:t xml:space="preserve">☐ Problem statement agreed — carry to Section 4</w:t>
      </w:r>
    </w:p>
    <w:p>
      <w:pPr>
        <w:spacing w:before="0" w:after="20"/>
        <w:jc w:val="left"/>
      </w:pPr>
      <w:r>
        <w:rPr>
          <w:rFonts w:ascii="Arial" w:cs="Arial" w:eastAsia="Arial" w:hAnsi="Arial"/>
          <w:b w:val="false"/>
          <w:bCs w:val="false"/>
          <w:i w:val="false"/>
          <w:iCs w:val="false"/>
          <w:color w:val="2C2C2C"/>
          <w:sz w:val="16"/>
          <w:szCs w:val="16"/>
        </w:rPr>
        <w:t xml:space="preserve">☐ CEO's view of constraints aligns with assessor's scoring</w:t>
      </w:r>
    </w:p>
    <w:p>
      <w:pPr>
        <w:spacing w:before="0" w:after="20"/>
        <w:jc w:val="left"/>
      </w:pPr>
      <w:r>
        <w:rPr>
          <w:rFonts w:ascii="Arial" w:cs="Arial" w:eastAsia="Arial" w:hAnsi="Arial"/>
          <w:b w:val="false"/>
          <w:bCs w:val="false"/>
          <w:i w:val="false"/>
          <w:iCs w:val="false"/>
          <w:color w:val="2C2C2C"/>
          <w:sz w:val="16"/>
          <w:szCs w:val="16"/>
        </w:rPr>
        <w:t xml:space="preserve">☐ Significant gap between CEO view and scoring — discuss before Section 4</w:t>
      </w:r>
    </w:p>
    <w:p>
      <w:pPr>
        <w:spacing w:before="120" w:after="0"/>
      </w:pPr>
    </w:p>
    <w:p>
      <w:r>
        <w:br w:type="page"/>
      </w:r>
    </w:p>
    <w:p>
      <w:pPr>
        <w:spacing w:before="0" w:after="20"/>
        <w:jc w:val="center"/>
      </w:pPr>
      <w:r>
        <w:rPr>
          <w:rFonts w:ascii="Arial" w:cs="Arial" w:eastAsia="Arial" w:hAnsi="Arial"/>
          <w:b w:val="false"/>
          <w:bCs w:val="false"/>
          <w:i w:val="false"/>
          <w:iCs w:val="false"/>
          <w:color w:val="888888"/>
          <w:sz w:val="16"/>
          <w:szCs w:val="16"/>
        </w:rPr>
        <w:t xml:space="preserve">Section 4</w:t>
      </w:r>
    </w:p>
    <w:p>
      <w:pPr>
        <w:spacing w:before="0" w:after="60"/>
        <w:jc w:val="center"/>
      </w:pPr>
      <w:r>
        <w:rPr>
          <w:rFonts w:ascii="Arial" w:cs="Arial" w:eastAsia="Arial" w:hAnsi="Arial"/>
          <w:b/>
          <w:bCs/>
          <w:i w:val="false"/>
          <w:iCs w:val="false"/>
          <w:color w:val="1A2B4A"/>
          <w:sz w:val="32"/>
          <w:szCs w:val="32"/>
        </w:rPr>
        <w:t xml:space="preserve">Problem · Goals · Sign-off</w:t>
      </w:r>
    </w:p>
    <w:p>
      <w:pPr>
        <w:spacing w:before="0" w:after="40"/>
        <w:jc w:val="left"/>
      </w:pPr>
      <w:r>
        <w:rPr>
          <w:rFonts w:ascii="Arial" w:cs="Arial" w:eastAsia="Arial" w:hAnsi="Arial"/>
          <w:b w:val="false"/>
          <w:bCs w:val="false"/>
          <w:i/>
          <w:iCs/>
          <w:color w:val="555555"/>
          <w:sz w:val="17"/>
          <w:szCs w:val="17"/>
        </w:rPr>
        <w:t xml:space="preserve">Completed together — CEO and assessors — at the close of the assessment session. It draws directly 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00"/>
        <w:gridCol w:w="9306"/>
      </w:tblGrid>
      <w:tr>
        <w:tc>
          <w:tcPr>
            <w:tcW w:type="dxa" w:w="6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8"/>
                <w:szCs w:val="18"/>
              </w:rPr>
              <w:t xml:space="preserve">S1</w:t>
            </w:r>
          </w:p>
        </w:tc>
        <w:tc>
          <w:tcPr>
            <w:tcW w:type="dxa" w:w="93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The CEO Pre-Work — what the CEO described.</w:t>
            </w:r>
          </w:p>
        </w:tc>
      </w:tr>
      <w:tr>
        <w:tc>
          <w:tcPr>
            <w:tcW w:type="dxa" w:w="6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8"/>
                <w:szCs w:val="18"/>
              </w:rPr>
              <w:t xml:space="preserve">S2</w:t>
            </w:r>
          </w:p>
        </w:tc>
        <w:tc>
          <w:tcPr>
            <w:tcW w:type="dxa" w:w="93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The Rating Matrix — what the assessors scored.</w:t>
            </w:r>
          </w:p>
        </w:tc>
      </w:tr>
      <w:tr>
        <w:tc>
          <w:tcPr>
            <w:tcW w:type="dxa" w:w="600"/>
            <w:tcBorders>
              <w:top w:val="none" w:color="FFFFFF" w:sz="0"/>
              <w:left w:val="none" w:color="FFFFFF" w:sz="0"/>
              <w:bottom w:val="none" w:color="FFFFFF" w:sz="0"/>
              <w:right w:val="none" w:color="FFFFFF" w:sz="0"/>
            </w:tcBorders>
            <w:shd w:fill="00818A" w:val="clear"/>
            <w:tcMar>
              <w:top w:type="dxa" w:w="60"/>
              <w:left w:type="dxa" w:w="120"/>
              <w:bottom w:type="dxa" w:w="60"/>
              <w:right w:type="dxa" w:w="120"/>
            </w:tcMar>
            <w:vAlign w:val="center"/>
          </w:tcPr>
          <w:p>
            <w:pPr>
              <w:jc w:val="center"/>
            </w:pPr>
            <w:r>
              <w:rPr>
                <w:rFonts w:ascii="Arial" w:cs="Arial" w:eastAsia="Arial" w:hAnsi="Arial"/>
                <w:b/>
                <w:bCs/>
                <w:color w:val="FFFFFF"/>
                <w:sz w:val="18"/>
                <w:szCs w:val="18"/>
              </w:rPr>
              <w:t xml:space="preserve">S3</w:t>
            </w:r>
          </w:p>
        </w:tc>
        <w:tc>
          <w:tcPr>
            <w:tcW w:type="dxa" w:w="93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The Validation Meeting — what emerged through probing.</w:t>
            </w:r>
          </w:p>
        </w:tc>
      </w:tr>
    </w:tbl>
    <w:p>
      <w:pPr>
        <w:spacing w:before="80" w:after="120"/>
        <w:jc w:val="left"/>
      </w:pPr>
      <w:r>
        <w:rPr>
          <w:rFonts w:ascii="Arial" w:cs="Arial" w:eastAsia="Arial" w:hAnsi="Arial"/>
          <w:b w:val="false"/>
          <w:bCs w:val="false"/>
          <w:i/>
          <w:iCs/>
          <w:color w:val="555555"/>
          <w:sz w:val="16"/>
          <w:szCs w:val="16"/>
        </w:rPr>
        <w:t xml:space="preserve">Nothing in this section should come as a surprise to either party.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c>
          <w:tcPr>
            <w:tcW w:type="dxa" w:w="3302"/>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Organisation</w:t>
            </w:r>
          </w:p>
        </w:tc>
        <w:tc>
          <w:tcPr>
            <w:tcW w:type="dxa" w:w="3302"/>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Meeting Date</w:t>
            </w:r>
          </w:p>
        </w:tc>
        <w:tc>
          <w:tcPr>
            <w:tcW w:type="dxa" w:w="3302"/>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Assessor</w:t>
            </w:r>
          </w:p>
        </w:tc>
      </w:tr>
    </w:tbl>
    <w:p>
      <w:pPr>
        <w:spacing w:before="12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0  Shared Understanding</w:t>
            </w:r>
          </w:p>
        </w:tc>
      </w:tr>
    </w:tbl>
    <w:p>
      <w:pPr>
        <w:spacing w:before="0" w:after="40"/>
        <w:jc w:val="left"/>
      </w:pPr>
      <w:r>
        <w:rPr>
          <w:rFonts w:ascii="Arial" w:cs="Arial" w:eastAsia="Arial" w:hAnsi="Arial"/>
          <w:b w:val="false"/>
          <w:bCs w:val="false"/>
          <w:i/>
          <w:iCs/>
          <w:color w:val="555555"/>
          <w:sz w:val="16"/>
          <w:szCs w:val="16"/>
        </w:rPr>
        <w:t xml:space="preserve">Before agreeing the problem statement, the assessor briefly summarises what the assessment has revealed. The CEO confirms, corrects or adds to it. This is not a score reveal — it is a shared view of the picture.</w:t>
      </w:r>
    </w:p>
    <w:p>
      <w:pPr>
        <w:spacing w:before="0" w:after="40"/>
        <w:jc w:val="left"/>
      </w:pPr>
      <w:r>
        <w:rPr>
          <w:rFonts w:ascii="Arial" w:cs="Arial" w:eastAsia="Arial" w:hAnsi="Arial"/>
          <w:b/>
          <w:bCs/>
          <w:i w:val="false"/>
          <w:iCs w:val="false"/>
          <w:color w:val="1A2B4A"/>
          <w:sz w:val="16"/>
          <w:szCs w:val="16"/>
        </w:rPr>
        <w:t xml:space="preserve">Assessor's summary of what the assessment revealed (2–3 sentences — state plainly, no scores):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60" w:after="0"/>
      </w:pPr>
    </w:p>
    <w:p>
      <w:pPr>
        <w:spacing w:before="0" w:after="40"/>
        <w:jc w:val="left"/>
      </w:pPr>
      <w:r>
        <w:rPr>
          <w:rFonts w:ascii="Arial" w:cs="Arial" w:eastAsia="Arial" w:hAnsi="Arial"/>
          <w:b/>
          <w:bCs/>
          <w:i w:val="false"/>
          <w:iCs w:val="false"/>
          <w:color w:val="1A2B4A"/>
          <w:sz w:val="16"/>
          <w:szCs w:val="16"/>
        </w:rPr>
        <w:t xml:space="preserve">CEO's response — does this reflect your experience? What would you add or correct?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60" w:after="0"/>
      </w:pPr>
    </w:p>
    <w:p>
      <w:pPr>
        <w:spacing w:before="0" w:after="120"/>
        <w:jc w:val="left"/>
      </w:pPr>
      <w:r>
        <w:rPr>
          <w:rFonts w:ascii="Arial" w:cs="Arial" w:eastAsia="Arial" w:hAnsi="Arial"/>
          <w:b w:val="false"/>
          <w:bCs w:val="false"/>
          <w:i w:val="false"/>
          <w:iCs w:val="false"/>
          <w:color w:val="2C2C2C"/>
          <w:sz w:val="16"/>
          <w:szCs w:val="16"/>
        </w:rPr>
        <w:t xml:space="preserve">☐ Shared understanding confirmed — both parties agree this is an accurate picture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1  The Commercial Problem Statement</w:t>
            </w:r>
          </w:p>
        </w:tc>
      </w:tr>
    </w:tbl>
    <w:p>
      <w:pPr>
        <w:spacing w:before="0" w:after="40"/>
        <w:jc w:val="left"/>
      </w:pPr>
      <w:r>
        <w:rPr>
          <w:rFonts w:ascii="Arial" w:cs="Arial" w:eastAsia="Arial" w:hAnsi="Arial"/>
          <w:b w:val="false"/>
          <w:bCs w:val="false"/>
          <w:i/>
          <w:iCs/>
          <w:color w:val="555555"/>
          <w:sz w:val="16"/>
          <w:szCs w:val="16"/>
        </w:rPr>
        <w:t xml:space="preserve">Drawn from the shared understanding above and the constraints identified across Sections 1, 2 and 3. In one sentence: the core commercial problem this organisation must address during SELECT.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8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CCCCCC" w:sz="1"/>
              <w:left w:val="single" w:color="CCCCCC" w:sz="1"/>
              <w:bottom w:val="single" w:color="CCCCCC" w:sz="1"/>
              <w:right w:val="single" w:color="CCCCCC" w:sz="1"/>
            </w:tcBorders>
            <w:shd w:fill="E6F5F6"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Why now? If this problem is not addressed during SELECT, what is the consequence for the organisation in 18 months?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12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2  Commercial Goals for the Programme</w:t>
            </w:r>
          </w:p>
        </w:tc>
      </w:tr>
    </w:tbl>
    <w:p>
      <w:pPr>
        <w:spacing w:before="0" w:after="40"/>
        <w:jc w:val="left"/>
      </w:pPr>
      <w:r>
        <w:rPr>
          <w:rFonts w:ascii="Arial" w:cs="Arial" w:eastAsia="Arial" w:hAnsi="Arial"/>
          <w:b w:val="false"/>
          <w:bCs w:val="false"/>
          <w:i/>
          <w:iCs/>
          <w:color w:val="555555"/>
          <w:sz w:val="16"/>
          <w:szCs w:val="16"/>
        </w:rPr>
        <w:t xml:space="preserve">Based on the problem statement and urgency above. What does success look like at programme end? Agree 2–3 broad goals before converting to SMART objectives.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00"/>
        <w:gridCol w:w="8706"/>
      </w:tblGrid>
      <w:tr>
        <w:tc>
          <w:tcPr>
            <w:tcW w:type="dxa" w:w="1200"/>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Goal 1:</w:t>
            </w:r>
          </w:p>
        </w:tc>
        <w:tc>
          <w:tcPr>
            <w:tcW w:type="dxa" w:w="87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4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00"/>
        <w:gridCol w:w="8706"/>
      </w:tblGrid>
      <w:tr>
        <w:tc>
          <w:tcPr>
            <w:tcW w:type="dxa" w:w="1200"/>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Goal 2:</w:t>
            </w:r>
          </w:p>
        </w:tc>
        <w:tc>
          <w:tcPr>
            <w:tcW w:type="dxa" w:w="87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4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00"/>
        <w:gridCol w:w="8706"/>
      </w:tblGrid>
      <w:tr>
        <w:tc>
          <w:tcPr>
            <w:tcW w:type="dxa" w:w="1200"/>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Goal 3:</w:t>
            </w:r>
          </w:p>
        </w:tc>
        <w:tc>
          <w:tcPr>
            <w:tcW w:type="dxa" w:w="87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40" w:after="0"/>
      </w:pPr>
    </w:p>
    <w:p>
      <w:pPr>
        <w:spacing w:before="8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3  SMART Objectives</w:t>
            </w:r>
          </w:p>
        </w:tc>
      </w:tr>
    </w:tbl>
    <w:p>
      <w:pPr>
        <w:spacing w:before="0" w:after="40"/>
        <w:jc w:val="left"/>
      </w:pPr>
      <w:r>
        <w:rPr>
          <w:rFonts w:ascii="Arial" w:cs="Arial" w:eastAsia="Arial" w:hAnsi="Arial"/>
          <w:b w:val="false"/>
          <w:bCs w:val="false"/>
          <w:i/>
          <w:iCs/>
          <w:color w:val="555555"/>
          <w:sz w:val="16"/>
          <w:szCs w:val="16"/>
        </w:rPr>
        <w:t xml:space="preserve">Convert the goals above into SMART objectives. These should address the root constraints identified in Section 2 and probed in Section 3 — not aspirations introduced for the first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8406"/>
      </w:tblGrid>
      <w:tr>
        <w:tc>
          <w:tcPr>
            <w:tcW w:type="dxa" w:w="1500"/>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Objective 1:</w:t>
            </w:r>
          </w:p>
        </w:tc>
        <w:tc>
          <w:tcPr>
            <w:tcW w:type="dxa" w:w="84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4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8406"/>
      </w:tblGrid>
      <w:tr>
        <w:tc>
          <w:tcPr>
            <w:tcW w:type="dxa" w:w="1500"/>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Objective 2:</w:t>
            </w:r>
          </w:p>
        </w:tc>
        <w:tc>
          <w:tcPr>
            <w:tcW w:type="dxa" w:w="84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4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8406"/>
      </w:tblGrid>
      <w:tr>
        <w:tc>
          <w:tcPr>
            <w:tcW w:type="dxa" w:w="1500"/>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Objective 3:</w:t>
            </w:r>
          </w:p>
        </w:tc>
        <w:tc>
          <w:tcPr>
            <w:tcW w:type="dxa" w:w="8406"/>
            <w:tcBorders>
              <w:top w:val="single" w:color="CCCCCC" w:sz="1"/>
              <w:left w:val="single" w:color="CCCCCC" w:sz="1"/>
              <w:bottom w:val="single" w:color="CCCCCC" w:sz="1"/>
              <w:right w:val="single" w:color="CCCCCC" w:sz="1"/>
            </w:tcBorders>
            <w:shd w:fill="F7F8F9" w:val="clear"/>
            <w:tcMar>
              <w:top w:type="dxa" w:w="100"/>
              <w:left w:type="dxa" w:w="120"/>
              <w:bottom w:type="dxa" w:w="100"/>
              <w:right w:type="dxa" w:w="120"/>
            </w:tcMar>
            <w:vAlign w:val="top"/>
          </w:tcPr>
          <w:p/>
          <w:p/>
          <w:p/>
          <w:p/>
        </w:tc>
      </w:tr>
    </w:tbl>
    <w:p>
      <w:pPr>
        <w:spacing w:before="40" w:after="0"/>
      </w:pPr>
    </w:p>
    <w:p>
      <w:pPr>
        <w:spacing w:before="8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4  Priority Focus Areas</w:t>
            </w:r>
          </w:p>
        </w:tc>
      </w:tr>
    </w:tbl>
    <w:p>
      <w:pPr>
        <w:spacing w:before="0" w:after="60"/>
        <w:jc w:val="left"/>
      </w:pPr>
      <w:r>
        <w:rPr>
          <w:rFonts w:ascii="Arial" w:cs="Arial" w:eastAsia="Arial" w:hAnsi="Arial"/>
          <w:b w:val="false"/>
          <w:bCs w:val="false"/>
          <w:i/>
          <w:iCs/>
          <w:color w:val="555555"/>
          <w:sz w:val="16"/>
          <w:szCs w:val="16"/>
        </w:rPr>
        <w:t xml:space="preserve">Select 2–3 domains from the Rating Matrix (Section 2) that scored weakest or represent the biggest constraint on the objectives above.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Select 2–3 domains:
☐  1  Business Model &amp; Revenue Mix
☐  2  Products &amp; Unit Economics
☐  3  Financial Management &amp; Cash
☐  4  Commercial Strategy &amp; Market Focus
☐  5  Go-To-Market &amp; Sales
☐  6  Operations &amp; Delivery Capacity
☐  7  Cross-Border Readiness
☐  8  Leadership &amp; Execution Capacity
☐  9  Organisational Readiness</w:t>
            </w:r>
          </w:p>
        </w:tc>
        <w:tc>
          <w:tcPr>
            <w:tcW w:type="dxa" w:w="4953"/>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Programme intensity:
☐  Stabilise — address a structural weakness
☐  Strengthen — build on an existing foundation
☐  Scale — accelerate something already working</w:t>
            </w:r>
          </w:p>
        </w:tc>
      </w:tr>
    </w:tbl>
    <w:p>
      <w:pPr>
        <w:spacing w:before="120" w:after="0"/>
      </w:pPr>
    </w:p>
    <w:p>
      <w:pPr>
        <w:spacing w:before="0" w:after="60"/>
        <w:jc w:val="left"/>
      </w:pPr>
      <w:r>
        <w:rPr>
          <w:rFonts w:ascii="Arial" w:cs="Arial" w:eastAsia="Arial" w:hAnsi="Arial"/>
          <w:b/>
          <w:bCs/>
          <w:i w:val="false"/>
          <w:iCs w:val="false"/>
          <w:color w:val="1A2B4A"/>
          <w:sz w:val="22"/>
          <w:szCs w:val="22"/>
        </w:rPr>
        <w:t xml:space="preserve">Joint Sign-Off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c>
          <w:tcPr>
            <w:tcW w:type="dxa" w:w="3302"/>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CEO
Name: ___________________________
Signature: ___________________________
Date: ___________________________</w:t>
            </w:r>
          </w:p>
        </w:tc>
        <w:tc>
          <w:tcPr>
            <w:tcW w:type="dxa" w:w="33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
            </w:r>
          </w:p>
        </w:tc>
        <w:tc>
          <w:tcPr>
            <w:tcW w:type="dxa" w:w="3302"/>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Assessor
Name: ___________________________
Signature: ___________________________
Date: ___________________________</w:t>
            </w:r>
          </w:p>
        </w:tc>
      </w:tr>
    </w:tbl>
    <w:p>
      <w:pPr>
        <w:spacing w:before="20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Baseline Lock Confirmation</w:t>
            </w:r>
          </w:p>
        </w:tc>
      </w:tr>
    </w:tbl>
    <w:p>
      <w:pPr>
        <w:spacing w:before="0" w:after="80"/>
        <w:jc w:val="left"/>
      </w:pPr>
      <w:r>
        <w:rPr>
          <w:rFonts w:ascii="Arial" w:cs="Arial" w:eastAsia="Arial" w:hAnsi="Arial"/>
          <w:b w:val="false"/>
          <w:bCs w:val="false"/>
          <w:i/>
          <w:iCs/>
          <w:color w:val="555555"/>
          <w:sz w:val="16"/>
          <w:szCs w:val="16"/>
        </w:rPr>
        <w:t xml:space="preserve">Assessors only — complete within 48 hours of the session. The CEO is not present for this step. Once signed the baseline is locked and may not be amended.</w:t>
      </w:r>
    </w:p>
    <w:p>
      <w:pPr>
        <w:spacing w:before="0" w:after="40"/>
        <w:jc w:val="left"/>
      </w:pPr>
      <w:r>
        <w:rPr>
          <w:rFonts w:ascii="Arial" w:cs="Arial" w:eastAsia="Arial" w:hAnsi="Arial"/>
          <w:b w:val="false"/>
          <w:bCs w:val="false"/>
          <w:i w:val="false"/>
          <w:iCs w:val="false"/>
          <w:color w:val="2C2C2C"/>
          <w:sz w:val="17"/>
          <w:szCs w:val="17"/>
        </w:rPr>
        <w:t xml:space="preserve">☐ Section 4 signed by both CEO and assessor during the session</w:t>
      </w:r>
    </w:p>
    <w:p>
      <w:pPr>
        <w:spacing w:before="0" w:after="40"/>
        <w:jc w:val="left"/>
      </w:pPr>
      <w:r>
        <w:rPr>
          <w:rFonts w:ascii="Arial" w:cs="Arial" w:eastAsia="Arial" w:hAnsi="Arial"/>
          <w:b w:val="false"/>
          <w:bCs w:val="false"/>
          <w:i w:val="false"/>
          <w:iCs w:val="false"/>
          <w:color w:val="2C2C2C"/>
          <w:sz w:val="17"/>
          <w:szCs w:val="17"/>
        </w:rPr>
        <w:t xml:space="preserve">☐ Score adjustments (if any) documented with evidence basis in Section 2</w:t>
      </w:r>
    </w:p>
    <w:p>
      <w:pPr>
        <w:spacing w:before="0" w:after="40"/>
        <w:jc w:val="left"/>
      </w:pPr>
      <w:r>
        <w:rPr>
          <w:rFonts w:ascii="Arial" w:cs="Arial" w:eastAsia="Arial" w:hAnsi="Arial"/>
          <w:b w:val="false"/>
          <w:bCs w:val="false"/>
          <w:i w:val="false"/>
          <w:iCs w:val="false"/>
          <w:color w:val="2C2C2C"/>
          <w:sz w:val="17"/>
          <w:szCs w:val="17"/>
        </w:rPr>
        <w:t xml:space="preserve">☐ Overall score and maturity label confirmed</w:t>
      </w:r>
    </w:p>
    <w:p>
      <w:pPr>
        <w:spacing w:before="0" w:after="40"/>
        <w:jc w:val="left"/>
      </w:pPr>
      <w:r>
        <w:rPr>
          <w:rFonts w:ascii="Arial" w:cs="Arial" w:eastAsia="Arial" w:hAnsi="Arial"/>
          <w:b w:val="false"/>
          <w:bCs w:val="false"/>
          <w:i w:val="false"/>
          <w:iCs w:val="false"/>
          <w:color w:val="2C2C2C"/>
          <w:sz w:val="17"/>
          <w:szCs w:val="17"/>
        </w:rPr>
        <w:t xml:space="preserve">☐ File saved as: OrgName_Baseline_Final_Date — no further edits</w:t>
      </w:r>
    </w:p>
    <w:p>
      <w:pPr>
        <w:spacing w:before="0" w:after="40"/>
        <w:jc w:val="left"/>
      </w:pPr>
      <w:r>
        <w:rPr>
          <w:rFonts w:ascii="Arial" w:cs="Arial" w:eastAsia="Arial" w:hAnsi="Arial"/>
          <w:b w:val="false"/>
          <w:bCs w:val="false"/>
          <w:i w:val="false"/>
          <w:iCs w:val="false"/>
          <w:color w:val="2C2C2C"/>
          <w:sz w:val="17"/>
          <w:szCs w:val="17"/>
        </w:rPr>
        <w:t xml:space="preserve">☐ CEO Feedback Template completed and issued within 48 hours</w:t>
      </w:r>
    </w:p>
    <w:p>
      <w:pPr>
        <w:spacing w:before="12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906"/>
      </w:tblGrid>
      <w:tr>
        <w:tc>
          <w:tcPr>
            <w:tcW w:type="dxa" w:w="2500"/>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Session led by</w:t>
            </w:r>
          </w:p>
        </w:tc>
        <w:tc>
          <w:tcPr>
            <w:tcW w:type="dxa" w:w="2500"/>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Date of session</w:t>
            </w:r>
          </w:p>
        </w:tc>
        <w:tc>
          <w:tcPr>
            <w:tcW w:type="dxa" w:w="4906"/>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bCs/>
                <w:i w:val="false"/>
                <w:iCs w:val="false"/>
                <w:color w:val="1A2B4A"/>
                <w:sz w:val="18"/>
                <w:szCs w:val="18"/>
              </w:rPr>
              <w:t xml:space="preserve">Date of lock</w:t>
            </w:r>
          </w:p>
        </w:tc>
      </w:tr>
    </w:tbl>
    <w:p>
      <w:pPr>
        <w:spacing w:before="8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Fiona Descoteaux
Signature  _________________________________
Date  _______________</w:t>
            </w:r>
          </w:p>
        </w:tc>
        <w:tc>
          <w:tcPr>
            <w:tcW w:type="dxa" w:w="4953"/>
            <w:tcBorders>
              <w:top w:val="single" w:color="CCCCCC" w:sz="1"/>
              <w:left w:val="single" w:color="CCCCCC" w:sz="1"/>
              <w:bottom w:val="single" w:color="CCCCCC" w:sz="1"/>
              <w:right w:val="single" w:color="CCCCCC" w:sz="1"/>
            </w:tcBorders>
            <w:shd w:fill="F7F8F9" w:val="clear"/>
            <w:tcMar>
              <w:top w:type="dxa" w:w="80"/>
              <w:left w:type="dxa" w:w="120"/>
              <w:bottom w:type="dxa" w:w="80"/>
              <w:right w:type="dxa" w:w="120"/>
            </w:tcMar>
            <w:vAlign w:val="top"/>
          </w:tcPr>
          <w:p>
            <w:pPr>
              <w:spacing w:after="0"/>
            </w:pPr>
            <w:r>
              <w:rPr>
                <w:rFonts w:ascii="Arial" w:cs="Arial" w:eastAsia="Arial" w:hAnsi="Arial"/>
                <w:b w:val="false"/>
                <w:bCs w:val="false"/>
                <w:i w:val="false"/>
                <w:iCs w:val="false"/>
                <w:color w:val="2C2C2C"/>
                <w:sz w:val="18"/>
                <w:szCs w:val="18"/>
              </w:rPr>
              <w:t xml:space="preserve">Dr Clodagh O'Reilly
Signature  _________________________________
Date  _______________</w:t>
            </w:r>
          </w:p>
        </w:tc>
      </w:tr>
    </w:tbl>
    <w:p>
      <w:pPr>
        <w:spacing w:before="80" w:after="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906"/>
      </w:tblGrid>
      <w:tr>
        <w:tc>
          <w:tcPr>
            <w:tcW w:type="dxa" w:w="2500"/>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Baseline Status</w:t>
            </w:r>
          </w:p>
        </w:tc>
        <w:tc>
          <w:tcPr>
            <w:tcW w:type="dxa" w:w="2500"/>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 Locked — confirmed</w:t>
            </w:r>
          </w:p>
        </w:tc>
        <w:tc>
          <w:tcPr>
            <w:tcW w:type="dxa" w:w="4906"/>
            <w:tcBorders>
              <w:top w:val="none" w:color="FFFFFF" w:sz="0"/>
              <w:left w:val="none" w:color="FFFFFF" w:sz="0"/>
              <w:bottom w:val="none" w:color="FFFFFF" w:sz="0"/>
              <w:right w:val="none" w:color="FFFFFF" w:sz="0"/>
            </w:tcBorders>
            <w:shd w:fill="1A2B4A"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Timestamp: __________________</w:t>
            </w:r>
          </w:p>
        </w:tc>
      </w:tr>
    </w:tbl>
    <w:p>
      <w:pPr>
        <w:spacing w:before="200" w:after="0"/>
      </w:pPr>
    </w:p>
    <w:p>
      <w:pPr>
        <w:spacing w:before="0" w:after="80"/>
        <w:jc w:val="left"/>
      </w:pPr>
      <w:r>
        <w:rPr>
          <w:rFonts w:ascii="Arial" w:cs="Arial" w:eastAsia="Arial" w:hAnsi="Arial"/>
          <w:b w:val="false"/>
          <w:bCs w:val="false"/>
          <w:i/>
          <w:iCs/>
          <w:color w:val="888888"/>
          <w:sz w:val="16"/>
          <w:szCs w:val="16"/>
        </w:rPr>
        <w:t xml:space="preserve">This baseline will be formally reassessed in December at programme close. Progress against the agreed maturity level and SMART objectives will be measured using identical domains and scoring anchors.</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2026-03-21T12:04:04.681Z</dcterms:created>
  <dcterms:modified xsi:type="dcterms:W3CDTF">2026-03-21T12:04:04.682Z</dcterms:modified>
</cp:coreProperties>
</file>

<file path=docProps/custom.xml><?xml version="1.0" encoding="utf-8"?>
<Properties xmlns="http://schemas.openxmlformats.org/officeDocument/2006/custom-properties" xmlns:vt="http://schemas.openxmlformats.org/officeDocument/2006/docPropsVTypes"/>
</file>