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271D2" w14:textId="0423FA9E" w:rsidR="005750E2" w:rsidRDefault="005750E2" w:rsidP="005750E2">
      <w:pPr>
        <w:pStyle w:val="paragraph"/>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1F7CBF20" wp14:editId="664ECA75">
            <wp:extent cx="5731510" cy="1713230"/>
            <wp:effectExtent l="0" t="0" r="0" b="1270"/>
            <wp:docPr id="1015232063"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32063" name="Picture 2" descr="A graph with different colored bars&#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713230"/>
                    </a:xfrm>
                    <a:prstGeom prst="rect">
                      <a:avLst/>
                    </a:prstGeom>
                    <a:noFill/>
                    <a:ln>
                      <a:noFill/>
                    </a:ln>
                  </pic:spPr>
                </pic:pic>
              </a:graphicData>
            </a:graphic>
          </wp:inline>
        </w:drawing>
      </w:r>
      <w:r>
        <w:rPr>
          <w:rStyle w:val="eop"/>
          <w:rFonts w:ascii="Aptos" w:eastAsiaTheme="majorEastAsia" w:hAnsi="Aptos" w:cs="Segoe UI"/>
        </w:rPr>
        <w:t> </w:t>
      </w:r>
    </w:p>
    <w:p w14:paraId="16055ED5" w14:textId="7B7621D9" w:rsidR="005750E2" w:rsidRDefault="005750E2" w:rsidP="005750E2">
      <w:pPr>
        <w:pStyle w:val="paragraph"/>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0FBCF43D" wp14:editId="77B9DA4B">
            <wp:extent cx="5731510" cy="1725295"/>
            <wp:effectExtent l="0" t="0" r="0" b="1905"/>
            <wp:docPr id="1608347886"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47886" name="Picture 1" descr="A graph with blue and orange ba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725295"/>
                    </a:xfrm>
                    <a:prstGeom prst="rect">
                      <a:avLst/>
                    </a:prstGeom>
                    <a:noFill/>
                    <a:ln>
                      <a:noFill/>
                    </a:ln>
                  </pic:spPr>
                </pic:pic>
              </a:graphicData>
            </a:graphic>
          </wp:inline>
        </w:drawing>
      </w:r>
      <w:r>
        <w:rPr>
          <w:rStyle w:val="eop"/>
          <w:rFonts w:ascii="Aptos" w:eastAsiaTheme="majorEastAsia" w:hAnsi="Aptos" w:cs="Segoe UI"/>
        </w:rPr>
        <w:t> </w:t>
      </w:r>
    </w:p>
    <w:p w14:paraId="6713C72D" w14:textId="77777777" w:rsidR="005750E2" w:rsidRDefault="005750E2" w:rsidP="005750E2">
      <w:pPr>
        <w:pStyle w:val="paragraph"/>
        <w:spacing w:before="0" w:beforeAutospacing="0" w:after="0" w:afterAutospacing="0"/>
        <w:textAlignment w:val="baseline"/>
        <w:rPr>
          <w:rFonts w:ascii="Segoe UI" w:hAnsi="Segoe UI" w:cs="Segoe UI"/>
          <w:i/>
          <w:iCs/>
          <w:color w:val="6D1D6A"/>
          <w:sz w:val="18"/>
          <w:szCs w:val="18"/>
        </w:rPr>
      </w:pPr>
      <w:r>
        <w:rPr>
          <w:rStyle w:val="normaltextrun"/>
          <w:rFonts w:ascii="Aptos" w:eastAsiaTheme="majorEastAsia" w:hAnsi="Aptos" w:cs="Segoe UI"/>
          <w:i/>
          <w:iCs/>
          <w:color w:val="6D1D6A"/>
          <w:sz w:val="22"/>
          <w:szCs w:val="22"/>
        </w:rPr>
        <w:t>Figure 2. Risk of bias plots of AD animal studies evaluated using SYRCLE’s risk of bias tool. Plot created based on the original systematic review (top) and for our replication (bottom). Data are presented for the percentage of included studies assigned a low (blue), high (red) or unclear (orange) risk of bias for each of the 10 SYRCLE risk of bias domains and for our replication (bottom). Data are presented for the percentage of included studies assigned a low (blue), high (red) or unclear (orange) risk of bias for each of the 10 SYRCLE risk of bias domains.</w:t>
      </w:r>
      <w:r>
        <w:rPr>
          <w:rStyle w:val="eop"/>
          <w:rFonts w:ascii="Aptos" w:eastAsiaTheme="majorEastAsia" w:hAnsi="Aptos" w:cs="Segoe UI"/>
          <w:i/>
          <w:iCs/>
          <w:color w:val="6D1D6A"/>
          <w:sz w:val="22"/>
          <w:szCs w:val="22"/>
        </w:rPr>
        <w:t> </w:t>
      </w:r>
    </w:p>
    <w:p w14:paraId="7CBB08B5" w14:textId="77777777" w:rsidR="002A79C6" w:rsidRDefault="002A79C6"/>
    <w:p w14:paraId="53977977" w14:textId="77777777" w:rsidR="005750E2" w:rsidRDefault="005750E2"/>
    <w:p w14:paraId="77FC3042" w14:textId="77777777" w:rsidR="005750E2" w:rsidRPr="005750E2" w:rsidRDefault="005750E2" w:rsidP="005750E2">
      <w:pPr>
        <w:textAlignment w:val="baseline"/>
        <w:rPr>
          <w:rFonts w:ascii="Segoe UI" w:eastAsia="Times New Roman" w:hAnsi="Segoe UI" w:cs="Segoe UI"/>
          <w:b/>
          <w:bCs/>
          <w:i/>
          <w:iCs/>
          <w:color w:val="6D1D6A"/>
          <w:sz w:val="18"/>
          <w:szCs w:val="18"/>
          <w:lang w:eastAsia="en-GB"/>
        </w:rPr>
      </w:pPr>
      <w:r w:rsidRPr="005750E2">
        <w:rPr>
          <w:rFonts w:ascii="Aptos" w:eastAsia="Times New Roman" w:hAnsi="Aptos" w:cs="Segoe UI"/>
          <w:b/>
          <w:bCs/>
          <w:i/>
          <w:iCs/>
          <w:color w:val="6D1D6A"/>
          <w:sz w:val="22"/>
          <w:szCs w:val="22"/>
          <w:shd w:val="clear" w:color="auto" w:fill="FFFF00"/>
          <w:lang w:eastAsia="en-GB"/>
        </w:rPr>
        <w:t>Table</w:t>
      </w:r>
      <w:r w:rsidRPr="005750E2">
        <w:rPr>
          <w:rFonts w:ascii="Aptos" w:eastAsia="Times New Roman" w:hAnsi="Aptos" w:cs="Segoe UI"/>
          <w:b/>
          <w:bCs/>
          <w:i/>
          <w:iCs/>
          <w:color w:val="6D1D6A"/>
          <w:sz w:val="22"/>
          <w:szCs w:val="22"/>
          <w:lang w:eastAsia="en-GB"/>
        </w:rPr>
        <w:t xml:space="preserve"> 2. Quantitative comparison of summary meta-analysis with subgroup analysis between the original study and replication (4 different strategies) for the Morris Water Maze (MWM) escape latency outcome. </w:t>
      </w:r>
      <w:r w:rsidRPr="005750E2">
        <w:rPr>
          <w:rFonts w:ascii="Aptos" w:eastAsia="Times New Roman" w:hAnsi="Aptos" w:cs="Segoe UI"/>
          <w:i/>
          <w:iCs/>
          <w:color w:val="6D1D6A"/>
          <w:sz w:val="22"/>
          <w:szCs w:val="22"/>
          <w:lang w:eastAsia="en-GB"/>
        </w:rPr>
        <w:t>Note: we multiplied the SMD and 95% CI values of the original review by –1 to account for direction of effect.</w:t>
      </w:r>
      <w:r w:rsidRPr="005750E2">
        <w:rPr>
          <w:rFonts w:ascii="Aptos" w:eastAsia="Times New Roman" w:hAnsi="Aptos" w:cs="Segoe UI"/>
          <w:b/>
          <w:bCs/>
          <w:i/>
          <w:iCs/>
          <w:color w:val="6D1D6A"/>
          <w:sz w:val="22"/>
          <w:szCs w:val="22"/>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8"/>
        <w:gridCol w:w="896"/>
        <w:gridCol w:w="1802"/>
        <w:gridCol w:w="1807"/>
        <w:gridCol w:w="1807"/>
      </w:tblGrid>
      <w:tr w:rsidR="005750E2" w:rsidRPr="005750E2" w14:paraId="4EF254EC" w14:textId="77777777">
        <w:trPr>
          <w:trHeight w:val="180"/>
        </w:trPr>
        <w:tc>
          <w:tcPr>
            <w:tcW w:w="2715" w:type="dxa"/>
            <w:tcBorders>
              <w:top w:val="single" w:sz="6" w:space="0" w:color="000000"/>
              <w:left w:val="single" w:sz="6" w:space="0" w:color="000000"/>
              <w:bottom w:val="single" w:sz="6" w:space="0" w:color="000000"/>
              <w:right w:val="single" w:sz="6" w:space="0" w:color="000000"/>
            </w:tcBorders>
            <w:hideMark/>
          </w:tcPr>
          <w:p w14:paraId="20D445CB"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900" w:type="dxa"/>
            <w:tcBorders>
              <w:top w:val="single" w:sz="6" w:space="0" w:color="000000"/>
              <w:left w:val="single" w:sz="6" w:space="0" w:color="000000"/>
              <w:bottom w:val="single" w:sz="6" w:space="0" w:color="000000"/>
              <w:right w:val="single" w:sz="6" w:space="0" w:color="000000"/>
            </w:tcBorders>
            <w:hideMark/>
          </w:tcPr>
          <w:p w14:paraId="0A86534B"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SMD </w:t>
            </w:r>
          </w:p>
        </w:tc>
        <w:tc>
          <w:tcPr>
            <w:tcW w:w="1815" w:type="dxa"/>
            <w:tcBorders>
              <w:top w:val="single" w:sz="6" w:space="0" w:color="000000"/>
              <w:left w:val="single" w:sz="6" w:space="0" w:color="000000"/>
              <w:bottom w:val="single" w:sz="6" w:space="0" w:color="000000"/>
              <w:right w:val="single" w:sz="6" w:space="0" w:color="000000"/>
            </w:tcBorders>
            <w:hideMark/>
          </w:tcPr>
          <w:p w14:paraId="5E360FDA"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95% CI </w:t>
            </w:r>
          </w:p>
        </w:tc>
        <w:tc>
          <w:tcPr>
            <w:tcW w:w="1815" w:type="dxa"/>
            <w:tcBorders>
              <w:top w:val="single" w:sz="6" w:space="0" w:color="000000"/>
              <w:left w:val="single" w:sz="6" w:space="0" w:color="000000"/>
              <w:bottom w:val="single" w:sz="6" w:space="0" w:color="000000"/>
              <w:right w:val="single" w:sz="6" w:space="0" w:color="000000"/>
            </w:tcBorders>
            <w:hideMark/>
          </w:tcPr>
          <w:p w14:paraId="5B0B1375"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Subgroup Χ</w:t>
            </w:r>
            <w:r w:rsidRPr="005750E2">
              <w:rPr>
                <w:rFonts w:ascii="Aptos" w:eastAsia="Times New Roman" w:hAnsi="Aptos" w:cs="Times New Roman"/>
                <w:sz w:val="19"/>
                <w:szCs w:val="19"/>
                <w:vertAlign w:val="superscript"/>
                <w:lang w:eastAsia="en-GB"/>
              </w:rPr>
              <w:t>2</w:t>
            </w:r>
            <w:r w:rsidRPr="005750E2">
              <w:rPr>
                <w:rFonts w:ascii="Aptos" w:eastAsia="Times New Roman" w:hAnsi="Aptos" w:cs="Times New Roman"/>
                <w:sz w:val="19"/>
                <w:szCs w:val="19"/>
                <w:lang w:eastAsia="en-GB"/>
              </w:rPr>
              <w:t> </w:t>
            </w:r>
          </w:p>
        </w:tc>
        <w:tc>
          <w:tcPr>
            <w:tcW w:w="1815" w:type="dxa"/>
            <w:tcBorders>
              <w:top w:val="single" w:sz="6" w:space="0" w:color="000000"/>
              <w:left w:val="single" w:sz="6" w:space="0" w:color="000000"/>
              <w:bottom w:val="single" w:sz="6" w:space="0" w:color="000000"/>
              <w:right w:val="single" w:sz="6" w:space="0" w:color="000000"/>
            </w:tcBorders>
            <w:hideMark/>
          </w:tcPr>
          <w:p w14:paraId="52F6539B"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Subgroup P </w:t>
            </w:r>
          </w:p>
        </w:tc>
      </w:tr>
      <w:tr w:rsidR="005750E2" w:rsidRPr="005750E2" w14:paraId="0846F3AB" w14:textId="77777777">
        <w:trPr>
          <w:trHeight w:val="180"/>
        </w:trPr>
        <w:tc>
          <w:tcPr>
            <w:tcW w:w="2715" w:type="dxa"/>
            <w:tcBorders>
              <w:top w:val="single" w:sz="6" w:space="0" w:color="000000"/>
              <w:left w:val="single" w:sz="6" w:space="0" w:color="000000"/>
              <w:bottom w:val="single" w:sz="6" w:space="0" w:color="000000"/>
              <w:right w:val="single" w:sz="6" w:space="0" w:color="000000"/>
            </w:tcBorders>
            <w:hideMark/>
          </w:tcPr>
          <w:p w14:paraId="41B0C5FD"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Original review </w:t>
            </w:r>
          </w:p>
        </w:tc>
        <w:tc>
          <w:tcPr>
            <w:tcW w:w="900" w:type="dxa"/>
            <w:tcBorders>
              <w:top w:val="single" w:sz="6" w:space="0" w:color="000000"/>
              <w:left w:val="single" w:sz="6" w:space="0" w:color="000000"/>
              <w:bottom w:val="single" w:sz="6" w:space="0" w:color="000000"/>
              <w:right w:val="single" w:sz="6" w:space="0" w:color="000000"/>
            </w:tcBorders>
            <w:hideMark/>
          </w:tcPr>
          <w:p w14:paraId="35A85619"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1.19 </w:t>
            </w:r>
          </w:p>
          <w:p w14:paraId="15FBD919"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815" w:type="dxa"/>
            <w:tcBorders>
              <w:top w:val="single" w:sz="6" w:space="0" w:color="000000"/>
              <w:left w:val="single" w:sz="6" w:space="0" w:color="000000"/>
              <w:bottom w:val="single" w:sz="6" w:space="0" w:color="000000"/>
              <w:right w:val="single" w:sz="6" w:space="0" w:color="000000"/>
            </w:tcBorders>
            <w:hideMark/>
          </w:tcPr>
          <w:p w14:paraId="79C449A7"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[0.38; 1.99] </w:t>
            </w:r>
          </w:p>
          <w:p w14:paraId="7A4A86FF"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815" w:type="dxa"/>
            <w:tcBorders>
              <w:top w:val="single" w:sz="6" w:space="0" w:color="000000"/>
              <w:left w:val="single" w:sz="6" w:space="0" w:color="000000"/>
              <w:bottom w:val="single" w:sz="6" w:space="0" w:color="000000"/>
              <w:right w:val="single" w:sz="6" w:space="0" w:color="000000"/>
            </w:tcBorders>
            <w:hideMark/>
          </w:tcPr>
          <w:p w14:paraId="1829E418"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0.93 </w:t>
            </w:r>
          </w:p>
        </w:tc>
        <w:tc>
          <w:tcPr>
            <w:tcW w:w="1815" w:type="dxa"/>
            <w:tcBorders>
              <w:top w:val="single" w:sz="6" w:space="0" w:color="000000"/>
              <w:left w:val="single" w:sz="6" w:space="0" w:color="000000"/>
              <w:bottom w:val="single" w:sz="6" w:space="0" w:color="000000"/>
              <w:right w:val="single" w:sz="6" w:space="0" w:color="000000"/>
            </w:tcBorders>
            <w:hideMark/>
          </w:tcPr>
          <w:p w14:paraId="1A201F26"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0.63 </w:t>
            </w:r>
          </w:p>
          <w:p w14:paraId="5D57B1A5"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r>
      <w:tr w:rsidR="005750E2" w:rsidRPr="005750E2" w14:paraId="0E5EF26B" w14:textId="77777777">
        <w:trPr>
          <w:trHeight w:val="180"/>
        </w:trPr>
        <w:tc>
          <w:tcPr>
            <w:tcW w:w="2715" w:type="dxa"/>
            <w:tcBorders>
              <w:top w:val="single" w:sz="6" w:space="0" w:color="000000"/>
              <w:left w:val="single" w:sz="6" w:space="0" w:color="000000"/>
              <w:bottom w:val="single" w:sz="6" w:space="0" w:color="000000"/>
              <w:right w:val="single" w:sz="6" w:space="0" w:color="000000"/>
            </w:tcBorders>
            <w:hideMark/>
          </w:tcPr>
          <w:p w14:paraId="24FE89BD"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w:t>
            </w:r>
            <w:proofErr w:type="spellStart"/>
            <w:r w:rsidRPr="005750E2">
              <w:rPr>
                <w:rFonts w:ascii="Aptos" w:eastAsia="Times New Roman" w:hAnsi="Aptos" w:cs="Times New Roman"/>
                <w:lang w:eastAsia="en-GB"/>
              </w:rPr>
              <w:t>i</w:t>
            </w:r>
            <w:proofErr w:type="spellEnd"/>
            <w:r w:rsidRPr="005750E2">
              <w:rPr>
                <w:rFonts w:ascii="Aptos" w:eastAsia="Times New Roman" w:hAnsi="Aptos" w:cs="Times New Roman"/>
                <w:lang w:eastAsia="en-GB"/>
              </w:rPr>
              <w:t>) Last time point </w:t>
            </w:r>
          </w:p>
        </w:tc>
        <w:tc>
          <w:tcPr>
            <w:tcW w:w="900" w:type="dxa"/>
            <w:tcBorders>
              <w:top w:val="single" w:sz="6" w:space="0" w:color="000000"/>
              <w:left w:val="single" w:sz="6" w:space="0" w:color="000000"/>
              <w:bottom w:val="single" w:sz="6" w:space="0" w:color="000000"/>
              <w:right w:val="single" w:sz="6" w:space="0" w:color="000000"/>
            </w:tcBorders>
            <w:hideMark/>
          </w:tcPr>
          <w:p w14:paraId="53F6EE5A"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1.54 </w:t>
            </w:r>
          </w:p>
          <w:p w14:paraId="4322D29B"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815" w:type="dxa"/>
            <w:tcBorders>
              <w:top w:val="single" w:sz="6" w:space="0" w:color="000000"/>
              <w:left w:val="single" w:sz="6" w:space="0" w:color="000000"/>
              <w:bottom w:val="single" w:sz="6" w:space="0" w:color="000000"/>
              <w:right w:val="single" w:sz="6" w:space="0" w:color="000000"/>
            </w:tcBorders>
            <w:hideMark/>
          </w:tcPr>
          <w:p w14:paraId="29F64AF8"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[0.41; 2.68] </w:t>
            </w:r>
          </w:p>
          <w:p w14:paraId="68A6CA95"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815" w:type="dxa"/>
            <w:tcBorders>
              <w:top w:val="single" w:sz="6" w:space="0" w:color="000000"/>
              <w:left w:val="single" w:sz="6" w:space="0" w:color="000000"/>
              <w:bottom w:val="single" w:sz="6" w:space="0" w:color="000000"/>
              <w:right w:val="single" w:sz="6" w:space="0" w:color="000000"/>
            </w:tcBorders>
            <w:hideMark/>
          </w:tcPr>
          <w:p w14:paraId="61B6A2B3"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12.39 </w:t>
            </w:r>
          </w:p>
          <w:p w14:paraId="368C8E6F"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815" w:type="dxa"/>
            <w:tcBorders>
              <w:top w:val="single" w:sz="6" w:space="0" w:color="000000"/>
              <w:left w:val="single" w:sz="6" w:space="0" w:color="000000"/>
              <w:bottom w:val="single" w:sz="6" w:space="0" w:color="000000"/>
              <w:right w:val="single" w:sz="6" w:space="0" w:color="000000"/>
            </w:tcBorders>
            <w:hideMark/>
          </w:tcPr>
          <w:p w14:paraId="49411742"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0.002 </w:t>
            </w:r>
          </w:p>
          <w:p w14:paraId="61261E22"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r>
      <w:tr w:rsidR="005750E2" w:rsidRPr="005750E2" w14:paraId="101BD703" w14:textId="77777777">
        <w:trPr>
          <w:trHeight w:val="180"/>
        </w:trPr>
        <w:tc>
          <w:tcPr>
            <w:tcW w:w="2715" w:type="dxa"/>
            <w:tcBorders>
              <w:top w:val="single" w:sz="6" w:space="0" w:color="000000"/>
              <w:left w:val="single" w:sz="6" w:space="0" w:color="000000"/>
              <w:bottom w:val="single" w:sz="6" w:space="0" w:color="000000"/>
              <w:right w:val="single" w:sz="6" w:space="0" w:color="000000"/>
            </w:tcBorders>
            <w:hideMark/>
          </w:tcPr>
          <w:p w14:paraId="6B86B435"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(ii) Biggest difference </w:t>
            </w:r>
          </w:p>
        </w:tc>
        <w:tc>
          <w:tcPr>
            <w:tcW w:w="900" w:type="dxa"/>
            <w:tcBorders>
              <w:top w:val="single" w:sz="6" w:space="0" w:color="000000"/>
              <w:left w:val="single" w:sz="6" w:space="0" w:color="000000"/>
              <w:bottom w:val="single" w:sz="6" w:space="0" w:color="000000"/>
              <w:right w:val="single" w:sz="6" w:space="0" w:color="000000"/>
            </w:tcBorders>
            <w:hideMark/>
          </w:tcPr>
          <w:p w14:paraId="29BC3E15"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1.54 </w:t>
            </w:r>
          </w:p>
          <w:p w14:paraId="35A6639A"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815" w:type="dxa"/>
            <w:tcBorders>
              <w:top w:val="single" w:sz="6" w:space="0" w:color="000000"/>
              <w:left w:val="single" w:sz="6" w:space="0" w:color="000000"/>
              <w:bottom w:val="single" w:sz="6" w:space="0" w:color="000000"/>
              <w:right w:val="single" w:sz="6" w:space="0" w:color="000000"/>
            </w:tcBorders>
            <w:hideMark/>
          </w:tcPr>
          <w:p w14:paraId="4B47D8B8"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[0.80; 2.29] </w:t>
            </w:r>
          </w:p>
          <w:p w14:paraId="1E51F984"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815" w:type="dxa"/>
            <w:tcBorders>
              <w:top w:val="single" w:sz="6" w:space="0" w:color="000000"/>
              <w:left w:val="single" w:sz="6" w:space="0" w:color="000000"/>
              <w:bottom w:val="single" w:sz="6" w:space="0" w:color="000000"/>
              <w:right w:val="single" w:sz="6" w:space="0" w:color="000000"/>
            </w:tcBorders>
            <w:hideMark/>
          </w:tcPr>
          <w:p w14:paraId="49DDFB4B"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3.62 </w:t>
            </w:r>
          </w:p>
          <w:p w14:paraId="63FE4AE1"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815" w:type="dxa"/>
            <w:tcBorders>
              <w:top w:val="single" w:sz="6" w:space="0" w:color="000000"/>
              <w:left w:val="single" w:sz="6" w:space="0" w:color="000000"/>
              <w:bottom w:val="single" w:sz="6" w:space="0" w:color="000000"/>
              <w:right w:val="single" w:sz="6" w:space="0" w:color="000000"/>
            </w:tcBorders>
            <w:hideMark/>
          </w:tcPr>
          <w:p w14:paraId="2D8B8363"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0.1637 </w:t>
            </w:r>
          </w:p>
          <w:p w14:paraId="5C3C4B26"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r>
      <w:tr w:rsidR="005750E2" w:rsidRPr="005750E2" w14:paraId="60D575E2" w14:textId="77777777">
        <w:trPr>
          <w:trHeight w:val="180"/>
        </w:trPr>
        <w:tc>
          <w:tcPr>
            <w:tcW w:w="2715" w:type="dxa"/>
            <w:tcBorders>
              <w:top w:val="single" w:sz="6" w:space="0" w:color="000000"/>
              <w:left w:val="single" w:sz="6" w:space="0" w:color="000000"/>
              <w:bottom w:val="single" w:sz="6" w:space="0" w:color="000000"/>
              <w:right w:val="single" w:sz="6" w:space="0" w:color="000000"/>
            </w:tcBorders>
            <w:hideMark/>
          </w:tcPr>
          <w:p w14:paraId="17143847"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(iii) AUC </w:t>
            </w:r>
          </w:p>
        </w:tc>
        <w:tc>
          <w:tcPr>
            <w:tcW w:w="900" w:type="dxa"/>
            <w:tcBorders>
              <w:top w:val="single" w:sz="6" w:space="0" w:color="000000"/>
              <w:left w:val="single" w:sz="6" w:space="0" w:color="000000"/>
              <w:bottom w:val="single" w:sz="6" w:space="0" w:color="000000"/>
              <w:right w:val="single" w:sz="6" w:space="0" w:color="000000"/>
            </w:tcBorders>
            <w:hideMark/>
          </w:tcPr>
          <w:p w14:paraId="7DBFB961"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1.59 </w:t>
            </w:r>
          </w:p>
          <w:p w14:paraId="3F37CA48"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815" w:type="dxa"/>
            <w:tcBorders>
              <w:top w:val="single" w:sz="6" w:space="0" w:color="000000"/>
              <w:left w:val="single" w:sz="6" w:space="0" w:color="000000"/>
              <w:bottom w:val="single" w:sz="6" w:space="0" w:color="000000"/>
              <w:right w:val="single" w:sz="6" w:space="0" w:color="000000"/>
            </w:tcBorders>
            <w:hideMark/>
          </w:tcPr>
          <w:p w14:paraId="5A57F25D"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[0.68; 2.51] </w:t>
            </w:r>
          </w:p>
          <w:p w14:paraId="7AF9BB30"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815" w:type="dxa"/>
            <w:tcBorders>
              <w:top w:val="single" w:sz="6" w:space="0" w:color="000000"/>
              <w:left w:val="single" w:sz="6" w:space="0" w:color="000000"/>
              <w:bottom w:val="single" w:sz="6" w:space="0" w:color="000000"/>
              <w:right w:val="single" w:sz="6" w:space="0" w:color="000000"/>
            </w:tcBorders>
            <w:hideMark/>
          </w:tcPr>
          <w:p w14:paraId="598F25BC"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0.68 </w:t>
            </w:r>
          </w:p>
          <w:p w14:paraId="63A77C87"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815" w:type="dxa"/>
            <w:tcBorders>
              <w:top w:val="single" w:sz="6" w:space="0" w:color="000000"/>
              <w:left w:val="single" w:sz="6" w:space="0" w:color="000000"/>
              <w:bottom w:val="single" w:sz="6" w:space="0" w:color="000000"/>
              <w:right w:val="single" w:sz="6" w:space="0" w:color="000000"/>
            </w:tcBorders>
            <w:hideMark/>
          </w:tcPr>
          <w:p w14:paraId="2B614214"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0.7117 </w:t>
            </w:r>
          </w:p>
          <w:p w14:paraId="4D30B67B"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r>
      <w:tr w:rsidR="005750E2" w:rsidRPr="005750E2" w14:paraId="7AA54980" w14:textId="77777777">
        <w:trPr>
          <w:trHeight w:val="180"/>
        </w:trPr>
        <w:tc>
          <w:tcPr>
            <w:tcW w:w="2715" w:type="dxa"/>
            <w:tcBorders>
              <w:top w:val="single" w:sz="6" w:space="0" w:color="000000"/>
              <w:left w:val="single" w:sz="6" w:space="0" w:color="000000"/>
              <w:bottom w:val="single" w:sz="6" w:space="0" w:color="000000"/>
              <w:right w:val="single" w:sz="6" w:space="0" w:color="000000"/>
            </w:tcBorders>
            <w:hideMark/>
          </w:tcPr>
          <w:p w14:paraId="781839D6"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(iv) Results-aligned </w:t>
            </w:r>
          </w:p>
        </w:tc>
        <w:tc>
          <w:tcPr>
            <w:tcW w:w="900" w:type="dxa"/>
            <w:tcBorders>
              <w:top w:val="single" w:sz="6" w:space="0" w:color="000000"/>
              <w:left w:val="single" w:sz="6" w:space="0" w:color="000000"/>
              <w:bottom w:val="single" w:sz="6" w:space="0" w:color="000000"/>
              <w:right w:val="single" w:sz="6" w:space="0" w:color="000000"/>
            </w:tcBorders>
            <w:hideMark/>
          </w:tcPr>
          <w:p w14:paraId="546FC5AB"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1.79 </w:t>
            </w:r>
          </w:p>
        </w:tc>
        <w:tc>
          <w:tcPr>
            <w:tcW w:w="1815" w:type="dxa"/>
            <w:tcBorders>
              <w:top w:val="single" w:sz="6" w:space="0" w:color="000000"/>
              <w:left w:val="single" w:sz="6" w:space="0" w:color="000000"/>
              <w:bottom w:val="single" w:sz="6" w:space="0" w:color="000000"/>
              <w:right w:val="single" w:sz="6" w:space="0" w:color="000000"/>
            </w:tcBorders>
            <w:hideMark/>
          </w:tcPr>
          <w:p w14:paraId="5EFF25C8"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[0.62; 2.95] </w:t>
            </w:r>
          </w:p>
          <w:p w14:paraId="7D5962BD"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815" w:type="dxa"/>
            <w:tcBorders>
              <w:top w:val="single" w:sz="6" w:space="0" w:color="000000"/>
              <w:left w:val="single" w:sz="6" w:space="0" w:color="000000"/>
              <w:bottom w:val="single" w:sz="6" w:space="0" w:color="000000"/>
              <w:right w:val="single" w:sz="6" w:space="0" w:color="000000"/>
            </w:tcBorders>
            <w:hideMark/>
          </w:tcPr>
          <w:p w14:paraId="692DDAE1"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2.26 </w:t>
            </w:r>
          </w:p>
        </w:tc>
        <w:tc>
          <w:tcPr>
            <w:tcW w:w="1815" w:type="dxa"/>
            <w:tcBorders>
              <w:top w:val="single" w:sz="6" w:space="0" w:color="000000"/>
              <w:left w:val="single" w:sz="6" w:space="0" w:color="000000"/>
              <w:bottom w:val="single" w:sz="6" w:space="0" w:color="000000"/>
              <w:right w:val="single" w:sz="6" w:space="0" w:color="000000"/>
            </w:tcBorders>
            <w:hideMark/>
          </w:tcPr>
          <w:p w14:paraId="1F32CB13"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0.3236 </w:t>
            </w:r>
          </w:p>
        </w:tc>
      </w:tr>
    </w:tbl>
    <w:p w14:paraId="3201BD25" w14:textId="77777777" w:rsidR="005750E2" w:rsidRPr="005750E2" w:rsidRDefault="005750E2" w:rsidP="005750E2">
      <w:pPr>
        <w:textAlignment w:val="baseline"/>
        <w:rPr>
          <w:rFonts w:ascii="Segoe UI" w:eastAsia="Times New Roman" w:hAnsi="Segoe UI" w:cs="Segoe UI"/>
          <w:sz w:val="18"/>
          <w:szCs w:val="18"/>
          <w:lang w:eastAsia="en-GB"/>
        </w:rPr>
      </w:pPr>
      <w:r w:rsidRPr="005750E2">
        <w:rPr>
          <w:rFonts w:ascii="Aptos" w:eastAsia="Times New Roman" w:hAnsi="Aptos" w:cs="Segoe UI"/>
          <w:lang w:eastAsia="en-GB"/>
        </w:rPr>
        <w:t> </w:t>
      </w:r>
    </w:p>
    <w:p w14:paraId="5FF461FC" w14:textId="77777777" w:rsidR="005750E2" w:rsidRPr="005750E2" w:rsidRDefault="005750E2" w:rsidP="005750E2">
      <w:pPr>
        <w:textAlignment w:val="baseline"/>
        <w:rPr>
          <w:rFonts w:ascii="Segoe UI" w:eastAsia="Times New Roman" w:hAnsi="Segoe UI" w:cs="Segoe UI"/>
          <w:b/>
          <w:bCs/>
          <w:i/>
          <w:iCs/>
          <w:color w:val="6D1D6A"/>
          <w:sz w:val="18"/>
          <w:szCs w:val="18"/>
          <w:lang w:eastAsia="en-GB"/>
        </w:rPr>
      </w:pPr>
      <w:r w:rsidRPr="005750E2">
        <w:rPr>
          <w:rFonts w:ascii="Aptos" w:eastAsia="Times New Roman" w:hAnsi="Aptos" w:cs="Segoe UI"/>
          <w:b/>
          <w:bCs/>
          <w:i/>
          <w:iCs/>
          <w:color w:val="6D1D6A"/>
          <w:sz w:val="22"/>
          <w:szCs w:val="22"/>
          <w:shd w:val="clear" w:color="auto" w:fill="FFFF00"/>
          <w:lang w:eastAsia="en-GB"/>
        </w:rPr>
        <w:t>Table 3.</w:t>
      </w:r>
      <w:r w:rsidRPr="005750E2">
        <w:rPr>
          <w:rFonts w:ascii="Aptos" w:eastAsia="Times New Roman" w:hAnsi="Aptos" w:cs="Segoe UI"/>
          <w:b/>
          <w:bCs/>
          <w:i/>
          <w:iCs/>
          <w:color w:val="6D1D6A"/>
          <w:sz w:val="22"/>
          <w:szCs w:val="22"/>
          <w:lang w:eastAsia="en-GB"/>
        </w:rPr>
        <w:t xml:space="preserve"> Quantitative comparison of meta-analysis with subgroup analysis between the original and replication study for the Novel Object Recognition (NOR) outcome.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75"/>
        <w:gridCol w:w="825"/>
        <w:gridCol w:w="1620"/>
        <w:gridCol w:w="1800"/>
        <w:gridCol w:w="1710"/>
      </w:tblGrid>
      <w:tr w:rsidR="005750E2" w:rsidRPr="005750E2" w14:paraId="2EFC2B1F" w14:textId="77777777">
        <w:trPr>
          <w:trHeight w:val="300"/>
        </w:trPr>
        <w:tc>
          <w:tcPr>
            <w:tcW w:w="2775" w:type="dxa"/>
            <w:tcBorders>
              <w:top w:val="single" w:sz="6" w:space="0" w:color="000000"/>
              <w:left w:val="single" w:sz="6" w:space="0" w:color="000000"/>
              <w:bottom w:val="single" w:sz="6" w:space="0" w:color="000000"/>
              <w:right w:val="single" w:sz="6" w:space="0" w:color="000000"/>
            </w:tcBorders>
            <w:hideMark/>
          </w:tcPr>
          <w:p w14:paraId="3D5FD79D"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825" w:type="dxa"/>
            <w:tcBorders>
              <w:top w:val="single" w:sz="6" w:space="0" w:color="000000"/>
              <w:left w:val="single" w:sz="6" w:space="0" w:color="000000"/>
              <w:bottom w:val="single" w:sz="6" w:space="0" w:color="000000"/>
              <w:right w:val="single" w:sz="6" w:space="0" w:color="000000"/>
            </w:tcBorders>
            <w:hideMark/>
          </w:tcPr>
          <w:p w14:paraId="20DF7E6D"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SMD </w:t>
            </w:r>
          </w:p>
        </w:tc>
        <w:tc>
          <w:tcPr>
            <w:tcW w:w="1620" w:type="dxa"/>
            <w:tcBorders>
              <w:top w:val="single" w:sz="6" w:space="0" w:color="000000"/>
              <w:left w:val="single" w:sz="6" w:space="0" w:color="000000"/>
              <w:bottom w:val="single" w:sz="6" w:space="0" w:color="000000"/>
              <w:right w:val="single" w:sz="6" w:space="0" w:color="000000"/>
            </w:tcBorders>
            <w:hideMark/>
          </w:tcPr>
          <w:p w14:paraId="3901CDA7"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95% CI </w:t>
            </w:r>
          </w:p>
        </w:tc>
        <w:tc>
          <w:tcPr>
            <w:tcW w:w="1800" w:type="dxa"/>
            <w:tcBorders>
              <w:top w:val="single" w:sz="6" w:space="0" w:color="000000"/>
              <w:left w:val="single" w:sz="6" w:space="0" w:color="000000"/>
              <w:bottom w:val="single" w:sz="6" w:space="0" w:color="000000"/>
              <w:right w:val="single" w:sz="6" w:space="0" w:color="000000"/>
            </w:tcBorders>
            <w:hideMark/>
          </w:tcPr>
          <w:p w14:paraId="153B4009"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Subgroup Χ</w:t>
            </w:r>
            <w:r w:rsidRPr="005750E2">
              <w:rPr>
                <w:rFonts w:ascii="Aptos" w:eastAsia="Times New Roman" w:hAnsi="Aptos" w:cs="Times New Roman"/>
                <w:sz w:val="19"/>
                <w:szCs w:val="19"/>
                <w:vertAlign w:val="superscript"/>
                <w:lang w:eastAsia="en-GB"/>
              </w:rPr>
              <w:t>2</w:t>
            </w:r>
            <w:r w:rsidRPr="005750E2">
              <w:rPr>
                <w:rFonts w:ascii="Aptos" w:eastAsia="Times New Roman" w:hAnsi="Aptos" w:cs="Times New Roman"/>
                <w:sz w:val="19"/>
                <w:szCs w:val="19"/>
                <w:lang w:eastAsia="en-GB"/>
              </w:rPr>
              <w:t> </w:t>
            </w:r>
          </w:p>
        </w:tc>
        <w:tc>
          <w:tcPr>
            <w:tcW w:w="1710" w:type="dxa"/>
            <w:tcBorders>
              <w:top w:val="single" w:sz="6" w:space="0" w:color="000000"/>
              <w:left w:val="single" w:sz="6" w:space="0" w:color="000000"/>
              <w:bottom w:val="single" w:sz="6" w:space="0" w:color="000000"/>
              <w:right w:val="single" w:sz="6" w:space="0" w:color="000000"/>
            </w:tcBorders>
            <w:hideMark/>
          </w:tcPr>
          <w:p w14:paraId="1D144DDF"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Subgroup P </w:t>
            </w:r>
          </w:p>
        </w:tc>
      </w:tr>
      <w:tr w:rsidR="005750E2" w:rsidRPr="005750E2" w14:paraId="5819ABB7" w14:textId="77777777">
        <w:trPr>
          <w:trHeight w:val="300"/>
        </w:trPr>
        <w:tc>
          <w:tcPr>
            <w:tcW w:w="2775" w:type="dxa"/>
            <w:tcBorders>
              <w:top w:val="single" w:sz="6" w:space="0" w:color="000000"/>
              <w:left w:val="single" w:sz="6" w:space="0" w:color="000000"/>
              <w:bottom w:val="single" w:sz="6" w:space="0" w:color="000000"/>
              <w:right w:val="single" w:sz="6" w:space="0" w:color="000000"/>
            </w:tcBorders>
            <w:hideMark/>
          </w:tcPr>
          <w:p w14:paraId="1B0F0634"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lastRenderedPageBreak/>
              <w:t>Original review </w:t>
            </w:r>
          </w:p>
        </w:tc>
        <w:tc>
          <w:tcPr>
            <w:tcW w:w="825" w:type="dxa"/>
            <w:tcBorders>
              <w:top w:val="single" w:sz="6" w:space="0" w:color="000000"/>
              <w:left w:val="single" w:sz="6" w:space="0" w:color="000000"/>
              <w:bottom w:val="single" w:sz="6" w:space="0" w:color="000000"/>
              <w:right w:val="single" w:sz="6" w:space="0" w:color="000000"/>
            </w:tcBorders>
            <w:hideMark/>
          </w:tcPr>
          <w:p w14:paraId="2A6DA660"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1.96 </w:t>
            </w:r>
          </w:p>
          <w:p w14:paraId="4B946E2A"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620" w:type="dxa"/>
            <w:tcBorders>
              <w:top w:val="single" w:sz="6" w:space="0" w:color="000000"/>
              <w:left w:val="single" w:sz="6" w:space="0" w:color="000000"/>
              <w:bottom w:val="single" w:sz="6" w:space="0" w:color="000000"/>
              <w:right w:val="single" w:sz="6" w:space="0" w:color="000000"/>
            </w:tcBorders>
            <w:hideMark/>
          </w:tcPr>
          <w:p w14:paraId="1853316E"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[0.38; 3.54] </w:t>
            </w:r>
          </w:p>
          <w:p w14:paraId="4A9BF937"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800" w:type="dxa"/>
            <w:tcBorders>
              <w:top w:val="single" w:sz="6" w:space="0" w:color="000000"/>
              <w:left w:val="single" w:sz="6" w:space="0" w:color="000000"/>
              <w:bottom w:val="single" w:sz="6" w:space="0" w:color="000000"/>
              <w:right w:val="single" w:sz="6" w:space="0" w:color="000000"/>
            </w:tcBorders>
            <w:hideMark/>
          </w:tcPr>
          <w:p w14:paraId="5CB48BEB"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27.48 </w:t>
            </w:r>
          </w:p>
          <w:p w14:paraId="1568A784"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c>
          <w:tcPr>
            <w:tcW w:w="1710" w:type="dxa"/>
            <w:tcBorders>
              <w:top w:val="single" w:sz="6" w:space="0" w:color="000000"/>
              <w:left w:val="single" w:sz="6" w:space="0" w:color="000000"/>
              <w:bottom w:val="single" w:sz="6" w:space="0" w:color="000000"/>
              <w:right w:val="single" w:sz="6" w:space="0" w:color="000000"/>
            </w:tcBorders>
            <w:hideMark/>
          </w:tcPr>
          <w:p w14:paraId="6AEF3111"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&lt;0.00001 </w:t>
            </w:r>
          </w:p>
          <w:p w14:paraId="753A4944"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r>
      <w:tr w:rsidR="005750E2" w:rsidRPr="005750E2" w14:paraId="39EF940D" w14:textId="77777777">
        <w:trPr>
          <w:trHeight w:val="300"/>
        </w:trPr>
        <w:tc>
          <w:tcPr>
            <w:tcW w:w="2775" w:type="dxa"/>
            <w:tcBorders>
              <w:top w:val="single" w:sz="6" w:space="0" w:color="000000"/>
              <w:left w:val="single" w:sz="6" w:space="0" w:color="000000"/>
              <w:bottom w:val="single" w:sz="6" w:space="0" w:color="000000"/>
              <w:right w:val="single" w:sz="6" w:space="0" w:color="000000"/>
            </w:tcBorders>
            <w:hideMark/>
          </w:tcPr>
          <w:p w14:paraId="6BDD689D"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w:t>
            </w:r>
            <w:proofErr w:type="spellStart"/>
            <w:r w:rsidRPr="005750E2">
              <w:rPr>
                <w:rFonts w:ascii="Aptos" w:eastAsia="Times New Roman" w:hAnsi="Aptos" w:cs="Times New Roman"/>
                <w:lang w:eastAsia="en-GB"/>
              </w:rPr>
              <w:t>i</w:t>
            </w:r>
            <w:proofErr w:type="spellEnd"/>
            <w:r w:rsidRPr="005750E2">
              <w:rPr>
                <w:rFonts w:ascii="Aptos" w:eastAsia="Times New Roman" w:hAnsi="Aptos" w:cs="Times New Roman"/>
                <w:lang w:eastAsia="en-GB"/>
              </w:rPr>
              <w:t>) Nested values  </w:t>
            </w:r>
            <w:r w:rsidRPr="005750E2">
              <w:rPr>
                <w:rFonts w:ascii="Aptos" w:eastAsia="Times New Roman" w:hAnsi="Aptos" w:cs="Times New Roman"/>
                <w:lang w:eastAsia="en-GB"/>
              </w:rPr>
              <w:br/>
              <w:t>(for multiple outcomes) </w:t>
            </w:r>
          </w:p>
        </w:tc>
        <w:tc>
          <w:tcPr>
            <w:tcW w:w="825" w:type="dxa"/>
            <w:tcBorders>
              <w:top w:val="single" w:sz="6" w:space="0" w:color="000000"/>
              <w:left w:val="single" w:sz="6" w:space="0" w:color="000000"/>
              <w:bottom w:val="single" w:sz="6" w:space="0" w:color="000000"/>
              <w:right w:val="single" w:sz="6" w:space="0" w:color="000000"/>
            </w:tcBorders>
            <w:hideMark/>
          </w:tcPr>
          <w:p w14:paraId="280346C6"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1.32 </w:t>
            </w:r>
          </w:p>
        </w:tc>
        <w:tc>
          <w:tcPr>
            <w:tcW w:w="1620" w:type="dxa"/>
            <w:tcBorders>
              <w:top w:val="single" w:sz="6" w:space="0" w:color="000000"/>
              <w:left w:val="single" w:sz="6" w:space="0" w:color="000000"/>
              <w:bottom w:val="single" w:sz="6" w:space="0" w:color="000000"/>
              <w:right w:val="single" w:sz="6" w:space="0" w:color="000000"/>
            </w:tcBorders>
            <w:hideMark/>
          </w:tcPr>
          <w:p w14:paraId="20BED773"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[-0.15; 2.79] </w:t>
            </w:r>
          </w:p>
        </w:tc>
        <w:tc>
          <w:tcPr>
            <w:tcW w:w="1800" w:type="dxa"/>
            <w:tcBorders>
              <w:top w:val="single" w:sz="6" w:space="0" w:color="000000"/>
              <w:left w:val="single" w:sz="6" w:space="0" w:color="000000"/>
              <w:bottom w:val="single" w:sz="6" w:space="0" w:color="000000"/>
              <w:right w:val="single" w:sz="6" w:space="0" w:color="000000"/>
            </w:tcBorders>
            <w:hideMark/>
          </w:tcPr>
          <w:p w14:paraId="545C0F1F"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33.66 </w:t>
            </w:r>
          </w:p>
        </w:tc>
        <w:tc>
          <w:tcPr>
            <w:tcW w:w="1710" w:type="dxa"/>
            <w:tcBorders>
              <w:top w:val="single" w:sz="6" w:space="0" w:color="000000"/>
              <w:left w:val="single" w:sz="6" w:space="0" w:color="000000"/>
              <w:bottom w:val="single" w:sz="6" w:space="0" w:color="000000"/>
              <w:right w:val="single" w:sz="6" w:space="0" w:color="000000"/>
            </w:tcBorders>
            <w:hideMark/>
          </w:tcPr>
          <w:p w14:paraId="6ABD08E0"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&lt;0.00001 </w:t>
            </w:r>
          </w:p>
          <w:p w14:paraId="710A79CD"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r>
      <w:tr w:rsidR="005750E2" w:rsidRPr="005750E2" w14:paraId="50D58C0D" w14:textId="77777777">
        <w:trPr>
          <w:trHeight w:val="300"/>
        </w:trPr>
        <w:tc>
          <w:tcPr>
            <w:tcW w:w="2775" w:type="dxa"/>
            <w:tcBorders>
              <w:top w:val="single" w:sz="6" w:space="0" w:color="000000"/>
              <w:left w:val="single" w:sz="6" w:space="0" w:color="000000"/>
              <w:bottom w:val="single" w:sz="6" w:space="0" w:color="000000"/>
              <w:right w:val="single" w:sz="6" w:space="0" w:color="000000"/>
            </w:tcBorders>
            <w:hideMark/>
          </w:tcPr>
          <w:p w14:paraId="370F83D3"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(ii) Novel only  </w:t>
            </w:r>
            <w:r w:rsidRPr="005750E2">
              <w:rPr>
                <w:rFonts w:ascii="Aptos" w:eastAsia="Times New Roman" w:hAnsi="Aptos" w:cs="Times New Roman"/>
                <w:lang w:eastAsia="en-GB"/>
              </w:rPr>
              <w:br/>
              <w:t>(for multiple outcomes) </w:t>
            </w:r>
          </w:p>
        </w:tc>
        <w:tc>
          <w:tcPr>
            <w:tcW w:w="825" w:type="dxa"/>
            <w:tcBorders>
              <w:top w:val="single" w:sz="6" w:space="0" w:color="000000"/>
              <w:left w:val="single" w:sz="6" w:space="0" w:color="000000"/>
              <w:bottom w:val="single" w:sz="6" w:space="0" w:color="000000"/>
              <w:right w:val="single" w:sz="6" w:space="0" w:color="000000"/>
            </w:tcBorders>
            <w:hideMark/>
          </w:tcPr>
          <w:p w14:paraId="69410BF8"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1.36 </w:t>
            </w:r>
          </w:p>
        </w:tc>
        <w:tc>
          <w:tcPr>
            <w:tcW w:w="1620" w:type="dxa"/>
            <w:tcBorders>
              <w:top w:val="single" w:sz="6" w:space="0" w:color="000000"/>
              <w:left w:val="single" w:sz="6" w:space="0" w:color="000000"/>
              <w:bottom w:val="single" w:sz="6" w:space="0" w:color="000000"/>
              <w:right w:val="single" w:sz="6" w:space="0" w:color="000000"/>
            </w:tcBorders>
            <w:hideMark/>
          </w:tcPr>
          <w:p w14:paraId="7F750C85"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[-0.07; 2.79] </w:t>
            </w:r>
          </w:p>
        </w:tc>
        <w:tc>
          <w:tcPr>
            <w:tcW w:w="1800" w:type="dxa"/>
            <w:tcBorders>
              <w:top w:val="single" w:sz="6" w:space="0" w:color="000000"/>
              <w:left w:val="single" w:sz="6" w:space="0" w:color="000000"/>
              <w:bottom w:val="single" w:sz="6" w:space="0" w:color="000000"/>
              <w:right w:val="single" w:sz="6" w:space="0" w:color="000000"/>
            </w:tcBorders>
            <w:hideMark/>
          </w:tcPr>
          <w:p w14:paraId="486E4BF1"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32.11 </w:t>
            </w:r>
          </w:p>
        </w:tc>
        <w:tc>
          <w:tcPr>
            <w:tcW w:w="1710" w:type="dxa"/>
            <w:tcBorders>
              <w:top w:val="single" w:sz="6" w:space="0" w:color="000000"/>
              <w:left w:val="single" w:sz="6" w:space="0" w:color="000000"/>
              <w:bottom w:val="single" w:sz="6" w:space="0" w:color="000000"/>
              <w:right w:val="single" w:sz="6" w:space="0" w:color="000000"/>
            </w:tcBorders>
            <w:hideMark/>
          </w:tcPr>
          <w:p w14:paraId="4A643F88"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&lt;0.00001 </w:t>
            </w:r>
          </w:p>
          <w:p w14:paraId="02E61C3A" w14:textId="77777777" w:rsidR="005750E2" w:rsidRPr="005750E2" w:rsidRDefault="005750E2" w:rsidP="005750E2">
            <w:pPr>
              <w:textAlignment w:val="baseline"/>
              <w:rPr>
                <w:rFonts w:ascii="Times New Roman" w:eastAsia="Times New Roman" w:hAnsi="Times New Roman" w:cs="Times New Roman"/>
                <w:lang w:eastAsia="en-GB"/>
              </w:rPr>
            </w:pPr>
            <w:r w:rsidRPr="005750E2">
              <w:rPr>
                <w:rFonts w:ascii="Aptos" w:eastAsia="Times New Roman" w:hAnsi="Aptos" w:cs="Times New Roman"/>
                <w:lang w:eastAsia="en-GB"/>
              </w:rPr>
              <w:t> </w:t>
            </w:r>
          </w:p>
        </w:tc>
      </w:tr>
    </w:tbl>
    <w:p w14:paraId="2B6AA44B" w14:textId="77777777" w:rsidR="005750E2" w:rsidRPr="005750E2" w:rsidRDefault="005750E2" w:rsidP="005750E2">
      <w:pPr>
        <w:textAlignment w:val="baseline"/>
        <w:rPr>
          <w:rFonts w:ascii="Segoe UI" w:eastAsia="Times New Roman" w:hAnsi="Segoe UI" w:cs="Segoe UI"/>
          <w:i/>
          <w:iCs/>
          <w:color w:val="6D1D6A"/>
          <w:sz w:val="18"/>
          <w:szCs w:val="18"/>
          <w:lang w:eastAsia="en-GB"/>
        </w:rPr>
      </w:pPr>
      <w:r w:rsidRPr="005750E2">
        <w:rPr>
          <w:rFonts w:ascii="Aptos" w:eastAsia="Times New Roman" w:hAnsi="Aptos" w:cs="Segoe UI"/>
          <w:i/>
          <w:iCs/>
          <w:color w:val="6D1D6A"/>
          <w:sz w:val="22"/>
          <w:szCs w:val="22"/>
          <w:lang w:eastAsia="en-GB"/>
        </w:rPr>
        <w:t> </w:t>
      </w:r>
    </w:p>
    <w:p w14:paraId="3F8942B0" w14:textId="31D026FF" w:rsidR="005750E2" w:rsidRDefault="005750E2">
      <w:r w:rsidRPr="005750E2">
        <w:drawing>
          <wp:inline distT="0" distB="0" distL="0" distR="0" wp14:anchorId="1974DC4E" wp14:editId="674E8792">
            <wp:extent cx="5731510" cy="5892165"/>
            <wp:effectExtent l="0" t="0" r="0" b="635"/>
            <wp:docPr id="147649516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95160" name="Picture 1" descr="A diagram of a flowchart&#10;&#10;AI-generated content may be incorrect."/>
                    <pic:cNvPicPr/>
                  </pic:nvPicPr>
                  <pic:blipFill>
                    <a:blip r:embed="rId6"/>
                    <a:stretch>
                      <a:fillRect/>
                    </a:stretch>
                  </pic:blipFill>
                  <pic:spPr>
                    <a:xfrm>
                      <a:off x="0" y="0"/>
                      <a:ext cx="5731510" cy="5892165"/>
                    </a:xfrm>
                    <a:prstGeom prst="rect">
                      <a:avLst/>
                    </a:prstGeom>
                  </pic:spPr>
                </pic:pic>
              </a:graphicData>
            </a:graphic>
          </wp:inline>
        </w:drawing>
      </w:r>
    </w:p>
    <w:sectPr w:rsidR="00575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Palatino">
    <w:altName w:val="Segoe UI Historic"/>
    <w:panose1 w:val="00000000000000000000"/>
    <w:charset w:val="4D"/>
    <w:family w:val="auto"/>
    <w:pitch w:val="variable"/>
    <w:sig w:usb0="A00002FF" w:usb1="7800205A" w:usb2="14600000" w:usb3="00000000" w:csb0="00000193"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E2"/>
    <w:rsid w:val="00033AEB"/>
    <w:rsid w:val="00041F24"/>
    <w:rsid w:val="00047356"/>
    <w:rsid w:val="00061500"/>
    <w:rsid w:val="000E3193"/>
    <w:rsid w:val="00131FD1"/>
    <w:rsid w:val="0016689D"/>
    <w:rsid w:val="002A79C6"/>
    <w:rsid w:val="00305DB6"/>
    <w:rsid w:val="003E39D0"/>
    <w:rsid w:val="0043533C"/>
    <w:rsid w:val="004569B6"/>
    <w:rsid w:val="0046354F"/>
    <w:rsid w:val="00472376"/>
    <w:rsid w:val="004C5191"/>
    <w:rsid w:val="004D21E5"/>
    <w:rsid w:val="004F1655"/>
    <w:rsid w:val="005111C8"/>
    <w:rsid w:val="0052567D"/>
    <w:rsid w:val="005750E2"/>
    <w:rsid w:val="0061464A"/>
    <w:rsid w:val="006265CB"/>
    <w:rsid w:val="00640596"/>
    <w:rsid w:val="006748E6"/>
    <w:rsid w:val="00687CCC"/>
    <w:rsid w:val="00774B13"/>
    <w:rsid w:val="00792E7F"/>
    <w:rsid w:val="007B4E62"/>
    <w:rsid w:val="007D0F01"/>
    <w:rsid w:val="008C2D78"/>
    <w:rsid w:val="009206B7"/>
    <w:rsid w:val="009C0DA4"/>
    <w:rsid w:val="009F5938"/>
    <w:rsid w:val="00A05F00"/>
    <w:rsid w:val="00A17DEB"/>
    <w:rsid w:val="00A5779C"/>
    <w:rsid w:val="00AE6AB6"/>
    <w:rsid w:val="00B801CB"/>
    <w:rsid w:val="00BA1FC8"/>
    <w:rsid w:val="00C1384F"/>
    <w:rsid w:val="00C83310"/>
    <w:rsid w:val="00CB3194"/>
    <w:rsid w:val="00D63A26"/>
    <w:rsid w:val="00DA1949"/>
    <w:rsid w:val="00DD5AB7"/>
    <w:rsid w:val="00E17DF8"/>
    <w:rsid w:val="00ED647D"/>
    <w:rsid w:val="00EE31CC"/>
    <w:rsid w:val="00EE7405"/>
    <w:rsid w:val="00EE7900"/>
    <w:rsid w:val="00F30699"/>
    <w:rsid w:val="00F80EA1"/>
    <w:rsid w:val="00F92756"/>
    <w:rsid w:val="00FB18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1BF95E"/>
  <w15:chartTrackingRefBased/>
  <w15:docId w15:val="{483CAA93-4512-CE48-95D6-44633C02A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AE6AB6"/>
    <w:pPr>
      <w:keepNext/>
      <w:keepLines/>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63" w:lineRule="auto"/>
      <w:outlineLvl w:val="0"/>
    </w:pPr>
    <w:rPr>
      <w:rFonts w:ascii="Arial" w:eastAsia="Times New Roman" w:hAnsi="Arial" w:cs="Palatino"/>
      <w:b/>
      <w:sz w:val="36"/>
      <w:szCs w:val="20"/>
      <w:lang w:eastAsia="en-GB"/>
    </w:rPr>
  </w:style>
  <w:style w:type="paragraph" w:styleId="Heading2">
    <w:name w:val="heading 2"/>
    <w:link w:val="Heading2Char"/>
    <w:uiPriority w:val="9"/>
    <w:unhideWhenUsed/>
    <w:qFormat/>
    <w:rsid w:val="00AE6AB6"/>
    <w:pPr>
      <w:keepNext/>
      <w:keepLines/>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63" w:lineRule="auto"/>
      <w:outlineLvl w:val="1"/>
    </w:pPr>
    <w:rPr>
      <w:rFonts w:ascii="Arial" w:eastAsia="Times New Roman" w:hAnsi="Arial" w:cs="Palatino"/>
      <w:b/>
      <w:sz w:val="26"/>
      <w:szCs w:val="20"/>
      <w:lang w:eastAsia="en-GB"/>
    </w:rPr>
  </w:style>
  <w:style w:type="paragraph" w:styleId="Heading3">
    <w:name w:val="heading 3"/>
    <w:basedOn w:val="Normal"/>
    <w:next w:val="Normal"/>
    <w:link w:val="Heading3Char"/>
    <w:uiPriority w:val="9"/>
    <w:semiHidden/>
    <w:unhideWhenUsed/>
    <w:qFormat/>
    <w:rsid w:val="00AE6AB6"/>
    <w:pPr>
      <w:keepNext/>
      <w:keepLines/>
      <w:widowControl w:val="0"/>
      <w:spacing w:before="40"/>
      <w:outlineLvl w:val="2"/>
    </w:pPr>
    <w:rPr>
      <w:rFonts w:eastAsiaTheme="majorEastAsia" w:cstheme="majorBidi"/>
      <w:b/>
      <w:color w:val="0A2F40" w:themeColor="accent1" w:themeShade="7F"/>
    </w:rPr>
  </w:style>
  <w:style w:type="paragraph" w:styleId="Heading4">
    <w:name w:val="heading 4"/>
    <w:basedOn w:val="Normal"/>
    <w:next w:val="Normal"/>
    <w:link w:val="Heading4Char"/>
    <w:uiPriority w:val="9"/>
    <w:semiHidden/>
    <w:unhideWhenUsed/>
    <w:qFormat/>
    <w:rsid w:val="00AE6AB6"/>
    <w:pPr>
      <w:keepNext/>
      <w:keepLines/>
      <w:widowControl w:val="0"/>
      <w:spacing w:before="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575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0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0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0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0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AB6"/>
    <w:rPr>
      <w:rFonts w:ascii="Arial" w:eastAsia="Times New Roman" w:hAnsi="Arial" w:cs="Palatino"/>
      <w:b/>
      <w:sz w:val="36"/>
      <w:szCs w:val="20"/>
      <w:lang w:eastAsia="en-GB"/>
    </w:rPr>
  </w:style>
  <w:style w:type="character" w:customStyle="1" w:styleId="Heading2Char">
    <w:name w:val="Heading 2 Char"/>
    <w:basedOn w:val="DefaultParagraphFont"/>
    <w:link w:val="Heading2"/>
    <w:uiPriority w:val="9"/>
    <w:rsid w:val="00AE6AB6"/>
    <w:rPr>
      <w:rFonts w:ascii="Arial" w:eastAsia="Times New Roman" w:hAnsi="Arial" w:cs="Palatino"/>
      <w:b/>
      <w:sz w:val="26"/>
      <w:szCs w:val="20"/>
      <w:lang w:eastAsia="en-GB"/>
    </w:rPr>
  </w:style>
  <w:style w:type="character" w:customStyle="1" w:styleId="Heading3Char">
    <w:name w:val="Heading 3 Char"/>
    <w:basedOn w:val="DefaultParagraphFont"/>
    <w:link w:val="Heading3"/>
    <w:uiPriority w:val="9"/>
    <w:semiHidden/>
    <w:rsid w:val="00AE6AB6"/>
    <w:rPr>
      <w:rFonts w:eastAsiaTheme="majorEastAsia" w:cstheme="majorBidi"/>
      <w:b/>
      <w:color w:val="0A2F40" w:themeColor="accent1" w:themeShade="7F"/>
    </w:rPr>
  </w:style>
  <w:style w:type="character" w:customStyle="1" w:styleId="Heading4Char">
    <w:name w:val="Heading 4 Char"/>
    <w:basedOn w:val="DefaultParagraphFont"/>
    <w:link w:val="Heading4"/>
    <w:uiPriority w:val="9"/>
    <w:semiHidden/>
    <w:rsid w:val="00AE6AB6"/>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575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0E2"/>
    <w:rPr>
      <w:rFonts w:eastAsiaTheme="majorEastAsia" w:cstheme="majorBidi"/>
      <w:color w:val="272727" w:themeColor="text1" w:themeTint="D8"/>
    </w:rPr>
  </w:style>
  <w:style w:type="paragraph" w:styleId="Title">
    <w:name w:val="Title"/>
    <w:basedOn w:val="Normal"/>
    <w:next w:val="Normal"/>
    <w:link w:val="TitleChar"/>
    <w:uiPriority w:val="10"/>
    <w:qFormat/>
    <w:rsid w:val="005750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0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0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50E2"/>
    <w:rPr>
      <w:i/>
      <w:iCs/>
      <w:color w:val="404040" w:themeColor="text1" w:themeTint="BF"/>
    </w:rPr>
  </w:style>
  <w:style w:type="paragraph" w:styleId="ListParagraph">
    <w:name w:val="List Paragraph"/>
    <w:basedOn w:val="Normal"/>
    <w:uiPriority w:val="34"/>
    <w:qFormat/>
    <w:rsid w:val="005750E2"/>
    <w:pPr>
      <w:ind w:left="720"/>
      <w:contextualSpacing/>
    </w:pPr>
  </w:style>
  <w:style w:type="character" w:styleId="IntenseEmphasis">
    <w:name w:val="Intense Emphasis"/>
    <w:basedOn w:val="DefaultParagraphFont"/>
    <w:uiPriority w:val="21"/>
    <w:qFormat/>
    <w:rsid w:val="005750E2"/>
    <w:rPr>
      <w:i/>
      <w:iCs/>
      <w:color w:val="0F4761" w:themeColor="accent1" w:themeShade="BF"/>
    </w:rPr>
  </w:style>
  <w:style w:type="paragraph" w:styleId="IntenseQuote">
    <w:name w:val="Intense Quote"/>
    <w:basedOn w:val="Normal"/>
    <w:next w:val="Normal"/>
    <w:link w:val="IntenseQuoteChar"/>
    <w:uiPriority w:val="30"/>
    <w:qFormat/>
    <w:rsid w:val="00575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0E2"/>
    <w:rPr>
      <w:i/>
      <w:iCs/>
      <w:color w:val="0F4761" w:themeColor="accent1" w:themeShade="BF"/>
    </w:rPr>
  </w:style>
  <w:style w:type="character" w:styleId="IntenseReference">
    <w:name w:val="Intense Reference"/>
    <w:basedOn w:val="DefaultParagraphFont"/>
    <w:uiPriority w:val="32"/>
    <w:qFormat/>
    <w:rsid w:val="005750E2"/>
    <w:rPr>
      <w:b/>
      <w:bCs/>
      <w:smallCaps/>
      <w:color w:val="0F4761" w:themeColor="accent1" w:themeShade="BF"/>
      <w:spacing w:val="5"/>
    </w:rPr>
  </w:style>
  <w:style w:type="paragraph" w:customStyle="1" w:styleId="paragraph">
    <w:name w:val="paragraph"/>
    <w:basedOn w:val="Normal"/>
    <w:rsid w:val="005750E2"/>
    <w:pPr>
      <w:spacing w:before="100" w:beforeAutospacing="1" w:after="100" w:afterAutospacing="1"/>
    </w:pPr>
    <w:rPr>
      <w:rFonts w:ascii="Times New Roman" w:eastAsia="Times New Roman" w:hAnsi="Times New Roman" w:cs="Times New Roman"/>
      <w:lang w:eastAsia="en-GB"/>
    </w:rPr>
  </w:style>
  <w:style w:type="character" w:customStyle="1" w:styleId="wacimagecontainer">
    <w:name w:val="wacimagecontainer"/>
    <w:basedOn w:val="DefaultParagraphFont"/>
    <w:rsid w:val="005750E2"/>
  </w:style>
  <w:style w:type="character" w:customStyle="1" w:styleId="eop">
    <w:name w:val="eop"/>
    <w:basedOn w:val="DefaultParagraphFont"/>
    <w:rsid w:val="005750E2"/>
  </w:style>
  <w:style w:type="character" w:customStyle="1" w:styleId="normaltextrun">
    <w:name w:val="normaltextrun"/>
    <w:basedOn w:val="DefaultParagraphFont"/>
    <w:rsid w:val="005750E2"/>
  </w:style>
  <w:style w:type="character" w:customStyle="1" w:styleId="scxw35662963">
    <w:name w:val="scxw35662963"/>
    <w:basedOn w:val="DefaultParagraphFont"/>
    <w:rsid w:val="00575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Ramage</dc:creator>
  <cp:keywords/>
  <dc:description/>
  <cp:lastModifiedBy>Fiona Ramage</cp:lastModifiedBy>
  <cp:revision>1</cp:revision>
  <dcterms:created xsi:type="dcterms:W3CDTF">2025-12-10T13:08:00Z</dcterms:created>
  <dcterms:modified xsi:type="dcterms:W3CDTF">2025-12-10T13:10:00Z</dcterms:modified>
</cp:coreProperties>
</file>