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495C" w14:textId="77777777" w:rsidR="002F34F9" w:rsidRDefault="002F34F9">
      <w:r>
        <w:t>Data:</w:t>
      </w:r>
    </w:p>
    <w:p w14:paraId="683A317A" w14:textId="62279062" w:rsidR="002F34F9" w:rsidRDefault="002F34F9" w:rsidP="002F34F9">
      <w:pPr>
        <w:pStyle w:val="ListParagraph"/>
        <w:numPr>
          <w:ilvl w:val="0"/>
          <w:numId w:val="3"/>
        </w:numPr>
      </w:pPr>
      <w:r>
        <w:t xml:space="preserve">SFDC- All CW from EXTs </w:t>
      </w:r>
      <w:r w:rsidR="0070615D">
        <w:t>from 4/30/2018 to 10/19/2018</w:t>
      </w:r>
    </w:p>
    <w:p w14:paraId="1B88F41B" w14:textId="1778B972" w:rsidR="002F34F9" w:rsidRDefault="0070615D" w:rsidP="002F34F9">
      <w:pPr>
        <w:pStyle w:val="ListParagraph"/>
        <w:numPr>
          <w:ilvl w:val="0"/>
          <w:numId w:val="3"/>
        </w:numPr>
      </w:pPr>
      <w:r>
        <w:t xml:space="preserve">Gabe’s </w:t>
      </w:r>
      <w:r w:rsidR="002F34F9">
        <w:t>Roster- EXTs with start &amp; end date</w:t>
      </w:r>
    </w:p>
    <w:p w14:paraId="70098107" w14:textId="49A1D875" w:rsidR="002F34F9" w:rsidRDefault="002F34F9">
      <w:pPr>
        <w:pBdr>
          <w:bottom w:val="single" w:sz="6" w:space="1" w:color="auto"/>
        </w:pBdr>
      </w:pPr>
    </w:p>
    <w:p w14:paraId="6BB0300B" w14:textId="61300962" w:rsidR="00A90AD5" w:rsidRDefault="00A90AD5"/>
    <w:p w14:paraId="0AE4EA51" w14:textId="526A5AB4" w:rsidR="00A90AD5" w:rsidRDefault="00A90AD5">
      <w:r>
        <w:t>Findings</w:t>
      </w:r>
    </w:p>
    <w:p w14:paraId="55269078" w14:textId="77777777" w:rsidR="00A90AD5" w:rsidRDefault="00A90AD5"/>
    <w:p w14:paraId="74DE3335" w14:textId="6B06F42A" w:rsidR="0070615D" w:rsidRDefault="0070615D" w:rsidP="0070615D">
      <w:r>
        <w:t>All reps: WoW median CW per rep per city</w:t>
      </w:r>
    </w:p>
    <w:p w14:paraId="44E5265C" w14:textId="77777777" w:rsidR="0070615D" w:rsidRDefault="0070615D" w:rsidP="0070615D">
      <w:pPr>
        <w:pStyle w:val="ListParagraph"/>
        <w:numPr>
          <w:ilvl w:val="0"/>
          <w:numId w:val="4"/>
        </w:numPr>
      </w:pPr>
      <w:r>
        <w:t>San Francisco and Vancouver peaked week 6</w:t>
      </w:r>
    </w:p>
    <w:p w14:paraId="44BEB456" w14:textId="5FDE823F" w:rsidR="0070615D" w:rsidRDefault="0070615D" w:rsidP="0070615D">
      <w:pPr>
        <w:pStyle w:val="ListParagraph"/>
        <w:numPr>
          <w:ilvl w:val="1"/>
          <w:numId w:val="4"/>
        </w:numPr>
      </w:pPr>
      <w:r>
        <w:t>SF had median CW of 3; Vancouver had median CW of 4</w:t>
      </w:r>
    </w:p>
    <w:p w14:paraId="203FA0C2" w14:textId="77777777" w:rsidR="00A90AD5" w:rsidRDefault="0070615D" w:rsidP="0070615D">
      <w:pPr>
        <w:pStyle w:val="ListParagraph"/>
        <w:numPr>
          <w:ilvl w:val="0"/>
          <w:numId w:val="4"/>
        </w:numPr>
      </w:pPr>
      <w:r>
        <w:t>NYC: Unexplained spike week 4; median CW of 8</w:t>
      </w:r>
    </w:p>
    <w:p w14:paraId="2A9C4F7B" w14:textId="41CB2167" w:rsidR="00A90AD5" w:rsidRDefault="0070615D" w:rsidP="0070615D">
      <w:r>
        <w:br/>
      </w:r>
      <w:r>
        <w:rPr>
          <w:noProof/>
        </w:rPr>
        <w:drawing>
          <wp:inline distT="0" distB="0" distL="0" distR="0" wp14:anchorId="2D3E04B0" wp14:editId="3C7831B8">
            <wp:extent cx="8369300" cy="352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y_c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B5E6" w14:textId="70022187" w:rsidR="00DD7B56" w:rsidRDefault="00DD7B56">
      <w:r>
        <w:br w:type="page"/>
      </w:r>
    </w:p>
    <w:p w14:paraId="1CCD243E" w14:textId="77777777" w:rsidR="00DD7B56" w:rsidRDefault="00DD7B56" w:rsidP="0070615D"/>
    <w:p w14:paraId="50579C0E" w14:textId="6A183FAD" w:rsidR="0070615D" w:rsidRDefault="0070615D" w:rsidP="0070615D">
      <w:r>
        <w:t xml:space="preserve">All reps: </w:t>
      </w:r>
      <w:r>
        <w:t>WoW</w:t>
      </w:r>
      <w:r>
        <w:t xml:space="preserve"> </w:t>
      </w:r>
      <w:r>
        <w:t xml:space="preserve">median </w:t>
      </w:r>
      <w:r>
        <w:t xml:space="preserve">CW per </w:t>
      </w:r>
      <w:r>
        <w:t>rep</w:t>
      </w:r>
    </w:p>
    <w:p w14:paraId="2FCFCF3A" w14:textId="3C873829" w:rsidR="00A90AD5" w:rsidRDefault="00A90AD5" w:rsidP="00723408">
      <w:pPr>
        <w:pStyle w:val="ListParagraph"/>
        <w:numPr>
          <w:ilvl w:val="0"/>
          <w:numId w:val="1"/>
        </w:numPr>
      </w:pPr>
      <w:r>
        <w:t>Weeks 0-1: median = 1 CW</w:t>
      </w:r>
    </w:p>
    <w:p w14:paraId="051FEC5B" w14:textId="77777777" w:rsidR="00A90AD5" w:rsidRDefault="00A90AD5" w:rsidP="00723408">
      <w:pPr>
        <w:pStyle w:val="ListParagraph"/>
        <w:numPr>
          <w:ilvl w:val="0"/>
          <w:numId w:val="1"/>
        </w:numPr>
      </w:pPr>
      <w:r>
        <w:t>Weeks 2-10: median = 2 CW, with steady increase throughout</w:t>
      </w:r>
    </w:p>
    <w:p w14:paraId="09EACA9D" w14:textId="46BCEFBA" w:rsidR="00A90AD5" w:rsidRDefault="00A90AD5" w:rsidP="00A90AD5">
      <w:pPr>
        <w:pStyle w:val="ListParagraph"/>
        <w:numPr>
          <w:ilvl w:val="1"/>
          <w:numId w:val="1"/>
        </w:numPr>
      </w:pPr>
      <w:r>
        <w:t xml:space="preserve">Interquartile range remains roughly the same </w:t>
      </w:r>
    </w:p>
    <w:p w14:paraId="6C5675B2" w14:textId="3F0F8188" w:rsidR="00A90AD5" w:rsidRDefault="00A90AD5" w:rsidP="00A90AD5">
      <w:pPr>
        <w:pStyle w:val="ListParagraph"/>
        <w:numPr>
          <w:ilvl w:val="0"/>
          <w:numId w:val="1"/>
        </w:numPr>
      </w:pPr>
      <w:r>
        <w:t>After week 10, data not helpful because only based off San Francisco/Austin – should ignore weeks 11 and onward</w:t>
      </w:r>
    </w:p>
    <w:p w14:paraId="6252DA93" w14:textId="29932C36" w:rsidR="00A90AD5" w:rsidRDefault="00A90AD5" w:rsidP="00A90AD5">
      <w:r>
        <w:rPr>
          <w:noProof/>
        </w:rPr>
        <w:drawing>
          <wp:inline distT="0" distB="0" distL="0" distR="0" wp14:anchorId="0E13CEF7" wp14:editId="038074DD">
            <wp:extent cx="83693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reps_WoWmedianC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77B" w14:textId="77777777" w:rsidR="002B0CDC" w:rsidRDefault="002B0CDC" w:rsidP="00A90AD5"/>
    <w:p w14:paraId="39D9A4A2" w14:textId="77777777" w:rsidR="00DD7B56" w:rsidRDefault="00DD7B56" w:rsidP="00A90AD5"/>
    <w:p w14:paraId="6CE743AC" w14:textId="77777777" w:rsidR="00DD7B56" w:rsidRDefault="00DD7B56" w:rsidP="00A90AD5"/>
    <w:p w14:paraId="6424DF10" w14:textId="6D8D9DAF" w:rsidR="002F34F9" w:rsidRDefault="00A90AD5" w:rsidP="00A90AD5">
      <w:r>
        <w:lastRenderedPageBreak/>
        <w:t xml:space="preserve">Only </w:t>
      </w:r>
      <w:r w:rsidRPr="00A90AD5">
        <w:t>Active</w:t>
      </w:r>
      <w:r>
        <w:t xml:space="preserve"> Reps, excluding Inbounds:</w:t>
      </w:r>
    </w:p>
    <w:p w14:paraId="08374049" w14:textId="744C238A" w:rsidR="00A90AD5" w:rsidRDefault="002B0CDC" w:rsidP="002B0CDC">
      <w:pPr>
        <w:pStyle w:val="ListParagraph"/>
        <w:numPr>
          <w:ilvl w:val="0"/>
          <w:numId w:val="5"/>
        </w:numPr>
      </w:pPr>
      <w:r>
        <w:t>Weeks 0-4: median = 1 CW</w:t>
      </w:r>
    </w:p>
    <w:p w14:paraId="27FC52D4" w14:textId="4E63B878" w:rsidR="002B0CDC" w:rsidRDefault="002B0CDC" w:rsidP="002B0CDC">
      <w:pPr>
        <w:pStyle w:val="ListParagraph"/>
        <w:numPr>
          <w:ilvl w:val="0"/>
          <w:numId w:val="5"/>
        </w:numPr>
      </w:pPr>
      <w:r>
        <w:t>Weeks 5-10: median = 2 CW except week 7 with 1.5 CW</w:t>
      </w:r>
    </w:p>
    <w:p w14:paraId="62A8C4F5" w14:textId="5775ED45" w:rsidR="002B0CDC" w:rsidRDefault="002B0CDC" w:rsidP="002B0CDC">
      <w:pPr>
        <w:pStyle w:val="ListParagraph"/>
        <w:numPr>
          <w:ilvl w:val="0"/>
          <w:numId w:val="5"/>
        </w:numPr>
      </w:pPr>
      <w:r>
        <w:t>Either inbounds seem easier to achieve or active reps are better, or both</w:t>
      </w:r>
      <w:proofErr w:type="gramStart"/>
      <w:r>
        <w:t xml:space="preserve">. </w:t>
      </w:r>
      <w:proofErr w:type="gramEnd"/>
      <w:r>
        <w:t>Reps don’t reach median CW of 2 until week 5 (versus week 2 in the scenario above).</w:t>
      </w:r>
    </w:p>
    <w:p w14:paraId="716806F3" w14:textId="7DEEA411" w:rsidR="002B0CDC" w:rsidRDefault="002B0CDC" w:rsidP="002B0CDC"/>
    <w:p w14:paraId="780D6C74" w14:textId="3A6A8851" w:rsidR="00E61C65" w:rsidRDefault="002B0CDC" w:rsidP="00E64D23">
      <w:r>
        <w:rPr>
          <w:noProof/>
        </w:rPr>
        <w:drawing>
          <wp:inline distT="0" distB="0" distL="0" distR="0" wp14:anchorId="51D6B49F" wp14:editId="340E0635">
            <wp:extent cx="82296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e-no-inbounds_W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CC0" w14:textId="77777777" w:rsidR="00DD7B56" w:rsidRDefault="00DD7B56" w:rsidP="00E64D23"/>
    <w:p w14:paraId="3A7F96A1" w14:textId="77777777" w:rsidR="00DD7B56" w:rsidRDefault="00DD7B56" w:rsidP="00E64D23"/>
    <w:p w14:paraId="23FC4E44" w14:textId="16BF0DC2" w:rsidR="002B0CDC" w:rsidRDefault="002B0CDC" w:rsidP="00E64D23">
      <w:r>
        <w:lastRenderedPageBreak/>
        <w:t>“Points” Analysis: assign 0.8 point for Inbound vs 1.0 point for Outbound</w:t>
      </w:r>
    </w:p>
    <w:p w14:paraId="3FD23593" w14:textId="065125F5" w:rsidR="002B0CDC" w:rsidRDefault="002B0CDC" w:rsidP="002B0CDC">
      <w:r>
        <w:t>Only</w:t>
      </w:r>
      <w:r>
        <w:t xml:space="preserve"> Active</w:t>
      </w:r>
      <w:r>
        <w:t xml:space="preserve"> Reps, excluding </w:t>
      </w:r>
      <w:r>
        <w:t>nan, Cold, Referral</w:t>
      </w:r>
      <w:r>
        <w:t xml:space="preserve"> leads</w:t>
      </w:r>
    </w:p>
    <w:p w14:paraId="0CD4D0CD" w14:textId="4CAFFFAC" w:rsidR="002B0CDC" w:rsidRDefault="002B0CDC" w:rsidP="002B0CDC">
      <w:pPr>
        <w:pStyle w:val="ListParagraph"/>
        <w:numPr>
          <w:ilvl w:val="0"/>
          <w:numId w:val="6"/>
        </w:numPr>
      </w:pPr>
      <w:r>
        <w:t xml:space="preserve">Seller </w:t>
      </w:r>
      <w:r w:rsidR="00DD7B56">
        <w:t>“points”</w:t>
      </w:r>
      <w:r>
        <w:t xml:space="preserve"> steadily </w:t>
      </w:r>
      <w:r w:rsidR="00DD7B56">
        <w:t>increase</w:t>
      </w:r>
      <w:r>
        <w:t xml:space="preserve"> WoW from weeks 0 to 10</w:t>
      </w:r>
    </w:p>
    <w:p w14:paraId="431CEB66" w14:textId="75F2ACDC" w:rsidR="002B0CDC" w:rsidRDefault="002B0CDC" w:rsidP="002B0CDC">
      <w:r>
        <w:rPr>
          <w:noProof/>
        </w:rPr>
        <w:drawing>
          <wp:inline distT="0" distB="0" distL="0" distR="0" wp14:anchorId="59B5E1B6" wp14:editId="2463C3EA">
            <wp:extent cx="8572500" cy="561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-points_W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165D" w14:textId="77777777" w:rsidR="00DD7B56" w:rsidRDefault="00DD7B56" w:rsidP="002B0CDC">
      <w:pPr>
        <w:pBdr>
          <w:bottom w:val="single" w:sz="6" w:space="1" w:color="auto"/>
        </w:pBdr>
      </w:pPr>
    </w:p>
    <w:p w14:paraId="0DB41E2A" w14:textId="5966753D" w:rsidR="00591DFF" w:rsidRDefault="00947BDE" w:rsidP="002B0CDC">
      <w:r>
        <w:lastRenderedPageBreak/>
        <w:t>Takeaway</w:t>
      </w:r>
      <w:r w:rsidR="00DD7B56">
        <w:t>s</w:t>
      </w:r>
    </w:p>
    <w:p w14:paraId="3073E6C5" w14:textId="77777777" w:rsidR="00591DFF" w:rsidRDefault="00591DFF" w:rsidP="002B0CDC"/>
    <w:p w14:paraId="1BEB331B" w14:textId="62776C0F" w:rsidR="00AB7052" w:rsidRDefault="00AB7052" w:rsidP="00947BDE">
      <w:pPr>
        <w:pStyle w:val="ListParagraph"/>
        <w:numPr>
          <w:ilvl w:val="0"/>
          <w:numId w:val="6"/>
        </w:numPr>
        <w:jc w:val="both"/>
      </w:pPr>
      <w:r>
        <w:t>WoW median CW: the bottom 50</w:t>
      </w:r>
      <w:r w:rsidRPr="00AB7052">
        <w:rPr>
          <w:vertAlign w:val="superscript"/>
        </w:rPr>
        <w:t>th</w:t>
      </w:r>
      <w:r>
        <w:t xml:space="preserve"> percentile consistently achieves no more than 2.0 CW per week. The </w:t>
      </w:r>
      <w:r w:rsidR="00B01928">
        <w:t>subset of reps above the 50</w:t>
      </w:r>
      <w:r w:rsidR="00B01928" w:rsidRPr="00B01928">
        <w:rPr>
          <w:vertAlign w:val="superscript"/>
        </w:rPr>
        <w:t>th</w:t>
      </w:r>
      <w:r w:rsidR="00B01928">
        <w:t xml:space="preserve"> </w:t>
      </w:r>
      <w:proofErr w:type="gramStart"/>
      <w:r w:rsidR="00B01928">
        <w:t>percentile  achieve</w:t>
      </w:r>
      <w:proofErr w:type="gramEnd"/>
      <w:r>
        <w:t xml:space="preserve"> more</w:t>
      </w:r>
      <w:r w:rsidR="00B01928">
        <w:t xml:space="preserve"> and more</w:t>
      </w:r>
      <w:r>
        <w:t xml:space="preserve"> CWs during ramp</w:t>
      </w:r>
      <w:r w:rsidR="00B01928">
        <w:t xml:space="preserve"> (see weeks 6-10), t</w:t>
      </w:r>
      <w:r>
        <w:t xml:space="preserve">hus expanding </w:t>
      </w:r>
      <w:r w:rsidR="00B01928">
        <w:t>the area between median and third quartile.</w:t>
      </w:r>
    </w:p>
    <w:p w14:paraId="65723293" w14:textId="77777777" w:rsidR="00B01928" w:rsidRDefault="00B01928" w:rsidP="00B01928">
      <w:pPr>
        <w:pStyle w:val="ListParagraph"/>
        <w:numPr>
          <w:ilvl w:val="0"/>
          <w:numId w:val="6"/>
        </w:numPr>
        <w:jc w:val="both"/>
      </w:pPr>
      <w:r>
        <w:t>Whether performance after week 10 continues to increase or stabilizes is hard to determine, since we are only looking at 10 weeks of data</w:t>
      </w:r>
      <w:r>
        <w:t>. However, we can expect:</w:t>
      </w:r>
    </w:p>
    <w:p w14:paraId="0C1A4507" w14:textId="62AD68A0" w:rsidR="00B01928" w:rsidRDefault="007B14AC" w:rsidP="00B01928">
      <w:pPr>
        <w:pStyle w:val="ListParagraph"/>
        <w:numPr>
          <w:ilvl w:val="1"/>
          <w:numId w:val="6"/>
        </w:numPr>
        <w:jc w:val="both"/>
      </w:pPr>
      <w:r>
        <w:t xml:space="preserve">We can expect </w:t>
      </w:r>
      <w:r w:rsidR="00B01928">
        <w:t>outliers to continue to increase</w:t>
      </w:r>
    </w:p>
    <w:p w14:paraId="1A796F5E" w14:textId="2F1C78AA" w:rsidR="00B01928" w:rsidRDefault="007B14AC" w:rsidP="00B01928">
      <w:pPr>
        <w:pStyle w:val="ListParagraph"/>
        <w:numPr>
          <w:ilvl w:val="1"/>
          <w:numId w:val="6"/>
        </w:numPr>
        <w:jc w:val="both"/>
      </w:pPr>
      <w:r>
        <w:t xml:space="preserve">We can expect </w:t>
      </w:r>
      <w:r w:rsidR="00B01928">
        <w:t>better performance</w:t>
      </w:r>
      <w:r>
        <w:t xml:space="preserve"> between</w:t>
      </w:r>
      <w:r w:rsidR="00B01928">
        <w:t xml:space="preserve"> </w:t>
      </w:r>
      <w:r>
        <w:t>median and Q3/outer fence</w:t>
      </w:r>
    </w:p>
    <w:p w14:paraId="12C1F4C0" w14:textId="3F3D1F80" w:rsidR="00B01928" w:rsidRDefault="00B01928" w:rsidP="00B01928">
      <w:pPr>
        <w:pStyle w:val="ListParagraph"/>
        <w:numPr>
          <w:ilvl w:val="1"/>
          <w:numId w:val="6"/>
        </w:numPr>
        <w:jc w:val="both"/>
      </w:pPr>
      <w:r>
        <w:t xml:space="preserve">it’s entirely possible that median CW doesn’t ever increase past 2.0, even in the </w:t>
      </w:r>
      <w:proofErr w:type="gramStart"/>
      <w:r>
        <w:t>best case</w:t>
      </w:r>
      <w:proofErr w:type="gramEnd"/>
      <w:r>
        <w:t xml:space="preserve"> scenario</w:t>
      </w:r>
    </w:p>
    <w:p w14:paraId="18F5F895" w14:textId="66475D1D" w:rsidR="00947BDE" w:rsidRDefault="00947BDE" w:rsidP="00947BDE">
      <w:pPr>
        <w:jc w:val="both"/>
      </w:pPr>
    </w:p>
    <w:p w14:paraId="5ACC051D" w14:textId="111BEE9E" w:rsidR="00947BDE" w:rsidRDefault="00947BDE" w:rsidP="00947BDE">
      <w:pPr>
        <w:jc w:val="both"/>
      </w:pPr>
      <w:r>
        <w:t>Recommendations</w:t>
      </w:r>
    </w:p>
    <w:p w14:paraId="3FE0356F" w14:textId="7E8FC5C6" w:rsidR="00947BDE" w:rsidRDefault="00947BDE" w:rsidP="00947BDE">
      <w:pPr>
        <w:pStyle w:val="ListParagraph"/>
        <w:numPr>
          <w:ilvl w:val="0"/>
          <w:numId w:val="6"/>
        </w:numPr>
        <w:jc w:val="both"/>
      </w:pPr>
      <w:r>
        <w:t>Set attainment goal based on point system OR based off of median CW achieved WoW</w:t>
      </w:r>
    </w:p>
    <w:p w14:paraId="04E7FD54" w14:textId="52EE3F47" w:rsidR="00947BDE" w:rsidRDefault="00947BDE" w:rsidP="00947BDE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"/>
        <w:gridCol w:w="2514"/>
        <w:gridCol w:w="2790"/>
        <w:gridCol w:w="2785"/>
        <w:gridCol w:w="3065"/>
      </w:tblGrid>
      <w:tr w:rsidR="007B14AC" w14:paraId="17ECA598" w14:textId="51FA572B" w:rsidTr="007B14AC">
        <w:tc>
          <w:tcPr>
            <w:tcW w:w="901" w:type="dxa"/>
          </w:tcPr>
          <w:p w14:paraId="22B074B3" w14:textId="44552E6E" w:rsidR="007B14AC" w:rsidRDefault="007B14AC" w:rsidP="00947BDE">
            <w:pPr>
              <w:pStyle w:val="ListParagraph"/>
              <w:ind w:left="0"/>
              <w:jc w:val="both"/>
            </w:pPr>
            <w:r>
              <w:t>Week</w:t>
            </w:r>
          </w:p>
        </w:tc>
        <w:tc>
          <w:tcPr>
            <w:tcW w:w="2514" w:type="dxa"/>
          </w:tcPr>
          <w:p w14:paraId="6B27A85A" w14:textId="3F61B656" w:rsidR="007B14AC" w:rsidRDefault="007B14AC" w:rsidP="00947BDE">
            <w:pPr>
              <w:pStyle w:val="ListParagraph"/>
              <w:ind w:left="0"/>
              <w:jc w:val="both"/>
            </w:pPr>
            <w:r>
              <w:t>Mean CW (actual)</w:t>
            </w:r>
          </w:p>
        </w:tc>
        <w:tc>
          <w:tcPr>
            <w:tcW w:w="2790" w:type="dxa"/>
          </w:tcPr>
          <w:p w14:paraId="6679C181" w14:textId="0D852451" w:rsidR="007B14AC" w:rsidRDefault="007B14AC" w:rsidP="00947BDE">
            <w:pPr>
              <w:pStyle w:val="ListParagraph"/>
              <w:ind w:left="0"/>
              <w:jc w:val="both"/>
            </w:pPr>
            <w:r>
              <w:t>Mean Points (actual)</w:t>
            </w:r>
          </w:p>
        </w:tc>
        <w:tc>
          <w:tcPr>
            <w:tcW w:w="2785" w:type="dxa"/>
          </w:tcPr>
          <w:p w14:paraId="680160D4" w14:textId="14BB6D79" w:rsidR="007B14AC" w:rsidRDefault="007B14AC" w:rsidP="00947BDE">
            <w:pPr>
              <w:pStyle w:val="ListParagraph"/>
              <w:ind w:left="0"/>
              <w:jc w:val="both"/>
            </w:pPr>
            <w:r>
              <w:t>Proposed Attainment (%)</w:t>
            </w:r>
          </w:p>
        </w:tc>
        <w:tc>
          <w:tcPr>
            <w:tcW w:w="3065" w:type="dxa"/>
          </w:tcPr>
          <w:p w14:paraId="0BEEE843" w14:textId="143EE2AF" w:rsidR="007B14AC" w:rsidRDefault="007B14AC" w:rsidP="00947BDE">
            <w:pPr>
              <w:pStyle w:val="ListParagraph"/>
              <w:ind w:left="0"/>
              <w:jc w:val="both"/>
            </w:pPr>
            <w:r>
              <w:t>Proposed Attainment (CW)</w:t>
            </w:r>
          </w:p>
        </w:tc>
      </w:tr>
      <w:tr w:rsidR="007B14AC" w14:paraId="032AAE02" w14:textId="67510B6F" w:rsidTr="007B14AC">
        <w:tc>
          <w:tcPr>
            <w:tcW w:w="901" w:type="dxa"/>
          </w:tcPr>
          <w:p w14:paraId="6C99865E" w14:textId="12E300A4" w:rsidR="007B14AC" w:rsidRDefault="007B14AC" w:rsidP="00947BDE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2514" w:type="dxa"/>
          </w:tcPr>
          <w:p w14:paraId="20142353" w14:textId="5CDC5C86" w:rsidR="007B14AC" w:rsidRDefault="007B14AC" w:rsidP="00947BDE">
            <w:pPr>
              <w:pStyle w:val="ListParagraph"/>
              <w:ind w:left="0"/>
              <w:jc w:val="both"/>
            </w:pPr>
            <w:r>
              <w:t>1.0</w:t>
            </w:r>
          </w:p>
        </w:tc>
        <w:tc>
          <w:tcPr>
            <w:tcW w:w="2790" w:type="dxa"/>
          </w:tcPr>
          <w:p w14:paraId="58C4AF4B" w14:textId="6B726EDE" w:rsidR="007B14AC" w:rsidRDefault="007B14AC" w:rsidP="00947BDE">
            <w:pPr>
              <w:pStyle w:val="ListParagraph"/>
              <w:ind w:left="0"/>
              <w:jc w:val="both"/>
            </w:pPr>
            <w:r>
              <w:t>1.8</w:t>
            </w:r>
          </w:p>
        </w:tc>
        <w:tc>
          <w:tcPr>
            <w:tcW w:w="2785" w:type="dxa"/>
          </w:tcPr>
          <w:p w14:paraId="0C85C6DC" w14:textId="7696A78D" w:rsidR="007B14AC" w:rsidRDefault="007B14AC" w:rsidP="00947BDE">
            <w:pPr>
              <w:pStyle w:val="ListParagraph"/>
              <w:ind w:left="0"/>
              <w:jc w:val="both"/>
            </w:pPr>
            <w:r>
              <w:t>0%</w:t>
            </w:r>
          </w:p>
        </w:tc>
        <w:tc>
          <w:tcPr>
            <w:tcW w:w="3065" w:type="dxa"/>
          </w:tcPr>
          <w:p w14:paraId="2B308AE6" w14:textId="701E43C9" w:rsidR="007B14AC" w:rsidRDefault="007B14AC" w:rsidP="00947BDE">
            <w:pPr>
              <w:pStyle w:val="ListParagraph"/>
              <w:ind w:left="0"/>
              <w:jc w:val="both"/>
            </w:pPr>
            <w:r>
              <w:t>0.0</w:t>
            </w:r>
          </w:p>
        </w:tc>
      </w:tr>
      <w:tr w:rsidR="007B14AC" w14:paraId="6BCD67BD" w14:textId="004D70C7" w:rsidTr="007B14AC">
        <w:tc>
          <w:tcPr>
            <w:tcW w:w="901" w:type="dxa"/>
          </w:tcPr>
          <w:p w14:paraId="17622C2A" w14:textId="21F31215" w:rsidR="007B14AC" w:rsidRDefault="007B14AC" w:rsidP="00947BD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514" w:type="dxa"/>
          </w:tcPr>
          <w:p w14:paraId="5D74B23D" w14:textId="0FE2BE74" w:rsidR="007B14AC" w:rsidRDefault="007B14AC" w:rsidP="00947BDE">
            <w:pPr>
              <w:pStyle w:val="ListParagraph"/>
              <w:ind w:left="0"/>
              <w:jc w:val="both"/>
            </w:pPr>
            <w:r>
              <w:t>1.0</w:t>
            </w:r>
          </w:p>
        </w:tc>
        <w:tc>
          <w:tcPr>
            <w:tcW w:w="2790" w:type="dxa"/>
          </w:tcPr>
          <w:p w14:paraId="2C450BE5" w14:textId="3F9BF78D" w:rsidR="007B14AC" w:rsidRDefault="007B14AC" w:rsidP="00947BDE">
            <w:pPr>
              <w:pStyle w:val="ListParagraph"/>
              <w:ind w:left="0"/>
              <w:jc w:val="both"/>
            </w:pPr>
            <w:r>
              <w:t>2.21</w:t>
            </w:r>
          </w:p>
        </w:tc>
        <w:tc>
          <w:tcPr>
            <w:tcW w:w="2785" w:type="dxa"/>
          </w:tcPr>
          <w:p w14:paraId="6FE6295A" w14:textId="02878F6B" w:rsidR="007B14AC" w:rsidRDefault="007B14AC" w:rsidP="00947BDE">
            <w:pPr>
              <w:pStyle w:val="ListParagraph"/>
              <w:ind w:left="0"/>
              <w:jc w:val="both"/>
            </w:pPr>
            <w:r>
              <w:t>0%</w:t>
            </w:r>
          </w:p>
        </w:tc>
        <w:tc>
          <w:tcPr>
            <w:tcW w:w="3065" w:type="dxa"/>
          </w:tcPr>
          <w:p w14:paraId="35EC1FE4" w14:textId="5CE53797" w:rsidR="007B14AC" w:rsidRDefault="007B14AC" w:rsidP="00947BDE">
            <w:pPr>
              <w:pStyle w:val="ListParagraph"/>
              <w:ind w:left="0"/>
              <w:jc w:val="both"/>
            </w:pPr>
            <w:r>
              <w:t>0.0</w:t>
            </w:r>
          </w:p>
        </w:tc>
      </w:tr>
      <w:tr w:rsidR="007B14AC" w14:paraId="7BB91E58" w14:textId="3E903E01" w:rsidTr="007B14AC">
        <w:tc>
          <w:tcPr>
            <w:tcW w:w="901" w:type="dxa"/>
          </w:tcPr>
          <w:p w14:paraId="4211BC37" w14:textId="54CCD37B" w:rsidR="007B14AC" w:rsidRDefault="007B14AC" w:rsidP="00947BD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514" w:type="dxa"/>
          </w:tcPr>
          <w:p w14:paraId="0ECA3704" w14:textId="6FD8CD31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3D6E5BE1" w14:textId="60E6BC14" w:rsidR="007B14AC" w:rsidRDefault="007B14AC" w:rsidP="00947BDE">
            <w:pPr>
              <w:pStyle w:val="ListParagraph"/>
              <w:ind w:left="0"/>
              <w:jc w:val="both"/>
            </w:pPr>
            <w:r>
              <w:t>2.09</w:t>
            </w:r>
          </w:p>
        </w:tc>
        <w:tc>
          <w:tcPr>
            <w:tcW w:w="2785" w:type="dxa"/>
          </w:tcPr>
          <w:p w14:paraId="4DC78EAB" w14:textId="14C27177" w:rsidR="007B14AC" w:rsidRDefault="007B14AC" w:rsidP="00947BDE">
            <w:pPr>
              <w:pStyle w:val="ListParagraph"/>
              <w:ind w:left="0"/>
              <w:jc w:val="both"/>
            </w:pPr>
            <w:r>
              <w:t>30%</w:t>
            </w:r>
          </w:p>
        </w:tc>
        <w:tc>
          <w:tcPr>
            <w:tcW w:w="3065" w:type="dxa"/>
          </w:tcPr>
          <w:p w14:paraId="3EA77BDD" w14:textId="31A6A807" w:rsidR="007B14AC" w:rsidRDefault="007B14AC" w:rsidP="00947BDE">
            <w:pPr>
              <w:pStyle w:val="ListParagraph"/>
              <w:ind w:left="0"/>
              <w:jc w:val="both"/>
            </w:pPr>
            <w:r>
              <w:t>0.6</w:t>
            </w:r>
          </w:p>
        </w:tc>
      </w:tr>
      <w:tr w:rsidR="007B14AC" w14:paraId="76C4AB29" w14:textId="3A479C69" w:rsidTr="007B14AC">
        <w:tc>
          <w:tcPr>
            <w:tcW w:w="901" w:type="dxa"/>
          </w:tcPr>
          <w:p w14:paraId="07CE0936" w14:textId="50D9F3DE" w:rsidR="007B14AC" w:rsidRDefault="007B14AC" w:rsidP="00947BD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514" w:type="dxa"/>
          </w:tcPr>
          <w:p w14:paraId="59D279F1" w14:textId="271CBFAE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06441E2F" w14:textId="7EAD4F91" w:rsidR="007B14AC" w:rsidRDefault="007B14AC" w:rsidP="00947BDE">
            <w:pPr>
              <w:pStyle w:val="ListParagraph"/>
              <w:ind w:left="0"/>
              <w:jc w:val="both"/>
            </w:pPr>
            <w:r>
              <w:t>2.47</w:t>
            </w:r>
          </w:p>
        </w:tc>
        <w:tc>
          <w:tcPr>
            <w:tcW w:w="2785" w:type="dxa"/>
          </w:tcPr>
          <w:p w14:paraId="7E46A213" w14:textId="22038EB1" w:rsidR="007B14AC" w:rsidRDefault="007B14AC" w:rsidP="00947BDE">
            <w:pPr>
              <w:pStyle w:val="ListParagraph"/>
              <w:ind w:left="0"/>
              <w:jc w:val="both"/>
            </w:pPr>
            <w:r>
              <w:t>30%</w:t>
            </w:r>
          </w:p>
        </w:tc>
        <w:tc>
          <w:tcPr>
            <w:tcW w:w="3065" w:type="dxa"/>
          </w:tcPr>
          <w:p w14:paraId="68483ACA" w14:textId="1EFF1A59" w:rsidR="007B14AC" w:rsidRDefault="007B14AC" w:rsidP="00947BDE">
            <w:pPr>
              <w:pStyle w:val="ListParagraph"/>
              <w:ind w:left="0"/>
              <w:jc w:val="both"/>
            </w:pPr>
            <w:r>
              <w:t>0.6</w:t>
            </w:r>
          </w:p>
        </w:tc>
      </w:tr>
      <w:tr w:rsidR="007B14AC" w14:paraId="66D6D197" w14:textId="36043EA3" w:rsidTr="007B14AC">
        <w:tc>
          <w:tcPr>
            <w:tcW w:w="901" w:type="dxa"/>
          </w:tcPr>
          <w:p w14:paraId="71E73243" w14:textId="546D71DA" w:rsidR="007B14AC" w:rsidRDefault="007B14AC" w:rsidP="00947BDE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514" w:type="dxa"/>
          </w:tcPr>
          <w:p w14:paraId="715387EE" w14:textId="2DB19361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4D80239C" w14:textId="7A9CED96" w:rsidR="007B14AC" w:rsidRDefault="007B14AC" w:rsidP="00947BDE">
            <w:pPr>
              <w:pStyle w:val="ListParagraph"/>
              <w:ind w:left="0"/>
              <w:jc w:val="both"/>
            </w:pPr>
            <w:r>
              <w:t>2.27</w:t>
            </w:r>
          </w:p>
        </w:tc>
        <w:tc>
          <w:tcPr>
            <w:tcW w:w="2785" w:type="dxa"/>
          </w:tcPr>
          <w:p w14:paraId="47E2E778" w14:textId="5531E040" w:rsidR="007B14AC" w:rsidRDefault="007B14AC" w:rsidP="00947BDE">
            <w:pPr>
              <w:pStyle w:val="ListParagraph"/>
              <w:ind w:left="0"/>
              <w:jc w:val="both"/>
            </w:pPr>
            <w:r>
              <w:t>40%</w:t>
            </w:r>
          </w:p>
        </w:tc>
        <w:tc>
          <w:tcPr>
            <w:tcW w:w="3065" w:type="dxa"/>
          </w:tcPr>
          <w:p w14:paraId="5BE3B23A" w14:textId="0375C64E" w:rsidR="007B14AC" w:rsidRDefault="007B14AC" w:rsidP="00947BDE">
            <w:pPr>
              <w:pStyle w:val="ListParagraph"/>
              <w:ind w:left="0"/>
              <w:jc w:val="both"/>
            </w:pPr>
            <w:r>
              <w:t>0.8</w:t>
            </w:r>
          </w:p>
        </w:tc>
      </w:tr>
      <w:tr w:rsidR="007B14AC" w14:paraId="1854B9D3" w14:textId="4939520E" w:rsidTr="007B14AC">
        <w:tc>
          <w:tcPr>
            <w:tcW w:w="901" w:type="dxa"/>
          </w:tcPr>
          <w:p w14:paraId="5A337661" w14:textId="05B588BF" w:rsidR="007B14AC" w:rsidRDefault="007B14AC" w:rsidP="00947BDE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514" w:type="dxa"/>
          </w:tcPr>
          <w:p w14:paraId="0F22BC9E" w14:textId="6E461D5D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03514FFE" w14:textId="2C9299CB" w:rsidR="007B14AC" w:rsidRDefault="007B14AC" w:rsidP="00947BDE">
            <w:pPr>
              <w:pStyle w:val="ListParagraph"/>
              <w:ind w:left="0"/>
              <w:jc w:val="both"/>
            </w:pPr>
            <w:r>
              <w:t>2.57</w:t>
            </w:r>
          </w:p>
        </w:tc>
        <w:tc>
          <w:tcPr>
            <w:tcW w:w="2785" w:type="dxa"/>
          </w:tcPr>
          <w:p w14:paraId="61767433" w14:textId="4F5CAE20" w:rsidR="007B14AC" w:rsidRDefault="007B14AC" w:rsidP="00947BDE">
            <w:pPr>
              <w:pStyle w:val="ListParagraph"/>
              <w:ind w:left="0"/>
              <w:jc w:val="both"/>
            </w:pPr>
            <w:r>
              <w:t xml:space="preserve">50% </w:t>
            </w:r>
          </w:p>
        </w:tc>
        <w:tc>
          <w:tcPr>
            <w:tcW w:w="3065" w:type="dxa"/>
          </w:tcPr>
          <w:p w14:paraId="370DCE02" w14:textId="1FDC79B7" w:rsidR="007B14AC" w:rsidRDefault="007B14AC" w:rsidP="00947BDE">
            <w:pPr>
              <w:pStyle w:val="ListParagraph"/>
              <w:ind w:left="0"/>
              <w:jc w:val="both"/>
            </w:pPr>
            <w:r>
              <w:t>1.0</w:t>
            </w:r>
          </w:p>
        </w:tc>
      </w:tr>
      <w:tr w:rsidR="007B14AC" w14:paraId="64AC302F" w14:textId="27A50449" w:rsidTr="007B14AC">
        <w:tc>
          <w:tcPr>
            <w:tcW w:w="901" w:type="dxa"/>
          </w:tcPr>
          <w:p w14:paraId="05699059" w14:textId="204BC4FB" w:rsidR="007B14AC" w:rsidRDefault="007B14AC" w:rsidP="00947BDE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14" w:type="dxa"/>
          </w:tcPr>
          <w:p w14:paraId="29777662" w14:textId="1A1DE157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3DD35EC1" w14:textId="42AAB1E5" w:rsidR="007B14AC" w:rsidRDefault="007B14AC" w:rsidP="00947BDE">
            <w:pPr>
              <w:pStyle w:val="ListParagraph"/>
              <w:ind w:left="0"/>
              <w:jc w:val="both"/>
            </w:pPr>
            <w:r>
              <w:t>2.64</w:t>
            </w:r>
          </w:p>
        </w:tc>
        <w:tc>
          <w:tcPr>
            <w:tcW w:w="2785" w:type="dxa"/>
          </w:tcPr>
          <w:p w14:paraId="70E6E355" w14:textId="1A63ACFB" w:rsidR="007B14AC" w:rsidRDefault="007B14AC" w:rsidP="00947BDE">
            <w:pPr>
              <w:pStyle w:val="ListParagraph"/>
              <w:ind w:left="0"/>
              <w:jc w:val="both"/>
            </w:pPr>
            <w:r>
              <w:t>60%</w:t>
            </w:r>
          </w:p>
        </w:tc>
        <w:tc>
          <w:tcPr>
            <w:tcW w:w="3065" w:type="dxa"/>
          </w:tcPr>
          <w:p w14:paraId="00A22B08" w14:textId="6616C45C" w:rsidR="007B14AC" w:rsidRDefault="007B14AC" w:rsidP="00947BDE">
            <w:pPr>
              <w:pStyle w:val="ListParagraph"/>
              <w:ind w:left="0"/>
              <w:jc w:val="both"/>
            </w:pPr>
            <w:r>
              <w:t>1.2</w:t>
            </w:r>
          </w:p>
        </w:tc>
      </w:tr>
      <w:tr w:rsidR="007B14AC" w14:paraId="499FD7DB" w14:textId="68598275" w:rsidTr="007B14AC">
        <w:tc>
          <w:tcPr>
            <w:tcW w:w="901" w:type="dxa"/>
          </w:tcPr>
          <w:p w14:paraId="3CC1621A" w14:textId="15D09080" w:rsidR="007B14AC" w:rsidRDefault="007B14AC" w:rsidP="00947BDE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514" w:type="dxa"/>
          </w:tcPr>
          <w:p w14:paraId="542A998F" w14:textId="075A9163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61DD4FEB" w14:textId="67055F6C" w:rsidR="007B14AC" w:rsidRDefault="007B14AC" w:rsidP="00947BDE">
            <w:pPr>
              <w:pStyle w:val="ListParagraph"/>
              <w:ind w:left="0"/>
              <w:jc w:val="both"/>
            </w:pPr>
            <w:r>
              <w:t>2.86</w:t>
            </w:r>
          </w:p>
        </w:tc>
        <w:tc>
          <w:tcPr>
            <w:tcW w:w="2785" w:type="dxa"/>
          </w:tcPr>
          <w:p w14:paraId="024FC75C" w14:textId="35C4CFEC" w:rsidR="007B14AC" w:rsidRDefault="007B14AC" w:rsidP="00947BDE">
            <w:pPr>
              <w:pStyle w:val="ListParagraph"/>
              <w:ind w:left="0"/>
              <w:jc w:val="both"/>
            </w:pPr>
            <w:r>
              <w:t>70%</w:t>
            </w:r>
          </w:p>
        </w:tc>
        <w:tc>
          <w:tcPr>
            <w:tcW w:w="3065" w:type="dxa"/>
          </w:tcPr>
          <w:p w14:paraId="4CEEB751" w14:textId="7E9823DF" w:rsidR="007B14AC" w:rsidRDefault="007B14AC" w:rsidP="00947BDE">
            <w:pPr>
              <w:pStyle w:val="ListParagraph"/>
              <w:ind w:left="0"/>
              <w:jc w:val="both"/>
            </w:pPr>
            <w:r>
              <w:t>1.4</w:t>
            </w:r>
          </w:p>
        </w:tc>
      </w:tr>
      <w:tr w:rsidR="007B14AC" w14:paraId="47383980" w14:textId="7CFB8A8B" w:rsidTr="007B14AC">
        <w:tc>
          <w:tcPr>
            <w:tcW w:w="901" w:type="dxa"/>
          </w:tcPr>
          <w:p w14:paraId="1428D8AF" w14:textId="0AA04EF8" w:rsidR="007B14AC" w:rsidRDefault="007B14AC" w:rsidP="00947BDE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2514" w:type="dxa"/>
          </w:tcPr>
          <w:p w14:paraId="3F56031D" w14:textId="38884115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7E0D802C" w14:textId="0151EF4D" w:rsidR="007B14AC" w:rsidRDefault="007B14AC" w:rsidP="00947BDE">
            <w:pPr>
              <w:pStyle w:val="ListParagraph"/>
              <w:ind w:left="0"/>
              <w:jc w:val="both"/>
            </w:pPr>
            <w:r>
              <w:t>2.99</w:t>
            </w:r>
          </w:p>
        </w:tc>
        <w:tc>
          <w:tcPr>
            <w:tcW w:w="2785" w:type="dxa"/>
          </w:tcPr>
          <w:p w14:paraId="66FB0694" w14:textId="0DBD8BA6" w:rsidR="007B14AC" w:rsidRDefault="007B14AC" w:rsidP="00947BDE">
            <w:pPr>
              <w:pStyle w:val="ListParagraph"/>
              <w:ind w:left="0"/>
              <w:jc w:val="both"/>
            </w:pPr>
            <w:r>
              <w:t>80%</w:t>
            </w:r>
          </w:p>
        </w:tc>
        <w:tc>
          <w:tcPr>
            <w:tcW w:w="3065" w:type="dxa"/>
          </w:tcPr>
          <w:p w14:paraId="58FEFAD1" w14:textId="62E8E14B" w:rsidR="007B14AC" w:rsidRDefault="007B14AC" w:rsidP="00947BDE">
            <w:pPr>
              <w:pStyle w:val="ListParagraph"/>
              <w:ind w:left="0"/>
              <w:jc w:val="both"/>
            </w:pPr>
            <w:r>
              <w:t>1.6</w:t>
            </w:r>
          </w:p>
        </w:tc>
      </w:tr>
      <w:tr w:rsidR="007B14AC" w14:paraId="4F6AD804" w14:textId="48E91BBC" w:rsidTr="007B14AC">
        <w:tc>
          <w:tcPr>
            <w:tcW w:w="901" w:type="dxa"/>
          </w:tcPr>
          <w:p w14:paraId="16A89C00" w14:textId="342DF842" w:rsidR="007B14AC" w:rsidRDefault="007B14AC" w:rsidP="00947BDE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514" w:type="dxa"/>
          </w:tcPr>
          <w:p w14:paraId="7263C917" w14:textId="53B8F33E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5D755702" w14:textId="61C23478" w:rsidR="007B14AC" w:rsidRDefault="007B14AC" w:rsidP="00947BDE">
            <w:pPr>
              <w:pStyle w:val="ListParagraph"/>
              <w:ind w:left="0"/>
              <w:jc w:val="both"/>
            </w:pPr>
            <w:r>
              <w:t>3.03</w:t>
            </w:r>
          </w:p>
        </w:tc>
        <w:tc>
          <w:tcPr>
            <w:tcW w:w="2785" w:type="dxa"/>
          </w:tcPr>
          <w:p w14:paraId="7997CB9A" w14:textId="2F4C012C" w:rsidR="007B14AC" w:rsidRDefault="007B14AC" w:rsidP="00947BDE">
            <w:pPr>
              <w:pStyle w:val="ListParagraph"/>
              <w:ind w:left="0"/>
              <w:jc w:val="both"/>
            </w:pPr>
            <w:r>
              <w:t>90%</w:t>
            </w:r>
          </w:p>
        </w:tc>
        <w:tc>
          <w:tcPr>
            <w:tcW w:w="3065" w:type="dxa"/>
          </w:tcPr>
          <w:p w14:paraId="31D9E625" w14:textId="7CDA5CA5" w:rsidR="007B14AC" w:rsidRDefault="007B14AC" w:rsidP="00947BDE">
            <w:pPr>
              <w:pStyle w:val="ListParagraph"/>
              <w:ind w:left="0"/>
              <w:jc w:val="both"/>
            </w:pPr>
            <w:r>
              <w:t>1.8</w:t>
            </w:r>
          </w:p>
        </w:tc>
      </w:tr>
      <w:tr w:rsidR="007B14AC" w14:paraId="0CD72187" w14:textId="0F5EF408" w:rsidTr="00591DFF">
        <w:trPr>
          <w:trHeight w:val="90"/>
        </w:trPr>
        <w:tc>
          <w:tcPr>
            <w:tcW w:w="901" w:type="dxa"/>
          </w:tcPr>
          <w:p w14:paraId="2815A9B5" w14:textId="40C0FAB6" w:rsidR="007B14AC" w:rsidRDefault="007B14AC" w:rsidP="00947BDE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514" w:type="dxa"/>
          </w:tcPr>
          <w:p w14:paraId="52558B40" w14:textId="6BF8CC6C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  <w:tc>
          <w:tcPr>
            <w:tcW w:w="2790" w:type="dxa"/>
          </w:tcPr>
          <w:p w14:paraId="621C541A" w14:textId="79266DF7" w:rsidR="007B14AC" w:rsidRDefault="007B14AC" w:rsidP="00947BDE">
            <w:pPr>
              <w:pStyle w:val="ListParagraph"/>
              <w:ind w:left="0"/>
              <w:jc w:val="both"/>
            </w:pPr>
            <w:r>
              <w:t>2.82</w:t>
            </w:r>
          </w:p>
        </w:tc>
        <w:tc>
          <w:tcPr>
            <w:tcW w:w="2785" w:type="dxa"/>
          </w:tcPr>
          <w:p w14:paraId="73D350FE" w14:textId="7EDCD97B" w:rsidR="007B14AC" w:rsidRDefault="007B14AC" w:rsidP="00947BDE">
            <w:pPr>
              <w:pStyle w:val="ListParagraph"/>
              <w:ind w:left="0"/>
              <w:jc w:val="both"/>
            </w:pPr>
            <w:r>
              <w:t xml:space="preserve">100% </w:t>
            </w:r>
          </w:p>
        </w:tc>
        <w:tc>
          <w:tcPr>
            <w:tcW w:w="3065" w:type="dxa"/>
          </w:tcPr>
          <w:p w14:paraId="48C4A189" w14:textId="741CFB76" w:rsidR="007B14AC" w:rsidRDefault="007B14AC" w:rsidP="00947BDE">
            <w:pPr>
              <w:pStyle w:val="ListParagraph"/>
              <w:ind w:left="0"/>
              <w:jc w:val="both"/>
            </w:pPr>
            <w:r>
              <w:t>2.0</w:t>
            </w:r>
          </w:p>
        </w:tc>
      </w:tr>
    </w:tbl>
    <w:p w14:paraId="18FE76BD" w14:textId="77777777" w:rsidR="00947BDE" w:rsidRDefault="00947BDE" w:rsidP="00947BDE">
      <w:pPr>
        <w:pStyle w:val="ListParagraph"/>
        <w:jc w:val="both"/>
      </w:pPr>
    </w:p>
    <w:p w14:paraId="7989769A" w14:textId="363C2171" w:rsidR="00AB7052" w:rsidRDefault="007B14AC" w:rsidP="00947BDE">
      <w:pPr>
        <w:pStyle w:val="ListParagraph"/>
        <w:numPr>
          <w:ilvl w:val="0"/>
          <w:numId w:val="6"/>
        </w:numPr>
        <w:jc w:val="both"/>
      </w:pPr>
      <w:r>
        <w:t>Proposal</w:t>
      </w:r>
      <w:r w:rsidR="00AB7052">
        <w:t>:</w:t>
      </w:r>
    </w:p>
    <w:p w14:paraId="43237820" w14:textId="6E675DB1" w:rsidR="007B14AC" w:rsidRDefault="007B14AC" w:rsidP="00B01928">
      <w:pPr>
        <w:pStyle w:val="ListParagraph"/>
        <w:numPr>
          <w:ilvl w:val="1"/>
          <w:numId w:val="6"/>
        </w:numPr>
        <w:jc w:val="both"/>
      </w:pPr>
      <w:r>
        <w:t>Ideally, we would reward any achievement above the median for any given week, but EXTs are paid hourly.</w:t>
      </w:r>
    </w:p>
    <w:p w14:paraId="07CF9EA9" w14:textId="1666B80C" w:rsidR="007B14AC" w:rsidRDefault="007B14AC" w:rsidP="007B14AC">
      <w:pPr>
        <w:pStyle w:val="ListParagraph"/>
        <w:numPr>
          <w:ilvl w:val="1"/>
          <w:numId w:val="6"/>
        </w:numPr>
        <w:jc w:val="both"/>
      </w:pPr>
      <w:r>
        <w:t xml:space="preserve">Since </w:t>
      </w:r>
      <w:r>
        <w:t xml:space="preserve">it’s entirely possible that median CW doesn’t </w:t>
      </w:r>
      <w:r>
        <w:t xml:space="preserve">ever </w:t>
      </w:r>
      <w:r>
        <w:t xml:space="preserve">increase past 2.0, even in the </w:t>
      </w:r>
      <w:proofErr w:type="gramStart"/>
      <w:r>
        <w:t>best case</w:t>
      </w:r>
      <w:proofErr w:type="gramEnd"/>
      <w:r>
        <w:t xml:space="preserve"> scenario</w:t>
      </w:r>
      <w:r>
        <w:t>, the bare</w:t>
      </w:r>
      <w:r>
        <w:t xml:space="preserve"> minimum requirement</w:t>
      </w:r>
      <w:r>
        <w:t xml:space="preserve"> </w:t>
      </w:r>
      <w:r>
        <w:t>should be no greater than the median for that week</w:t>
      </w:r>
      <w:r>
        <w:t>, and should never exceed 2.0 for any week between weeks 1 and 10.</w:t>
      </w:r>
    </w:p>
    <w:p w14:paraId="707533E4" w14:textId="0167C775" w:rsidR="00947BDE" w:rsidRDefault="007B14AC" w:rsidP="00947BDE">
      <w:pPr>
        <w:pStyle w:val="ListParagraph"/>
        <w:numPr>
          <w:ilvl w:val="1"/>
          <w:numId w:val="6"/>
        </w:numPr>
        <w:jc w:val="both"/>
      </w:pPr>
      <w:r>
        <w:t>The proposed attainment percentages</w:t>
      </w:r>
      <w:r w:rsidR="00B01928">
        <w:t xml:space="preserve"> </w:t>
      </w:r>
      <w:r>
        <w:t>do NOT</w:t>
      </w:r>
      <w:r w:rsidR="00B01928">
        <w:t xml:space="preserve"> reflect likelihood of achieving median but rather the “buffer” / “grace” that we give to new sellers who are learning</w:t>
      </w:r>
      <w:r w:rsidR="00DD7B56">
        <w:t xml:space="preserve"> and practicing</w:t>
      </w:r>
      <w:bookmarkStart w:id="0" w:name="_GoBack"/>
      <w:bookmarkEnd w:id="0"/>
      <w:r w:rsidR="00B01928">
        <w:t xml:space="preserve"> new material</w:t>
      </w:r>
    </w:p>
    <w:sectPr w:rsidR="00947BDE" w:rsidSect="00591DFF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B00"/>
    <w:multiLevelType w:val="hybridMultilevel"/>
    <w:tmpl w:val="7D1E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791"/>
    <w:multiLevelType w:val="hybridMultilevel"/>
    <w:tmpl w:val="1D78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550C9"/>
    <w:multiLevelType w:val="hybridMultilevel"/>
    <w:tmpl w:val="0128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044"/>
    <w:multiLevelType w:val="hybridMultilevel"/>
    <w:tmpl w:val="5C72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130AE"/>
    <w:multiLevelType w:val="hybridMultilevel"/>
    <w:tmpl w:val="09AE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8562A"/>
    <w:multiLevelType w:val="hybridMultilevel"/>
    <w:tmpl w:val="9B26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0D"/>
    <w:rsid w:val="001D3D6F"/>
    <w:rsid w:val="002B0CDC"/>
    <w:rsid w:val="002F34F9"/>
    <w:rsid w:val="00591DFF"/>
    <w:rsid w:val="006F6FE7"/>
    <w:rsid w:val="0070615D"/>
    <w:rsid w:val="00723408"/>
    <w:rsid w:val="007B14AC"/>
    <w:rsid w:val="008D7395"/>
    <w:rsid w:val="00947BDE"/>
    <w:rsid w:val="009954EC"/>
    <w:rsid w:val="00A90AD5"/>
    <w:rsid w:val="00AB7052"/>
    <w:rsid w:val="00B01928"/>
    <w:rsid w:val="00C9750D"/>
    <w:rsid w:val="00DB3712"/>
    <w:rsid w:val="00DD7B56"/>
    <w:rsid w:val="00E61C65"/>
    <w:rsid w:val="00E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CAD26"/>
  <w15:chartTrackingRefBased/>
  <w15:docId w15:val="{C070C722-20AC-FB40-A08F-8884FA63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E7"/>
    <w:pPr>
      <w:ind w:left="720"/>
      <w:contextualSpacing/>
    </w:pPr>
  </w:style>
  <w:style w:type="table" w:styleId="TableGrid">
    <w:name w:val="Table Grid"/>
    <w:basedOn w:val="TableNormal"/>
    <w:uiPriority w:val="39"/>
    <w:rsid w:val="00947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2018-10-09T16:51:00Z</dcterms:created>
  <dcterms:modified xsi:type="dcterms:W3CDTF">2018-10-24T23:28:00Z</dcterms:modified>
</cp:coreProperties>
</file>