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E5AE" w14:textId="63ED48F9" w:rsidR="00FF6BD1" w:rsidRDefault="005F21E2" w:rsidP="00FF6BD1">
      <w:pPr>
        <w:shd w:val="clear" w:color="auto" w:fill="FFFFFF"/>
        <w:spacing w:beforeAutospacing="1" w:after="0" w:afterAutospacing="1" w:line="240" w:lineRule="auto"/>
        <w:rPr>
          <w:rFonts w:ascii="Aptos" w:eastAsia="Times New Roman" w:hAnsi="Aptos" w:cs="Segoe UI"/>
          <w:color w:val="000000"/>
          <w:kern w:val="0"/>
          <w:sz w:val="24"/>
          <w:szCs w:val="24"/>
          <w:bdr w:val="none" w:sz="0" w:space="0" w:color="auto" w:frame="1"/>
          <w:lang w:eastAsia="es-CR"/>
          <w14:ligatures w14:val="none"/>
        </w:rPr>
      </w:pPr>
      <w:r>
        <w:rPr>
          <w:rFonts w:ascii="Aptos" w:eastAsia="Times New Roman" w:hAnsi="Aptos" w:cs="Segoe UI"/>
          <w:color w:val="000000"/>
          <w:kern w:val="0"/>
          <w:sz w:val="24"/>
          <w:szCs w:val="24"/>
          <w:bdr w:val="none" w:sz="0" w:space="0" w:color="auto" w:frame="1"/>
          <w:lang w:eastAsia="es-CR"/>
          <w14:ligatures w14:val="none"/>
        </w:rPr>
        <w:t>Informe #1</w:t>
      </w:r>
    </w:p>
    <w:p w14:paraId="4C58E462" w14:textId="2B54D465" w:rsidR="005F21E2" w:rsidRDefault="005F21E2" w:rsidP="00FF6BD1">
      <w:pPr>
        <w:shd w:val="clear" w:color="auto" w:fill="FFFFFF"/>
        <w:spacing w:beforeAutospacing="1" w:after="0" w:afterAutospacing="1" w:line="240" w:lineRule="auto"/>
        <w:rPr>
          <w:rFonts w:ascii="Aptos" w:eastAsia="Times New Roman" w:hAnsi="Aptos" w:cs="Segoe UI"/>
          <w:color w:val="000000"/>
          <w:kern w:val="0"/>
          <w:sz w:val="24"/>
          <w:szCs w:val="24"/>
          <w:bdr w:val="none" w:sz="0" w:space="0" w:color="auto" w:frame="1"/>
          <w:lang w:eastAsia="es-CR"/>
          <w14:ligatures w14:val="none"/>
        </w:rPr>
      </w:pPr>
      <w:r>
        <w:rPr>
          <w:rFonts w:ascii="Aptos" w:eastAsia="Times New Roman" w:hAnsi="Aptos" w:cs="Segoe UI"/>
          <w:color w:val="000000"/>
          <w:kern w:val="0"/>
          <w:sz w:val="24"/>
          <w:szCs w:val="24"/>
          <w:bdr w:val="none" w:sz="0" w:space="0" w:color="auto" w:frame="1"/>
          <w:lang w:eastAsia="es-CR"/>
          <w14:ligatures w14:val="none"/>
        </w:rPr>
        <w:t>Fiorella Arrieta</w:t>
      </w:r>
    </w:p>
    <w:p w14:paraId="2F305A9E" w14:textId="076DA74D" w:rsidR="009F131F" w:rsidRPr="00FF6BD1" w:rsidRDefault="009F131F" w:rsidP="00FF6BD1">
      <w:pPr>
        <w:shd w:val="clear" w:color="auto" w:fill="FFFFFF"/>
        <w:spacing w:beforeAutospacing="1" w:after="0" w:afterAutospacing="1" w:line="240" w:lineRule="auto"/>
        <w:rPr>
          <w:rFonts w:ascii="Aptos" w:eastAsia="Times New Roman" w:hAnsi="Aptos" w:cs="Segoe UI"/>
          <w:color w:val="000000"/>
          <w:kern w:val="0"/>
          <w:sz w:val="24"/>
          <w:szCs w:val="24"/>
          <w:lang w:eastAsia="es-CR"/>
          <w14:ligatures w14:val="none"/>
        </w:rPr>
      </w:pPr>
      <w:r w:rsidRPr="00FF6BD1">
        <w:rPr>
          <w:rFonts w:ascii="Aptos" w:eastAsia="Times New Roman" w:hAnsi="Aptos" w:cs="Segoe UI"/>
          <w:color w:val="000000"/>
          <w:kern w:val="0"/>
          <w:sz w:val="24"/>
          <w:szCs w:val="24"/>
          <w:bdr w:val="none" w:sz="0" w:space="0" w:color="auto" w:frame="1"/>
          <w:lang w:eastAsia="es-CR"/>
          <w14:ligatures w14:val="none"/>
        </w:rPr>
        <w:t>Cómo implementar un cluster de computadoras en Windows o Linux.</w:t>
      </w:r>
    </w:p>
    <w:p w14:paraId="615F959D" w14:textId="220B9FCB" w:rsidR="009F131F" w:rsidRPr="009F131F" w:rsidRDefault="009F131F" w:rsidP="009F131F">
      <w:pPr>
        <w:pStyle w:val="Prrafodelista"/>
        <w:numPr>
          <w:ilvl w:val="0"/>
          <w:numId w:val="2"/>
        </w:numPr>
        <w:shd w:val="clear" w:color="auto" w:fill="FFFFFF"/>
        <w:spacing w:beforeAutospacing="1" w:after="0" w:afterAutospacing="1" w:line="240" w:lineRule="auto"/>
        <w:rPr>
          <w:rFonts w:ascii="Aptos" w:eastAsia="Times New Roman" w:hAnsi="Aptos" w:cs="Segoe UI"/>
          <w:color w:val="000000"/>
          <w:kern w:val="0"/>
          <w:sz w:val="24"/>
          <w:szCs w:val="24"/>
          <w:lang w:eastAsia="es-CR"/>
          <w14:ligatures w14:val="none"/>
        </w:rPr>
      </w:pPr>
      <w:r w:rsidRPr="009F131F">
        <w:rPr>
          <w:rFonts w:ascii="Aptos" w:eastAsia="Times New Roman" w:hAnsi="Aptos" w:cs="Segoe UI"/>
          <w:color w:val="000000"/>
          <w:kern w:val="0"/>
          <w:sz w:val="24"/>
          <w:szCs w:val="24"/>
          <w:bdr w:val="none" w:sz="0" w:space="0" w:color="auto" w:frame="1"/>
          <w:lang w:eastAsia="es-CR"/>
          <w14:ligatures w14:val="none"/>
        </w:rPr>
        <w:t>Qué tecnologías y protocolos subyacentes se utilizan.</w:t>
      </w:r>
    </w:p>
    <w:p w14:paraId="46213CCC" w14:textId="59930DAE" w:rsidR="008F4597" w:rsidRDefault="00D05959" w:rsidP="009F131F">
      <w:pPr>
        <w:pStyle w:val="shortdesc"/>
        <w:shd w:val="clear" w:color="auto" w:fill="FFFFFF"/>
        <w:textAlignment w:val="baseline"/>
        <w:rPr>
          <w:rFonts w:ascii="IBM Plex Sans" w:hAnsi="IBM Plex Sans"/>
          <w:color w:val="161616"/>
        </w:rPr>
      </w:pPr>
      <w:r>
        <w:rPr>
          <w:rFonts w:ascii="IBM Plex Sans" w:hAnsi="IBM Plex Sans"/>
          <w:color w:val="161616"/>
        </w:rPr>
        <w:t>Las tecnologías utilizadas por un cluster</w:t>
      </w:r>
      <w:r w:rsidR="0050392E">
        <w:rPr>
          <w:rFonts w:ascii="IBM Plex Sans" w:hAnsi="IBM Plex Sans"/>
          <w:color w:val="161616"/>
        </w:rPr>
        <w:t xml:space="preserve"> son las siguientes: </w:t>
      </w:r>
    </w:p>
    <w:p w14:paraId="2DBDCA85" w14:textId="3ED0A4BE" w:rsidR="00970112" w:rsidRDefault="00970112" w:rsidP="00970112">
      <w:pPr>
        <w:pStyle w:val="shortdesc"/>
        <w:numPr>
          <w:ilvl w:val="0"/>
          <w:numId w:val="3"/>
        </w:numPr>
        <w:shd w:val="clear" w:color="auto" w:fill="FFFFFF"/>
        <w:textAlignment w:val="baseline"/>
        <w:rPr>
          <w:rFonts w:ascii="IBM Plex Sans" w:hAnsi="IBM Plex Sans"/>
          <w:color w:val="161616"/>
        </w:rPr>
      </w:pPr>
      <w:r>
        <w:rPr>
          <w:rFonts w:ascii="IBM Plex Sans" w:hAnsi="IBM Plex Sans"/>
          <w:color w:val="161616"/>
        </w:rPr>
        <w:t xml:space="preserve">Rocks clusters: Software que simplifica la creación y administración de clústeres en Linux. </w:t>
      </w:r>
      <w:r w:rsidR="006471B4">
        <w:rPr>
          <w:rFonts w:ascii="IBM Plex Sans" w:hAnsi="IBM Plex Sans"/>
          <w:color w:val="161616"/>
        </w:rPr>
        <w:t xml:space="preserve">Brinda diferentes herramientas como </w:t>
      </w:r>
      <w:r w:rsidR="00061E93">
        <w:rPr>
          <w:rFonts w:ascii="IBM Plex Sans" w:hAnsi="IBM Plex Sans"/>
          <w:color w:val="161616"/>
        </w:rPr>
        <w:t>para la instalación, configuración y la gestión de nodos.</w:t>
      </w:r>
    </w:p>
    <w:p w14:paraId="15665356" w14:textId="76D7E11C" w:rsidR="00E90D18" w:rsidRDefault="00E90D18" w:rsidP="00970112">
      <w:pPr>
        <w:pStyle w:val="shortdesc"/>
        <w:numPr>
          <w:ilvl w:val="0"/>
          <w:numId w:val="3"/>
        </w:numPr>
        <w:shd w:val="clear" w:color="auto" w:fill="FFFFFF"/>
        <w:textAlignment w:val="baseline"/>
        <w:rPr>
          <w:rFonts w:ascii="IBM Plex Sans" w:hAnsi="IBM Plex Sans"/>
          <w:color w:val="161616"/>
        </w:rPr>
      </w:pPr>
      <w:r>
        <w:rPr>
          <w:rFonts w:ascii="IBM Plex Sans" w:hAnsi="IBM Plex Sans"/>
          <w:color w:val="161616"/>
        </w:rPr>
        <w:t>OpenMosix: E</w:t>
      </w:r>
      <w:r w:rsidR="00823566">
        <w:rPr>
          <w:rFonts w:ascii="IBM Plex Sans" w:hAnsi="IBM Plex Sans"/>
          <w:color w:val="161616"/>
        </w:rPr>
        <w:t>sta es una tecnología que abarca el tema de la memoria del clúster</w:t>
      </w:r>
      <w:r w:rsidR="00B8598D">
        <w:rPr>
          <w:rFonts w:ascii="IBM Plex Sans" w:hAnsi="IBM Plex Sans"/>
          <w:color w:val="161616"/>
        </w:rPr>
        <w:t xml:space="preserve">, más específicamente esta es una memoria compartida, </w:t>
      </w:r>
      <w:r w:rsidR="00117A4D">
        <w:rPr>
          <w:rFonts w:ascii="IBM Plex Sans" w:hAnsi="IBM Plex Sans"/>
          <w:color w:val="161616"/>
        </w:rPr>
        <w:t>que permite que los procesos se ejecuten en cualquier nodo del clúster</w:t>
      </w:r>
      <w:r w:rsidR="00EC575D">
        <w:rPr>
          <w:rFonts w:ascii="IBM Plex Sans" w:hAnsi="IBM Plex Sans"/>
          <w:color w:val="161616"/>
        </w:rPr>
        <w:t xml:space="preserve">. </w:t>
      </w:r>
    </w:p>
    <w:p w14:paraId="30F3682A" w14:textId="08D47DB0" w:rsidR="006770BF" w:rsidRDefault="00EC575D" w:rsidP="006770BF">
      <w:pPr>
        <w:pStyle w:val="shortdesc"/>
        <w:numPr>
          <w:ilvl w:val="0"/>
          <w:numId w:val="3"/>
        </w:numPr>
        <w:shd w:val="clear" w:color="auto" w:fill="FFFFFF"/>
        <w:textAlignment w:val="baseline"/>
        <w:rPr>
          <w:rFonts w:ascii="IBM Plex Sans" w:hAnsi="IBM Plex Sans"/>
          <w:color w:val="161616"/>
        </w:rPr>
      </w:pPr>
      <w:r>
        <w:rPr>
          <w:rFonts w:ascii="IBM Plex Sans" w:hAnsi="IBM Plex Sans"/>
          <w:color w:val="161616"/>
        </w:rPr>
        <w:t>Beowful Clusters: Esta es la arquitectura del clúster</w:t>
      </w:r>
      <w:r w:rsidR="002346E4">
        <w:rPr>
          <w:rFonts w:ascii="IBM Plex Sans" w:hAnsi="IBM Plex Sans"/>
          <w:color w:val="161616"/>
        </w:rPr>
        <w:t xml:space="preserve">. Utiliza una comunicación de paso de mensajes para coordinar tareas </w:t>
      </w:r>
      <w:r w:rsidR="006770BF">
        <w:rPr>
          <w:rFonts w:ascii="IBM Plex Sans" w:hAnsi="IBM Plex Sans"/>
          <w:color w:val="161616"/>
        </w:rPr>
        <w:t xml:space="preserve">entre nodos. </w:t>
      </w:r>
    </w:p>
    <w:p w14:paraId="55B8D1C4" w14:textId="622FB6C1" w:rsidR="006770BF" w:rsidRDefault="006770BF" w:rsidP="006770BF">
      <w:pPr>
        <w:pStyle w:val="shortdesc"/>
        <w:numPr>
          <w:ilvl w:val="0"/>
          <w:numId w:val="3"/>
        </w:numPr>
        <w:shd w:val="clear" w:color="auto" w:fill="FFFFFF"/>
        <w:textAlignment w:val="baseline"/>
        <w:rPr>
          <w:rFonts w:ascii="IBM Plex Sans" w:hAnsi="IBM Plex Sans"/>
          <w:color w:val="161616"/>
        </w:rPr>
      </w:pPr>
      <w:r>
        <w:rPr>
          <w:rFonts w:ascii="IBM Plex Sans" w:hAnsi="IBM Plex Sans"/>
          <w:color w:val="161616"/>
        </w:rPr>
        <w:t xml:space="preserve">High Availability (HA): </w:t>
      </w:r>
      <w:r w:rsidR="004229C0">
        <w:rPr>
          <w:rFonts w:ascii="IBM Plex Sans" w:hAnsi="IBM Plex Sans"/>
          <w:color w:val="161616"/>
        </w:rPr>
        <w:t>Garantiza la disponibilidad continua de servicios. Esta utiliza tecnología</w:t>
      </w:r>
      <w:r w:rsidR="00F912EA">
        <w:rPr>
          <w:rFonts w:ascii="IBM Plex Sans" w:hAnsi="IBM Plex Sans"/>
          <w:color w:val="161616"/>
        </w:rPr>
        <w:t>s</w:t>
      </w:r>
      <w:r w:rsidR="004229C0">
        <w:rPr>
          <w:rFonts w:ascii="IBM Plex Sans" w:hAnsi="IBM Plex Sans"/>
          <w:color w:val="161616"/>
        </w:rPr>
        <w:t xml:space="preserve"> </w:t>
      </w:r>
      <w:r w:rsidR="00F912EA">
        <w:rPr>
          <w:rFonts w:ascii="IBM Plex Sans" w:hAnsi="IBM Plex Sans"/>
          <w:color w:val="161616"/>
        </w:rPr>
        <w:t>como Pacemaker, Corosync y DRBD</w:t>
      </w:r>
      <w:r w:rsidR="00ED62C3">
        <w:rPr>
          <w:rFonts w:ascii="IBM Plex Sans" w:hAnsi="IBM Plex Sans"/>
          <w:color w:val="161616"/>
        </w:rPr>
        <w:t xml:space="preserve">, las cuales administran los recursos compartidos. </w:t>
      </w:r>
    </w:p>
    <w:p w14:paraId="4980C184" w14:textId="50A62362" w:rsidR="00ED62C3" w:rsidRDefault="00ED62C3" w:rsidP="006770BF">
      <w:pPr>
        <w:pStyle w:val="shortdesc"/>
        <w:numPr>
          <w:ilvl w:val="0"/>
          <w:numId w:val="3"/>
        </w:numPr>
        <w:shd w:val="clear" w:color="auto" w:fill="FFFFFF"/>
        <w:textAlignment w:val="baseline"/>
        <w:rPr>
          <w:rFonts w:ascii="IBM Plex Sans" w:hAnsi="IBM Plex Sans"/>
          <w:color w:val="161616"/>
        </w:rPr>
      </w:pPr>
      <w:r>
        <w:rPr>
          <w:rFonts w:ascii="IBM Plex Sans" w:hAnsi="IBM Plex Sans"/>
          <w:color w:val="161616"/>
        </w:rPr>
        <w:t xml:space="preserve">Docker Swarm y Kubernetes: </w:t>
      </w:r>
      <w:r w:rsidR="00432659">
        <w:rPr>
          <w:rFonts w:ascii="IBM Plex Sans" w:hAnsi="IBM Plex Sans"/>
          <w:color w:val="161616"/>
        </w:rPr>
        <w:t xml:space="preserve">Son </w:t>
      </w:r>
      <w:r w:rsidR="00A76CE4">
        <w:rPr>
          <w:rFonts w:ascii="IBM Plex Sans" w:hAnsi="IBM Plex Sans"/>
          <w:color w:val="161616"/>
        </w:rPr>
        <w:t>tecnologías conocidas por orquestar contenedores en clústeres</w:t>
      </w:r>
      <w:r w:rsidR="00D83CB6">
        <w:rPr>
          <w:rFonts w:ascii="IBM Plex Sans" w:hAnsi="IBM Plex Sans"/>
          <w:color w:val="161616"/>
        </w:rPr>
        <w:t xml:space="preserve"> </w:t>
      </w:r>
      <w:r w:rsidR="00A76CE4">
        <w:rPr>
          <w:rFonts w:ascii="IBM Plex Sans" w:hAnsi="IBM Plex Sans"/>
          <w:color w:val="161616"/>
        </w:rPr>
        <w:t>(</w:t>
      </w:r>
      <w:r w:rsidR="00D83CB6">
        <w:rPr>
          <w:rFonts w:ascii="IBM Plex Sans" w:hAnsi="IBM Plex Sans"/>
          <w:color w:val="161616"/>
        </w:rPr>
        <w:t>n</w:t>
      </w:r>
      <w:r w:rsidR="00A76CE4">
        <w:rPr>
          <w:rFonts w:ascii="IBM Plex Sans" w:hAnsi="IBM Plex Sans"/>
          <w:color w:val="161616"/>
        </w:rPr>
        <w:t xml:space="preserve">o es exclusivo de </w:t>
      </w:r>
      <w:r w:rsidR="00D83CB6">
        <w:rPr>
          <w:rFonts w:ascii="IBM Plex Sans" w:hAnsi="IBM Plex Sans"/>
          <w:color w:val="161616"/>
        </w:rPr>
        <w:t>linux</w:t>
      </w:r>
      <w:r w:rsidR="00A76CE4">
        <w:rPr>
          <w:rFonts w:ascii="IBM Plex Sans" w:hAnsi="IBM Plex Sans"/>
          <w:color w:val="161616"/>
        </w:rPr>
        <w:t>)</w:t>
      </w:r>
      <w:r w:rsidR="00D83CB6">
        <w:rPr>
          <w:rFonts w:ascii="IBM Plex Sans" w:hAnsi="IBM Plex Sans"/>
          <w:color w:val="161616"/>
        </w:rPr>
        <w:t xml:space="preserve">. Esta permite la administración </w:t>
      </w:r>
      <w:r w:rsidR="00FF6BD1">
        <w:rPr>
          <w:rFonts w:ascii="IBM Plex Sans" w:hAnsi="IBM Plex Sans"/>
          <w:color w:val="161616"/>
        </w:rPr>
        <w:t xml:space="preserve">y escalabilidad de las aplicaciones en los diversos nodos. </w:t>
      </w:r>
    </w:p>
    <w:p w14:paraId="6A7C797C" w14:textId="441E4555" w:rsidR="005F21E2" w:rsidRPr="006770BF" w:rsidRDefault="005F21E2" w:rsidP="005F21E2">
      <w:pPr>
        <w:pStyle w:val="shortdesc"/>
        <w:shd w:val="clear" w:color="auto" w:fill="FFFFFF"/>
        <w:textAlignment w:val="baseline"/>
        <w:rPr>
          <w:rFonts w:ascii="IBM Plex Sans" w:hAnsi="IBM Plex Sans"/>
          <w:color w:val="161616"/>
        </w:rPr>
      </w:pPr>
      <w:r>
        <w:rPr>
          <w:rFonts w:ascii="IBM Plex Sans" w:hAnsi="IBM Plex Sans"/>
          <w:color w:val="161616"/>
        </w:rPr>
        <w:t xml:space="preserve">Los protocolos utilizados son: </w:t>
      </w:r>
    </w:p>
    <w:p w14:paraId="726051F5" w14:textId="6CFE477C" w:rsidR="00C77786" w:rsidRDefault="009F131F" w:rsidP="00C77786">
      <w:pPr>
        <w:pStyle w:val="shortdesc"/>
        <w:numPr>
          <w:ilvl w:val="0"/>
          <w:numId w:val="4"/>
        </w:numPr>
        <w:shd w:val="clear" w:color="auto" w:fill="FFFFFF"/>
        <w:textAlignment w:val="baseline"/>
        <w:rPr>
          <w:rFonts w:ascii="IBM Plex Sans" w:hAnsi="IBM Plex Sans"/>
          <w:color w:val="161616"/>
        </w:rPr>
      </w:pPr>
      <w:r>
        <w:rPr>
          <w:rFonts w:ascii="IBM Plex Sans" w:hAnsi="IBM Plex Sans"/>
          <w:color w:val="161616"/>
        </w:rPr>
        <w:t>Utilice cualquier medio en el entorno de clústeres siempre y cuando soporte el Protocolo de Internet (IP). Los servicios de recursos de clúster utilizan protocolos TCP/IP y UDP/IP en la comunicación entre nodos</w:t>
      </w:r>
      <w:r w:rsidR="00162FEE">
        <w:rPr>
          <w:rFonts w:ascii="IBM Plex Sans" w:hAnsi="IBM Plex Sans"/>
          <w:color w:val="161616"/>
        </w:rPr>
        <w:t>.</w:t>
      </w:r>
    </w:p>
    <w:p w14:paraId="6C3A0EF2" w14:textId="4F3F9298" w:rsidR="00162FEE" w:rsidRDefault="00162FEE" w:rsidP="00C77786">
      <w:pPr>
        <w:pStyle w:val="shortdesc"/>
        <w:numPr>
          <w:ilvl w:val="0"/>
          <w:numId w:val="4"/>
        </w:numPr>
        <w:shd w:val="clear" w:color="auto" w:fill="FFFFFF"/>
        <w:textAlignment w:val="baseline"/>
        <w:rPr>
          <w:rFonts w:ascii="IBM Plex Sans" w:hAnsi="IBM Plex Sans"/>
          <w:color w:val="161616"/>
        </w:rPr>
      </w:pPr>
      <w:r>
        <w:rPr>
          <w:rFonts w:ascii="IBM Plex Sans" w:hAnsi="IBM Plex Sans"/>
          <w:color w:val="161616"/>
        </w:rPr>
        <w:t xml:space="preserve">NFS: </w:t>
      </w:r>
      <w:r w:rsidR="00E67FA6">
        <w:rPr>
          <w:rFonts w:ascii="IBM Plex Sans" w:hAnsi="IBM Plex Sans"/>
          <w:color w:val="161616"/>
        </w:rPr>
        <w:t xml:space="preserve">Usado para compartir </w:t>
      </w:r>
      <w:r w:rsidR="00934CA0">
        <w:rPr>
          <w:rFonts w:ascii="IBM Plex Sans" w:hAnsi="IBM Plex Sans"/>
          <w:color w:val="161616"/>
        </w:rPr>
        <w:t>datos y recursos entre nodos</w:t>
      </w:r>
    </w:p>
    <w:p w14:paraId="5A1827E6" w14:textId="097E4EB3" w:rsidR="00934CA0" w:rsidRDefault="00934CA0" w:rsidP="00C77786">
      <w:pPr>
        <w:pStyle w:val="shortdesc"/>
        <w:numPr>
          <w:ilvl w:val="0"/>
          <w:numId w:val="4"/>
        </w:numPr>
        <w:shd w:val="clear" w:color="auto" w:fill="FFFFFF"/>
        <w:textAlignment w:val="baseline"/>
        <w:rPr>
          <w:rFonts w:ascii="IBM Plex Sans" w:hAnsi="IBM Plex Sans"/>
          <w:color w:val="161616"/>
        </w:rPr>
      </w:pPr>
      <w:r>
        <w:rPr>
          <w:rFonts w:ascii="IBM Plex Sans" w:hAnsi="IBM Plex Sans"/>
          <w:color w:val="161616"/>
        </w:rPr>
        <w:t xml:space="preserve">PVFS2: </w:t>
      </w:r>
      <w:r w:rsidR="003356EE">
        <w:rPr>
          <w:rFonts w:ascii="IBM Plex Sans" w:hAnsi="IBM Plex Sans"/>
          <w:color w:val="161616"/>
        </w:rPr>
        <w:t xml:space="preserve">Sistema de archivos paralelo diseñado para clústeres, </w:t>
      </w:r>
      <w:r w:rsidR="009345E0">
        <w:rPr>
          <w:rFonts w:ascii="IBM Plex Sans" w:hAnsi="IBM Plex Sans"/>
          <w:color w:val="161616"/>
        </w:rPr>
        <w:t>procesamiento masivo de datos.</w:t>
      </w:r>
    </w:p>
    <w:p w14:paraId="546CE24C" w14:textId="0C4EBFDD" w:rsidR="00013B43" w:rsidRDefault="00013B43" w:rsidP="00013B43">
      <w:pPr>
        <w:pStyle w:val="shortdesc"/>
        <w:shd w:val="clear" w:color="auto" w:fill="FFFFFF"/>
        <w:textAlignment w:val="baseline"/>
        <w:rPr>
          <w:rFonts w:ascii="IBM Plex Sans" w:hAnsi="IBM Plex Sans"/>
          <w:color w:val="161616"/>
        </w:rPr>
      </w:pPr>
      <w:r>
        <w:rPr>
          <w:rFonts w:ascii="IBM Plex Sans" w:hAnsi="IBM Plex Sans"/>
          <w:color w:val="161616"/>
        </w:rPr>
        <w:t xml:space="preserve">Clúster en Linux: </w:t>
      </w:r>
    </w:p>
    <w:p w14:paraId="17EAEBA5" w14:textId="31AB5EA5" w:rsidR="00013B43" w:rsidRDefault="00170B43" w:rsidP="00013B43">
      <w:pPr>
        <w:pStyle w:val="shortdesc"/>
        <w:shd w:val="clear" w:color="auto" w:fill="FFFFFF"/>
        <w:textAlignment w:val="baseline"/>
        <w:rPr>
          <w:rFonts w:ascii="IBM Plex Sans" w:hAnsi="IBM Plex Sans"/>
          <w:color w:val="161616"/>
        </w:rPr>
      </w:pPr>
      <w:r w:rsidRPr="00170B43">
        <w:rPr>
          <w:rFonts w:ascii="IBM Plex Sans" w:hAnsi="IBM Plex Sans"/>
          <w:color w:val="161616"/>
        </w:rPr>
        <w:lastRenderedPageBreak/>
        <w:drawing>
          <wp:inline distT="0" distB="0" distL="0" distR="0" wp14:anchorId="165AB117" wp14:editId="3D43DC2D">
            <wp:extent cx="5612130" cy="3823335"/>
            <wp:effectExtent l="0" t="0" r="7620" b="5715"/>
            <wp:docPr id="191564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4658" name=""/>
                    <pic:cNvPicPr/>
                  </pic:nvPicPr>
                  <pic:blipFill>
                    <a:blip r:embed="rId5"/>
                    <a:stretch>
                      <a:fillRect/>
                    </a:stretch>
                  </pic:blipFill>
                  <pic:spPr>
                    <a:xfrm>
                      <a:off x="0" y="0"/>
                      <a:ext cx="5612130" cy="3823335"/>
                    </a:xfrm>
                    <a:prstGeom prst="rect">
                      <a:avLst/>
                    </a:prstGeom>
                  </pic:spPr>
                </pic:pic>
              </a:graphicData>
            </a:graphic>
          </wp:inline>
        </w:drawing>
      </w:r>
    </w:p>
    <w:p w14:paraId="5BDCB1BB" w14:textId="2BEB8419" w:rsidR="00DD0EC2" w:rsidRDefault="00DD0EC2" w:rsidP="00013B43">
      <w:pPr>
        <w:pStyle w:val="shortdesc"/>
        <w:shd w:val="clear" w:color="auto" w:fill="FFFFFF"/>
        <w:textAlignment w:val="baseline"/>
        <w:rPr>
          <w:rFonts w:ascii="IBM Plex Sans" w:hAnsi="IBM Plex Sans"/>
          <w:color w:val="161616"/>
        </w:rPr>
      </w:pPr>
      <w:r w:rsidRPr="00DD0EC2">
        <w:rPr>
          <w:rFonts w:ascii="IBM Plex Sans" w:hAnsi="IBM Plex Sans"/>
          <w:color w:val="161616"/>
        </w:rPr>
        <w:t>Configuración de STONITH. Es importante tener en cuenta que el uso de STONITH es muy recomendable, apagarlo le dice al clúster que simplemente pretenda que los nodos fallidos están apagados de forma segura.</w:t>
      </w:r>
    </w:p>
    <w:p w14:paraId="57AC69FE" w14:textId="116B68DA" w:rsidR="007B33B1" w:rsidRDefault="007B33B1" w:rsidP="007B33B1">
      <w:pPr>
        <w:pStyle w:val="shortdesc"/>
        <w:shd w:val="clear" w:color="auto" w:fill="FFFFFF"/>
        <w:jc w:val="center"/>
        <w:textAlignment w:val="baseline"/>
        <w:rPr>
          <w:rFonts w:ascii="IBM Plex Sans" w:hAnsi="IBM Plex Sans"/>
          <w:color w:val="161616"/>
        </w:rPr>
      </w:pPr>
      <w:r w:rsidRPr="007B33B1">
        <w:rPr>
          <w:rFonts w:ascii="IBM Plex Sans" w:hAnsi="IBM Plex Sans"/>
          <w:color w:val="161616"/>
        </w:rPr>
        <w:lastRenderedPageBreak/>
        <w:drawing>
          <wp:inline distT="0" distB="0" distL="0" distR="0" wp14:anchorId="60A21B81" wp14:editId="605B00E7">
            <wp:extent cx="5034317" cy="3966845"/>
            <wp:effectExtent l="0" t="0" r="0" b="0"/>
            <wp:docPr id="715305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5493" name=""/>
                    <pic:cNvPicPr/>
                  </pic:nvPicPr>
                  <pic:blipFill>
                    <a:blip r:embed="rId6"/>
                    <a:stretch>
                      <a:fillRect/>
                    </a:stretch>
                  </pic:blipFill>
                  <pic:spPr>
                    <a:xfrm>
                      <a:off x="0" y="0"/>
                      <a:ext cx="5038165" cy="3969877"/>
                    </a:xfrm>
                    <a:prstGeom prst="rect">
                      <a:avLst/>
                    </a:prstGeom>
                  </pic:spPr>
                </pic:pic>
              </a:graphicData>
            </a:graphic>
          </wp:inline>
        </w:drawing>
      </w:r>
    </w:p>
    <w:p w14:paraId="2468E967" w14:textId="66D1C6F4" w:rsidR="0027472F" w:rsidRDefault="0027472F" w:rsidP="007B33B1">
      <w:pPr>
        <w:pStyle w:val="shortdesc"/>
        <w:shd w:val="clear" w:color="auto" w:fill="FFFFFF"/>
        <w:jc w:val="center"/>
        <w:textAlignment w:val="baseline"/>
        <w:rPr>
          <w:rFonts w:ascii="IBM Plex Sans" w:hAnsi="IBM Plex Sans"/>
          <w:color w:val="161616"/>
        </w:rPr>
      </w:pPr>
      <w:r w:rsidRPr="0027472F">
        <w:rPr>
          <w:rFonts w:ascii="IBM Plex Sans" w:hAnsi="IBM Plex Sans"/>
          <w:color w:val="161616"/>
        </w:rPr>
        <w:drawing>
          <wp:inline distT="0" distB="0" distL="0" distR="0" wp14:anchorId="18CA728F" wp14:editId="7978472A">
            <wp:extent cx="5177845" cy="3907696"/>
            <wp:effectExtent l="0" t="0" r="3810" b="0"/>
            <wp:docPr id="735916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6685" name=""/>
                    <pic:cNvPicPr/>
                  </pic:nvPicPr>
                  <pic:blipFill>
                    <a:blip r:embed="rId7"/>
                    <a:stretch>
                      <a:fillRect/>
                    </a:stretch>
                  </pic:blipFill>
                  <pic:spPr>
                    <a:xfrm>
                      <a:off x="0" y="0"/>
                      <a:ext cx="5182347" cy="3911093"/>
                    </a:xfrm>
                    <a:prstGeom prst="rect">
                      <a:avLst/>
                    </a:prstGeom>
                  </pic:spPr>
                </pic:pic>
              </a:graphicData>
            </a:graphic>
          </wp:inline>
        </w:drawing>
      </w:r>
    </w:p>
    <w:p w14:paraId="510A5844" w14:textId="692A8720" w:rsidR="00013B43" w:rsidRDefault="009C5F5E" w:rsidP="004A6AE6">
      <w:pPr>
        <w:pStyle w:val="shortdesc"/>
        <w:shd w:val="clear" w:color="auto" w:fill="FFFFFF"/>
        <w:jc w:val="center"/>
        <w:textAlignment w:val="baseline"/>
        <w:rPr>
          <w:rFonts w:ascii="IBM Plex Sans" w:hAnsi="IBM Plex Sans"/>
          <w:color w:val="161616"/>
        </w:rPr>
      </w:pPr>
      <w:r w:rsidRPr="009C5F5E">
        <w:rPr>
          <w:rFonts w:ascii="IBM Plex Sans" w:hAnsi="IBM Plex Sans"/>
          <w:color w:val="161616"/>
        </w:rPr>
        <w:lastRenderedPageBreak/>
        <w:drawing>
          <wp:inline distT="0" distB="0" distL="0" distR="0" wp14:anchorId="75530F61" wp14:editId="0E81F2A1">
            <wp:extent cx="5044877" cy="2286198"/>
            <wp:effectExtent l="0" t="0" r="3810" b="0"/>
            <wp:docPr id="1389891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91413" name=""/>
                    <pic:cNvPicPr/>
                  </pic:nvPicPr>
                  <pic:blipFill>
                    <a:blip r:embed="rId8"/>
                    <a:stretch>
                      <a:fillRect/>
                    </a:stretch>
                  </pic:blipFill>
                  <pic:spPr>
                    <a:xfrm>
                      <a:off x="0" y="0"/>
                      <a:ext cx="5044877" cy="2286198"/>
                    </a:xfrm>
                    <a:prstGeom prst="rect">
                      <a:avLst/>
                    </a:prstGeom>
                  </pic:spPr>
                </pic:pic>
              </a:graphicData>
            </a:graphic>
          </wp:inline>
        </w:drawing>
      </w:r>
    </w:p>
    <w:p w14:paraId="503184E0" w14:textId="4DF157E8" w:rsidR="00C77786" w:rsidRDefault="00C77786" w:rsidP="00C77786">
      <w:pPr>
        <w:pStyle w:val="shortdesc"/>
        <w:shd w:val="clear" w:color="auto" w:fill="FFFFFF"/>
        <w:textAlignment w:val="baseline"/>
        <w:rPr>
          <w:rFonts w:ascii="IBM Plex Sans" w:hAnsi="IBM Plex Sans"/>
          <w:color w:val="161616"/>
        </w:rPr>
      </w:pPr>
      <w:r>
        <w:rPr>
          <w:rFonts w:ascii="IBM Plex Sans" w:hAnsi="IBM Plex Sans"/>
          <w:color w:val="161616"/>
        </w:rPr>
        <w:t>Bibliografía</w:t>
      </w:r>
    </w:p>
    <w:p w14:paraId="5772D5F2" w14:textId="558E820D" w:rsidR="00C77786" w:rsidRDefault="00371BA9" w:rsidP="00C77786">
      <w:pPr>
        <w:pStyle w:val="shortdesc"/>
        <w:shd w:val="clear" w:color="auto" w:fill="FFFFFF"/>
        <w:textAlignment w:val="baseline"/>
      </w:pPr>
      <w:r>
        <w:rPr>
          <w:rFonts w:ascii="Open Sans" w:hAnsi="Open Sans" w:cs="Open Sans"/>
          <w:color w:val="333333"/>
          <w:shd w:val="clear" w:color="auto" w:fill="E0F6FF"/>
        </w:rPr>
        <w:t>Zuluaga</w:t>
      </w:r>
      <w:r w:rsidR="00C77786">
        <w:rPr>
          <w:rFonts w:ascii="Open Sans" w:hAnsi="Open Sans" w:cs="Open Sans"/>
          <w:color w:val="333333"/>
          <w:shd w:val="clear" w:color="auto" w:fill="E0F6FF"/>
        </w:rPr>
        <w:t xml:space="preserve">, </w:t>
      </w:r>
      <w:r>
        <w:rPr>
          <w:rFonts w:ascii="Open Sans" w:hAnsi="Open Sans" w:cs="Open Sans"/>
          <w:color w:val="333333"/>
          <w:shd w:val="clear" w:color="auto" w:fill="E0F6FF"/>
        </w:rPr>
        <w:t>J</w:t>
      </w:r>
      <w:r w:rsidR="00C77786">
        <w:rPr>
          <w:rFonts w:ascii="Open Sans" w:hAnsi="Open Sans" w:cs="Open Sans"/>
          <w:color w:val="333333"/>
          <w:shd w:val="clear" w:color="auto" w:fill="E0F6FF"/>
        </w:rPr>
        <w:t>. (20</w:t>
      </w:r>
      <w:r>
        <w:rPr>
          <w:rFonts w:ascii="Open Sans" w:hAnsi="Open Sans" w:cs="Open Sans"/>
          <w:color w:val="333333"/>
          <w:shd w:val="clear" w:color="auto" w:fill="E0F6FF"/>
        </w:rPr>
        <w:t>08</w:t>
      </w:r>
      <w:r w:rsidR="00C77786">
        <w:rPr>
          <w:rFonts w:ascii="Open Sans" w:hAnsi="Open Sans" w:cs="Open Sans"/>
          <w:color w:val="333333"/>
          <w:shd w:val="clear" w:color="auto" w:fill="E0F6FF"/>
        </w:rPr>
        <w:t>). </w:t>
      </w:r>
      <w:r w:rsidR="006C4DAC">
        <w:rPr>
          <w:rStyle w:val="nfasis"/>
          <w:rFonts w:ascii="Open Sans" w:hAnsi="Open Sans" w:cs="Open Sans"/>
          <w:color w:val="333333"/>
        </w:rPr>
        <w:t>Montaje Básico de Linux Clústers</w:t>
      </w:r>
      <w:r w:rsidR="004C0056">
        <w:rPr>
          <w:rFonts w:ascii="Open Sans" w:hAnsi="Open Sans" w:cs="Open Sans"/>
          <w:color w:val="333333"/>
          <w:shd w:val="clear" w:color="auto" w:fill="E0F6FF"/>
        </w:rPr>
        <w:t xml:space="preserve"> </w:t>
      </w:r>
      <w:hyperlink r:id="rId9" w:history="1">
        <w:r w:rsidR="004C0056">
          <w:rPr>
            <w:rStyle w:val="Hipervnculo"/>
          </w:rPr>
          <w:t>cluster-practical-guide-rel1.pdf (rocksclusters.org)</w:t>
        </w:r>
      </w:hyperlink>
    </w:p>
    <w:p w14:paraId="0C5851F8" w14:textId="77777777" w:rsidR="00371BA9" w:rsidRPr="00C77786" w:rsidRDefault="00371BA9" w:rsidP="00C77786">
      <w:pPr>
        <w:pStyle w:val="shortdesc"/>
        <w:shd w:val="clear" w:color="auto" w:fill="FFFFFF"/>
        <w:textAlignment w:val="baseline"/>
        <w:rPr>
          <w:rFonts w:ascii="IBM Plex Sans" w:hAnsi="IBM Plex Sans"/>
          <w:color w:val="161616"/>
        </w:rPr>
      </w:pPr>
    </w:p>
    <w:p w14:paraId="5DD76912" w14:textId="77777777" w:rsidR="00483CF6" w:rsidRDefault="00483CF6"/>
    <w:sectPr w:rsidR="00483C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D2C"/>
    <w:multiLevelType w:val="hybridMultilevel"/>
    <w:tmpl w:val="C8C49ED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FFD5A9C"/>
    <w:multiLevelType w:val="hybridMultilevel"/>
    <w:tmpl w:val="A8BA5E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0C964A5"/>
    <w:multiLevelType w:val="hybridMultilevel"/>
    <w:tmpl w:val="4FAAB38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214475B"/>
    <w:multiLevelType w:val="multilevel"/>
    <w:tmpl w:val="7AD4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555188">
    <w:abstractNumId w:val="3"/>
  </w:num>
  <w:num w:numId="2" w16cid:durableId="1280379901">
    <w:abstractNumId w:val="1"/>
  </w:num>
  <w:num w:numId="3" w16cid:durableId="162016843">
    <w:abstractNumId w:val="2"/>
  </w:num>
  <w:num w:numId="4" w16cid:durableId="142954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1F"/>
    <w:rsid w:val="00013B43"/>
    <w:rsid w:val="00061E93"/>
    <w:rsid w:val="00117A4D"/>
    <w:rsid w:val="00162FEE"/>
    <w:rsid w:val="00170B43"/>
    <w:rsid w:val="002346E4"/>
    <w:rsid w:val="0027472F"/>
    <w:rsid w:val="003356EE"/>
    <w:rsid w:val="00371BA9"/>
    <w:rsid w:val="004229C0"/>
    <w:rsid w:val="00432659"/>
    <w:rsid w:val="00483CF6"/>
    <w:rsid w:val="004A6AE6"/>
    <w:rsid w:val="004C0056"/>
    <w:rsid w:val="0050392E"/>
    <w:rsid w:val="00553D24"/>
    <w:rsid w:val="005F21E2"/>
    <w:rsid w:val="0064627F"/>
    <w:rsid w:val="006471B4"/>
    <w:rsid w:val="006770BF"/>
    <w:rsid w:val="006C4DAC"/>
    <w:rsid w:val="006D5A08"/>
    <w:rsid w:val="007B1182"/>
    <w:rsid w:val="007B33B1"/>
    <w:rsid w:val="00823566"/>
    <w:rsid w:val="008F4597"/>
    <w:rsid w:val="009345E0"/>
    <w:rsid w:val="00934CA0"/>
    <w:rsid w:val="00970112"/>
    <w:rsid w:val="009C5F5E"/>
    <w:rsid w:val="009F131F"/>
    <w:rsid w:val="00A76CE4"/>
    <w:rsid w:val="00B8594E"/>
    <w:rsid w:val="00B8598D"/>
    <w:rsid w:val="00C77786"/>
    <w:rsid w:val="00D05959"/>
    <w:rsid w:val="00D83CB6"/>
    <w:rsid w:val="00DD0EC2"/>
    <w:rsid w:val="00E67FA6"/>
    <w:rsid w:val="00E90D18"/>
    <w:rsid w:val="00EC53EB"/>
    <w:rsid w:val="00EC575D"/>
    <w:rsid w:val="00ED62C3"/>
    <w:rsid w:val="00F912EA"/>
    <w:rsid w:val="00FF6B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EA44"/>
  <w15:chartTrackingRefBased/>
  <w15:docId w15:val="{93F2785B-ACFD-46D4-BBD3-8F3443E1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hortdesc">
    <w:name w:val="shortdesc"/>
    <w:basedOn w:val="Normal"/>
    <w:rsid w:val="009F131F"/>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customStyle="1" w:styleId="p">
    <w:name w:val="p"/>
    <w:basedOn w:val="Normal"/>
    <w:rsid w:val="009F131F"/>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Prrafodelista">
    <w:name w:val="List Paragraph"/>
    <w:basedOn w:val="Normal"/>
    <w:uiPriority w:val="34"/>
    <w:qFormat/>
    <w:rsid w:val="009F131F"/>
    <w:pPr>
      <w:ind w:left="720"/>
      <w:contextualSpacing/>
    </w:pPr>
  </w:style>
  <w:style w:type="character" w:styleId="nfasis">
    <w:name w:val="Emphasis"/>
    <w:basedOn w:val="Fuentedeprrafopredeter"/>
    <w:uiPriority w:val="20"/>
    <w:qFormat/>
    <w:rsid w:val="00C77786"/>
    <w:rPr>
      <w:i/>
      <w:iCs/>
    </w:rPr>
  </w:style>
  <w:style w:type="character" w:styleId="Hipervnculo">
    <w:name w:val="Hyperlink"/>
    <w:basedOn w:val="Fuentedeprrafopredeter"/>
    <w:uiPriority w:val="99"/>
    <w:semiHidden/>
    <w:unhideWhenUsed/>
    <w:rsid w:val="004C0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14910">
      <w:bodyDiv w:val="1"/>
      <w:marLeft w:val="0"/>
      <w:marRight w:val="0"/>
      <w:marTop w:val="0"/>
      <w:marBottom w:val="0"/>
      <w:divBdr>
        <w:top w:val="none" w:sz="0" w:space="0" w:color="auto"/>
        <w:left w:val="none" w:sz="0" w:space="0" w:color="auto"/>
        <w:bottom w:val="none" w:sz="0" w:space="0" w:color="auto"/>
        <w:right w:val="none" w:sz="0" w:space="0" w:color="auto"/>
      </w:divBdr>
    </w:div>
    <w:div w:id="20550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cksclusters.org/assets/usersguides/spanish/cluster-practical-guide-rel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Arrieta</dc:creator>
  <cp:keywords/>
  <dc:description/>
  <cp:lastModifiedBy>Fiorella Arrieta</cp:lastModifiedBy>
  <cp:revision>43</cp:revision>
  <dcterms:created xsi:type="dcterms:W3CDTF">2024-01-30T15:50:00Z</dcterms:created>
  <dcterms:modified xsi:type="dcterms:W3CDTF">2024-02-09T21:10:00Z</dcterms:modified>
</cp:coreProperties>
</file>