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theme+xml" PartName="/word/theme/theme1.xml"/>
  <Override ContentType="application/vnd.openxmlformats-officedocument.wordprocessingml.settings+xml" PartName="/word/settings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BRIEFING</w:t>
      </w:r>
    </w:p>
    <w:p w:rsidR="00000000" w:rsidDel="00000000" w:rsidP="00000000" w:rsidRDefault="00000000" w:rsidRPr="00000000" w14:paraId="00000001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Quais são os principais objetivos do site?</w:t>
      </w:r>
    </w:p>
    <w:p w:rsidR="00000000" w:rsidDel="00000000" w:rsidP="00000000" w:rsidRDefault="00000000" w:rsidRPr="00000000" w14:paraId="00000004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R: O principal objetivo do site é de conscientizar a população da Baixada Santista sobre a necessidade do descarte correto do Óleo, do Lixo eletrônico e a importância da reutilização da Água de cisterna, visando dessa forma, minimizar possíveis impactos ambientais. Como objetivos secundários, pode ser citado também a importância das pessoas compreenderem como é essencial elas repassarem o conhecimento adquirido para a maior quantidade de indivíduos possíveis.</w:t>
      </w:r>
    </w:p>
    <w:p w:rsidR="00000000" w:rsidDel="00000000" w:rsidP="00000000" w:rsidRDefault="00000000" w:rsidRPr="00000000" w14:paraId="00000005">
      <w:pPr>
        <w:spacing w:after="0" w:line="360" w:lineRule="auto"/>
        <w:ind w:firstLine="36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tipo de site é?</w:t>
      </w:r>
    </w:p>
    <w:p w:rsidR="00000000" w:rsidDel="00000000" w:rsidP="00000000" w:rsidRDefault="00000000" w:rsidRPr="00000000" w14:paraId="00000007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R: É um site do tipo coletor de informações, onde será necessária a busca de informações através de sites e até mesmo em empresas de reciclagem postadas na própria região de interesse.</w:t>
      </w:r>
    </w:p>
    <w:p w:rsidR="00000000" w:rsidDel="00000000" w:rsidP="00000000" w:rsidRDefault="00000000" w:rsidRPr="00000000" w14:paraId="00000008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 a mensagem mais importante que o site deve passar a seus visitantes?</w:t>
      </w:r>
    </w:p>
    <w:p w:rsidR="00000000" w:rsidDel="00000000" w:rsidP="00000000" w:rsidRDefault="00000000" w:rsidRPr="00000000" w14:paraId="0000000A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R: A importância da Reciclagem e Reutilização.</w:t>
      </w:r>
    </w:p>
    <w:p w:rsidR="00000000" w:rsidDel="00000000" w:rsidP="00000000" w:rsidRDefault="00000000" w:rsidRPr="00000000" w14:paraId="0000000B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Há uma data aproximada para que o site esteja pronto?</w:t>
      </w:r>
    </w:p>
    <w:p w:rsidR="00000000" w:rsidDel="00000000" w:rsidP="00000000" w:rsidRDefault="00000000" w:rsidRPr="00000000" w14:paraId="0000000D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R: 30/06/2018.</w:t>
      </w:r>
    </w:p>
    <w:p w:rsidR="00000000" w:rsidDel="00000000" w:rsidP="00000000" w:rsidRDefault="00000000" w:rsidRPr="00000000" w14:paraId="0000000E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 o público alvo?</w:t>
      </w:r>
    </w:p>
    <w:p w:rsidR="00000000" w:rsidDel="00000000" w:rsidP="00000000" w:rsidRDefault="00000000" w:rsidRPr="00000000" w14:paraId="00000010">
      <w:pPr>
        <w:ind w:left="360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R: Toda a população da baixada santista. </w:t>
      </w:r>
    </w:p>
    <w:p w:rsidR="00000000" w:rsidDel="00000000" w:rsidP="00000000" w:rsidRDefault="00000000" w:rsidRPr="00000000" w14:paraId="00000011">
      <w:pPr>
        <w:ind w:left="360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 a classe social?</w:t>
      </w:r>
    </w:p>
    <w:p w:rsidR="00000000" w:rsidDel="00000000" w:rsidP="00000000" w:rsidRDefault="00000000" w:rsidRPr="00000000" w14:paraId="00000013">
      <w:pPr>
        <w:ind w:left="360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R: Classe média alta.</w:t>
      </w:r>
    </w:p>
    <w:p w:rsidR="00000000" w:rsidDel="00000000" w:rsidP="00000000" w:rsidRDefault="00000000" w:rsidRPr="00000000" w14:paraId="00000014">
      <w:pPr>
        <w:ind w:left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que os visitantes devem fazer no site?</w:t>
      </w:r>
    </w:p>
    <w:p w:rsidR="00000000" w:rsidDel="00000000" w:rsidP="00000000" w:rsidRDefault="00000000" w:rsidRPr="00000000" w14:paraId="00000016">
      <w:pPr>
        <w:ind w:left="36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Os visitantes devem navegar livremente, tendo a possibilidade de absorver todo o conteúdo que será fornecido pelo site, como no caso, obter todas as informações sobre Reciclagem do óleo, lixo eletrônico e água de reuso.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 o conhecimento que os visitantes do site tem de internet/web?</w:t>
      </w:r>
    </w:p>
    <w:p w:rsidR="00000000" w:rsidDel="00000000" w:rsidP="00000000" w:rsidRDefault="00000000" w:rsidRPr="00000000" w14:paraId="00000019">
      <w:pPr>
        <w:ind w:left="360"/>
        <w:contextualSpacing w:val="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R: Nos dias atuais, tanto crianças, jovens e adultos estão bem familiarizados com o acesso à internet. Entretanto, a população da terceira idade ainda carece um pouco de conhecimento sobre.</w:t>
      </w:r>
    </w:p>
    <w:p w:rsidR="00000000" w:rsidDel="00000000" w:rsidP="00000000" w:rsidRDefault="00000000" w:rsidRPr="00000000" w14:paraId="0000001A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 em mente alguma aparência para o web site?</w:t>
      </w:r>
    </w:p>
    <w:p w:rsidR="00000000" w:rsidDel="00000000" w:rsidP="00000000" w:rsidRDefault="00000000" w:rsidRPr="00000000" w14:paraId="0000001C">
      <w:pPr>
        <w:ind w:left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Foto de fundo da cidade... (Acho que vc responderia melhor Rafael)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Existem padrões existentes, como logotipos e cores, que devem estar presentes?</w:t>
      </w:r>
    </w:p>
    <w:p w:rsidR="00000000" w:rsidDel="00000000" w:rsidP="00000000" w:rsidRDefault="00000000" w:rsidRPr="00000000" w14:paraId="0000001F">
      <w:pPr>
        <w:ind w:left="360"/>
        <w:contextualSpacing w:val="0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R: </w:t>
      </w: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Aquela foto (logo) que vc (Rafael) editou.</w:t>
      </w:r>
    </w:p>
    <w:p w:rsidR="00000000" w:rsidDel="00000000" w:rsidP="00000000" w:rsidRDefault="00000000" w:rsidRPr="00000000" w14:paraId="00000020">
      <w:pPr>
        <w:ind w:left="360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ETAPA 02 –</w:t>
      </w:r>
      <w:r w:rsidDel="00000000" w:rsidR="00000000" w:rsidRPr="00000000">
        <w:rPr>
          <w:rtl w:val="0"/>
        </w:rPr>
        <w:t xml:space="preserve"> DEFINIÇÕES 1) Escolher uma paleta de cores, através do estudo de harmonia cromática. Lembre-se que as cores devem significar algo e estar condizente com o objetivo do site. 2) Escolher os tipos(tipografia) que serão aplicados nesse site/layout. Explicar suas escolhas. 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ETAPA 03 – ESTRUTURA 1)</w:t>
      </w:r>
      <w:r w:rsidDel="00000000" w:rsidR="00000000" w:rsidRPr="00000000">
        <w:rPr>
          <w:rtl w:val="0"/>
        </w:rPr>
        <w:t xml:space="preserve"> Definir o grid a ser utilizado (aplicação da regra dos terços). 2) </w:t>
      </w:r>
      <w:r w:rsidDel="00000000" w:rsidR="00000000" w:rsidRPr="00000000">
        <w:rPr>
          <w:b w:val="1"/>
          <w:rtl w:val="0"/>
        </w:rPr>
        <w:t xml:space="preserve">Definir as informações que devem estar contidas em cada página do site.</w:t>
      </w:r>
      <w:r w:rsidDel="00000000" w:rsidR="00000000" w:rsidRPr="00000000">
        <w:rPr>
          <w:rtl w:val="0"/>
        </w:rPr>
        <w:t xml:space="preserve"> Informações principais constam na home. 3) Definir as navegações (locais e globais), header, footer, logo, banner, etc. 4) Apresentar o wireframe.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LIXO ELETRÔNICO</w:t>
      </w:r>
    </w:p>
    <w:p w:rsidR="00000000" w:rsidDel="00000000" w:rsidP="00000000" w:rsidRDefault="00000000" w:rsidRPr="00000000" w14:paraId="00000037">
      <w:pP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a grande ascensão da tecnologia, o uso de equipamentos eletrônicos passou a ser mais frequente do que nos últimos tempos, sendo assim o desgaste destes aparelhos fica mais frequente no decorrer do tempo, forçando as pessoas a jogarem eles fora.</w:t>
      </w:r>
    </w:p>
    <w:p w:rsidR="00000000" w:rsidDel="00000000" w:rsidP="00000000" w:rsidRDefault="00000000" w:rsidRPr="00000000" w14:paraId="00000039">
      <w:pPr>
        <w:spacing w:after="0"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lixo eletrônico é todo resíduo material produzido pelo descarte de equipamentos eletrônicos. Com o avanço da tecnologia nos últimos anos, têm se tornado um grande problema ambiental quando não descartado em locais adequados.</w:t>
      </w:r>
    </w:p>
    <w:p w:rsidR="00000000" w:rsidDel="00000000" w:rsidP="00000000" w:rsidRDefault="00000000" w:rsidRPr="00000000" w14:paraId="0000003A">
      <w:pPr>
        <w:spacing w:after="0"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Nas figuras abaixo, é possível visualizar os principais exemplos de lixo eletrônico. Estes equipamentos podem provocar contaminação do solo e da água, e além disso, são compostos por grande quantidade de plástico, metais e vidro, materiais estes que sabidamente demoram muito tempo para se decompor.</w:t>
      </w:r>
    </w:p>
    <w:p w:rsidR="00000000" w:rsidDel="00000000" w:rsidP="00000000" w:rsidRDefault="00000000" w:rsidRPr="00000000" w14:paraId="0000003B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-118109</wp:posOffset>
            </wp:positionH>
            <wp:positionV relativeFrom="paragraph">
              <wp:posOffset>197485</wp:posOffset>
            </wp:positionV>
            <wp:extent cx="1866900" cy="1495425"/>
            <wp:effectExtent b="12700" l="12700" r="12700" t="12700"/>
            <wp:wrapNone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95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1948815</wp:posOffset>
            </wp:positionH>
            <wp:positionV relativeFrom="paragraph">
              <wp:posOffset>197485</wp:posOffset>
            </wp:positionV>
            <wp:extent cx="1865630" cy="1495425"/>
            <wp:effectExtent b="12700" l="12700" r="12700" t="12700"/>
            <wp:wrapNone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495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3996690</wp:posOffset>
            </wp:positionH>
            <wp:positionV relativeFrom="paragraph">
              <wp:posOffset>197485</wp:posOffset>
            </wp:positionV>
            <wp:extent cx="1885315" cy="1485900"/>
            <wp:effectExtent b="12700" l="12700" r="12700" t="12700"/>
            <wp:wrapNone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48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110490</wp:posOffset>
                </wp:positionH>
                <wp:positionV relativeFrom="paragraph">
                  <wp:posOffset>281305</wp:posOffset>
                </wp:positionV>
                <wp:extent cx="1396365" cy="63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6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A1166" w:rsidDel="00000000" w:rsidP="005A1166" w:rsidRDefault="005A1166" w:rsidRPr="001A56F5">
                            <w:pPr>
                              <w:pStyle w:val="Legenda"/>
                              <w:rPr>
                                <w:rFonts w:ascii="Arial" w:cs="Arial" w:hAnsi="Arial"/>
                                <w:i w:val="0"/>
                                <w:noProof w:val="1"/>
                                <w:color w:val="auto"/>
                                <w:sz w:val="20"/>
                                <w:szCs w:val="20"/>
                              </w:rPr>
                            </w:pPr>
                            <w:r w:rsidDel="00000000" w:rsidR="00000000" w:rsidRPr="001A56F5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Del="00000000" w:rsidR="00216199" w:rsidRPr="00000000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Del="00000000" w:rsidR="00000000" w:rsidRPr="001A56F5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: Computadores</w:t>
                            </w:r>
                          </w:p>
                        </w:txbxContent>
                      </wps:txbx>
                      <wps:bodyPr anchorCtr="0" anchor="t" bIns="0" rtlCol="0" compatLnSpc="1" forceAA="0" fromWordArt="0" horzOverflow="overflow" lIns="0" numCol="1" spcFirstLastPara="0" rIns="0" rot="0" spcCol="0" vert="horz" wrap="square" tIns="0" vertOverflow="overflow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110490</wp:posOffset>
                </wp:positionH>
                <wp:positionV relativeFrom="paragraph">
                  <wp:posOffset>281305</wp:posOffset>
                </wp:positionV>
                <wp:extent cx="1396365" cy="635"/>
                <wp:effectExtent b="0" l="0" r="0" t="0"/>
                <wp:wrapNone/>
                <wp:docPr id="2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6365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1786254</wp:posOffset>
                </wp:positionH>
                <wp:positionV relativeFrom="paragraph">
                  <wp:posOffset>273050</wp:posOffset>
                </wp:positionV>
                <wp:extent cx="1827530" cy="635"/>
                <wp:effectExtent b="0" l="0" r="127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7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56F5" w:rsidDel="00000000" w:rsidP="001A56F5" w:rsidRDefault="001A56F5" w:rsidRPr="001A56F5">
                            <w:pPr>
                              <w:pStyle w:val="Legenda"/>
                              <w:ind w:firstLine="708"/>
                              <w:rPr>
                                <w:rFonts w:ascii="Arial" w:cs="Arial" w:hAnsi="Arial"/>
                                <w:i w:val="0"/>
                                <w:noProof w:val="1"/>
                                <w:color w:val="auto"/>
                                <w:sz w:val="20"/>
                                <w:szCs w:val="20"/>
                              </w:rPr>
                            </w:pPr>
                            <w:r w:rsidDel="00000000" w:rsidR="00000000" w:rsidRPr="001A56F5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Figura 2: Telefones</w:t>
                            </w:r>
                          </w:p>
                        </w:txbxContent>
                      </wps:txbx>
                      <wps:bodyPr anchorCtr="0" anchor="t" bIns="0" rtlCol="0" compatLnSpc="1" forceAA="0" fromWordArt="0" horzOverflow="overflow" lIns="0" numCol="1" spcFirstLastPara="0" rIns="0" rot="0" spcCol="0" vert="horz" wrap="square" tIns="0" vertOverflow="overflow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1786254</wp:posOffset>
                </wp:positionH>
                <wp:positionV relativeFrom="paragraph">
                  <wp:posOffset>273050</wp:posOffset>
                </wp:positionV>
                <wp:extent cx="1828800" cy="635"/>
                <wp:effectExtent b="0" l="0" r="0" t="0"/>
                <wp:wrapNone/>
                <wp:docPr id="2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4110990</wp:posOffset>
                </wp:positionH>
                <wp:positionV relativeFrom="paragraph">
                  <wp:posOffset>273050</wp:posOffset>
                </wp:positionV>
                <wp:extent cx="1826260" cy="635"/>
                <wp:effectExtent b="0" l="0" r="254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56F5" w:rsidDel="00000000" w:rsidP="001A56F5" w:rsidRDefault="001A56F5" w:rsidRPr="001A56F5">
                            <w:pPr>
                              <w:pStyle w:val="Legenda"/>
                              <w:rPr>
                                <w:rFonts w:ascii="Arial" w:cs="Arial" w:hAnsi="Arial"/>
                                <w:i w:val="0"/>
                                <w:noProof w:val="1"/>
                                <w:color w:val="auto"/>
                                <w:sz w:val="20"/>
                                <w:szCs w:val="20"/>
                              </w:rPr>
                            </w:pPr>
                            <w:r w:rsidDel="00000000" w:rsidR="00000000" w:rsidRPr="001A56F5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Del="00000000" w:rsidR="00000000" w:rsidRPr="00000000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Del="00000000" w:rsidR="00000000" w:rsidRPr="001A56F5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: Pilhas e baterias</w:t>
                            </w:r>
                          </w:p>
                        </w:txbxContent>
                      </wps:txbx>
                      <wps:bodyPr anchorCtr="0" anchor="t" bIns="0" rtlCol="0" compatLnSpc="1" forceAA="0" fromWordArt="0" horzOverflow="overflow" lIns="0" numCol="1" spcFirstLastPara="0" rIns="0" rot="0" spcCol="0" vert="horz" wrap="square" tIns="0" vertOverflow="overflow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4110990</wp:posOffset>
                </wp:positionH>
                <wp:positionV relativeFrom="paragraph">
                  <wp:posOffset>273050</wp:posOffset>
                </wp:positionV>
                <wp:extent cx="1828800" cy="635"/>
                <wp:effectExtent b="0" l="0" r="0" t="0"/>
                <wp:wrapNone/>
                <wp:docPr id="20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-154304</wp:posOffset>
            </wp:positionH>
            <wp:positionV relativeFrom="paragraph">
              <wp:posOffset>299085</wp:posOffset>
            </wp:positionV>
            <wp:extent cx="1903095" cy="1485900"/>
            <wp:effectExtent b="12700" l="12700" r="12700" t="12700"/>
            <wp:wrapNone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48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1929765</wp:posOffset>
            </wp:positionH>
            <wp:positionV relativeFrom="paragraph">
              <wp:posOffset>299085</wp:posOffset>
            </wp:positionV>
            <wp:extent cx="1917700" cy="1476375"/>
            <wp:effectExtent b="12700" l="12700" r="12700" t="12700"/>
            <wp:wrapNone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476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4006215</wp:posOffset>
            </wp:positionH>
            <wp:positionV relativeFrom="paragraph">
              <wp:posOffset>308610</wp:posOffset>
            </wp:positionV>
            <wp:extent cx="1875790" cy="1466850"/>
            <wp:effectExtent b="12700" l="12700" r="12700" t="12700"/>
            <wp:wrapNone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4668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-268604</wp:posOffset>
                </wp:positionH>
                <wp:positionV relativeFrom="paragraph">
                  <wp:posOffset>374650</wp:posOffset>
                </wp:positionV>
                <wp:extent cx="1903095" cy="63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3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6199" w:rsidDel="00000000" w:rsidP="00216199" w:rsidRDefault="00216199" w:rsidRPr="00216199">
                            <w:pPr>
                              <w:pStyle w:val="Legenda"/>
                              <w:ind w:firstLine="708"/>
                              <w:rPr>
                                <w:rFonts w:ascii="Arial" w:cs="Arial" w:hAnsi="Arial"/>
                                <w:i w:val="0"/>
                                <w:noProof w:val="1"/>
                                <w:color w:val="auto"/>
                                <w:sz w:val="20"/>
                                <w:szCs w:val="20"/>
                              </w:rPr>
                            </w:pPr>
                            <w:r w:rsidDel="00000000" w:rsidR="00000000" w:rsidRPr="00216199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Del="00000000" w:rsidR="00186762" w:rsidRPr="00000000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Del="00000000" w:rsidR="00000000" w:rsidRPr="00216199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: Televisores</w:t>
                            </w:r>
                          </w:p>
                        </w:txbxContent>
                      </wps:txbx>
                      <wps:bodyPr anchorCtr="0" anchor="t" bIns="0" rtlCol="0" compatLnSpc="1" forceAA="0" fromWordArt="0" horzOverflow="overflow" lIns="0" numCol="1" spcFirstLastPara="0" rIns="0" rot="0" spcCol="0" vert="horz" wrap="square" tIns="0" vertOverflow="overflow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-268604</wp:posOffset>
                </wp:positionH>
                <wp:positionV relativeFrom="paragraph">
                  <wp:posOffset>374650</wp:posOffset>
                </wp:positionV>
                <wp:extent cx="1903095" cy="635"/>
                <wp:effectExtent b="0" l="0" r="0" t="0"/>
                <wp:wrapNone/>
                <wp:docPr id="1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3095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5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1958340</wp:posOffset>
                </wp:positionH>
                <wp:positionV relativeFrom="paragraph">
                  <wp:posOffset>10795</wp:posOffset>
                </wp:positionV>
                <wp:extent cx="1917700" cy="63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6199" w:rsidDel="00000000" w:rsidP="00216199" w:rsidRDefault="00216199" w:rsidRPr="00216199">
                            <w:pPr>
                              <w:pStyle w:val="Legenda"/>
                              <w:rPr>
                                <w:rFonts w:ascii="Arial" w:cs="Arial" w:hAnsi="Arial"/>
                                <w:i w:val="0"/>
                                <w:noProof w:val="1"/>
                                <w:color w:val="auto"/>
                                <w:sz w:val="20"/>
                                <w:szCs w:val="20"/>
                              </w:rPr>
                            </w:pPr>
                            <w:r w:rsidDel="00000000" w:rsidR="00000000" w:rsidRPr="00216199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Del="00000000" w:rsidR="00186762" w:rsidRPr="00000000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Del="00000000" w:rsidR="00000000" w:rsidRPr="00216199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: Câmeras fotográficas</w:t>
                            </w:r>
                          </w:p>
                        </w:txbxContent>
                      </wps:txbx>
                      <wps:bodyPr anchorCtr="0" anchor="t" bIns="0" rtlCol="0" compatLnSpc="1" forceAA="0" fromWordArt="0" horzOverflow="overflow" lIns="0" numCol="1" spcFirstLastPara="0" rIns="0" rot="0" spcCol="0" vert="horz" wrap="square" tIns="0" vertOverflow="overflow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1958340</wp:posOffset>
                </wp:positionH>
                <wp:positionV relativeFrom="paragraph">
                  <wp:posOffset>10795</wp:posOffset>
                </wp:positionV>
                <wp:extent cx="1917700" cy="635"/>
                <wp:effectExtent b="0" l="0" r="0" t="0"/>
                <wp:wrapNone/>
                <wp:docPr id="19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7700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3863340</wp:posOffset>
                </wp:positionH>
                <wp:positionV relativeFrom="paragraph">
                  <wp:posOffset>10795</wp:posOffset>
                </wp:positionV>
                <wp:extent cx="1875790" cy="63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6199" w:rsidDel="00000000" w:rsidP="00747D13" w:rsidRDefault="00216199" w:rsidRPr="00747D13">
                            <w:pPr>
                              <w:pStyle w:val="Legenda"/>
                              <w:ind w:firstLine="708"/>
                              <w:rPr>
                                <w:rFonts w:ascii="Arial" w:cs="Arial" w:hAnsi="Arial"/>
                                <w:i w:val="0"/>
                                <w:noProof w:val="1"/>
                                <w:color w:val="auto"/>
                                <w:sz w:val="20"/>
                                <w:szCs w:val="20"/>
                              </w:rPr>
                            </w:pPr>
                            <w:r w:rsidDel="00000000" w:rsidR="00000000" w:rsidRPr="00747D13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Del="00000000" w:rsidR="00186762" w:rsidRPr="00000000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Del="00000000" w:rsidR="00000000" w:rsidRPr="00747D13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: Lâmpadas</w:t>
                            </w:r>
                          </w:p>
                        </w:txbxContent>
                      </wps:txbx>
                      <wps:bodyPr anchorCtr="0" anchor="t" bIns="0" rtlCol="0" compatLnSpc="1" forceAA="0" fromWordArt="0" horzOverflow="overflow" lIns="0" numCol="1" spcFirstLastPara="0" rIns="0" rot="0" spcCol="0" vert="horz" wrap="square" tIns="0" vertOverflow="overflow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3863340</wp:posOffset>
                </wp:positionH>
                <wp:positionV relativeFrom="paragraph">
                  <wp:posOffset>10795</wp:posOffset>
                </wp:positionV>
                <wp:extent cx="1875790" cy="635"/>
                <wp:effectExtent b="0" l="0" r="0" t="0"/>
                <wp:wrapNone/>
                <wp:docPr id="1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5790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6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8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entanto, a grande preocupação quanto a esses resíduos é que eles possuem substâncias que podem ser nocivas aos seres humanos, podendo assim levar a casos graves de intoxicação. Na tabela abaixo, é possível visualizar o exemplo de algumas dessas substâncias, juntamente com seu potencial nocivo.</w:t>
      </w:r>
    </w:p>
    <w:p w:rsidR="00000000" w:rsidDel="00000000" w:rsidP="00000000" w:rsidRDefault="00000000" w:rsidRPr="00000000" w14:paraId="00000049">
      <w:pPr>
        <w:spacing w:after="0"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80.0" w:type="dxa"/>
        <w:jc w:val="left"/>
        <w:tblInd w:w="0.0" w:type="dxa"/>
        <w:tbl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  <w:insideH w:color="4472c4" w:space="0" w:sz="8" w:val="single"/>
          <w:insideV w:color="4472c4" w:space="0" w:sz="8" w:val="single"/>
        </w:tblBorders>
        <w:tblLayout w:type="fixed"/>
        <w:tblLook w:val="04A0"/>
      </w:tblPr>
      <w:tblGrid>
        <w:gridCol w:w="2093"/>
        <w:gridCol w:w="7087"/>
        <w:tblGridChange w:id="0">
          <w:tblGrid>
            <w:gridCol w:w="2093"/>
            <w:gridCol w:w="7087"/>
          </w:tblGrid>
        </w:tblGridChange>
      </w:tblGrid>
      <w:tr>
        <w:tc>
          <w:tcPr/>
          <w:p w:rsidR="00000000" w:rsidDel="00000000" w:rsidP="00000000" w:rsidRDefault="00000000" w:rsidRPr="00000000" w14:paraId="0000004A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Substância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Efeito no homem</w:t>
            </w:r>
          </w:p>
        </w:tc>
      </w:tr>
      <w:tr>
        <w:tc>
          <w:tcPr/>
          <w:p w:rsidR="00000000" w:rsidDel="00000000" w:rsidP="00000000" w:rsidRDefault="00000000" w:rsidRPr="00000000" w14:paraId="0000004C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Chumbo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Prejudicial ao cérebro e Sistema Nervoso.</w:t>
            </w:r>
          </w:p>
        </w:tc>
      </w:tr>
      <w:tr>
        <w:tc>
          <w:tcPr/>
          <w:p w:rsidR="00000000" w:rsidDel="00000000" w:rsidP="00000000" w:rsidRDefault="00000000" w:rsidRPr="00000000" w14:paraId="0000004E">
            <w:pPr>
              <w:spacing w:before="240"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Cádmio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É um agente cancerígeno, e pode causar osteoporose, distúrbios neurológicos e imunossupressão.</w:t>
            </w:r>
          </w:p>
        </w:tc>
      </w:tr>
      <w:tr>
        <w:tc>
          <w:tcPr/>
          <w:p w:rsidR="00000000" w:rsidDel="00000000" w:rsidP="00000000" w:rsidRDefault="00000000" w:rsidRPr="00000000" w14:paraId="00000050">
            <w:pPr>
              <w:spacing w:before="240"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Níquel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Pode causar danos aos pulmões, problemas hepáticos e alterações sanguíneas.</w:t>
            </w:r>
          </w:p>
        </w:tc>
      </w:tr>
      <w:tr>
        <w:tc>
          <w:tcPr/>
          <w:p w:rsidR="00000000" w:rsidDel="00000000" w:rsidP="00000000" w:rsidRDefault="00000000" w:rsidRPr="00000000" w14:paraId="00000052">
            <w:pPr>
              <w:spacing w:before="240"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Mercúrio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Acometimento hepático, neurológico, causando tremores, vertigens, irritabilidade e até mesmo depressão.</w:t>
            </w:r>
          </w:p>
        </w:tc>
      </w:tr>
      <w:tr>
        <w:tc>
          <w:tcPr/>
          <w:p w:rsidR="00000000" w:rsidDel="00000000" w:rsidP="00000000" w:rsidRDefault="00000000" w:rsidRPr="00000000" w14:paraId="00000054">
            <w:pPr>
              <w:spacing w:before="240"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Zinco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Causa secura na garganta, tosse, fraqueza, dor generalizada, febre, náusea e vômito.</w:t>
            </w:r>
          </w:p>
        </w:tc>
      </w:tr>
      <w:tr>
        <w:tc>
          <w:tcPr/>
          <w:p w:rsidR="00000000" w:rsidDel="00000000" w:rsidP="00000000" w:rsidRDefault="00000000" w:rsidRPr="00000000" w14:paraId="00000056">
            <w:pPr>
              <w:spacing w:before="240"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Berílio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Pode levar a uma doença extremamente grave conhecida como granulomatose pulmonar crônica.</w:t>
            </w:r>
          </w:p>
        </w:tc>
      </w:tr>
      <w:tr>
        <w:trPr>
          <w:trHeight w:val="840" w:hRule="atLeast"/>
        </w:trPr>
        <w:tc>
          <w:tcPr/>
          <w:p w:rsidR="00000000" w:rsidDel="00000000" w:rsidP="00000000" w:rsidRDefault="00000000" w:rsidRPr="00000000" w14:paraId="00000058">
            <w:pPr>
              <w:spacing w:before="240"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Arsênico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Pode ocasionar doenças de pele, alteração do sistema nervoso e neoplasia de pulmão.</w:t>
            </w:r>
          </w:p>
        </w:tc>
      </w:tr>
    </w:tbl>
    <w:p w:rsidR="00000000" w:rsidDel="00000000" w:rsidP="00000000" w:rsidRDefault="00000000" w:rsidRPr="00000000" w14:paraId="0000005A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Portanto, para que os danos no meio ambiente, derivados da contaminação do lixo eletrônico, sejam minimizados, é necessário encontrar um local adequado para o despejo dos matérias, podendo ser empresas responsáveis pela coleta que atuam no ramo da reciclagem. Na baixada santista, há a Fundação Settaport (Centro de Reciclagem de Lixo Eletrônico), que é uma entidade, sem fins lucrativos, criada pela SETTAPORT há mais de 6 anos, que tem como papel fazer o descarte correto do lixo eletrônico. Uma outra maneira de minimizar esse tipo de resíduo, seria a doação dos aparelhos eletrônicos para programas sociais, ou até mesmo revendê-los, evitando assim seu acúmulo que pode ser prejudicial ao ecossistema.</w:t>
      </w:r>
    </w:p>
    <w:p w:rsidR="00000000" w:rsidDel="00000000" w:rsidP="00000000" w:rsidRDefault="00000000" w:rsidRPr="00000000" w14:paraId="0000005C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796290</wp:posOffset>
            </wp:positionH>
            <wp:positionV relativeFrom="paragraph">
              <wp:posOffset>146685</wp:posOffset>
            </wp:positionV>
            <wp:extent cx="4392000" cy="2703600"/>
            <wp:effectExtent b="0" l="0" r="0" t="0"/>
            <wp:wrapNone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7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709"/>
        <w:contextualSpacing w:val="0"/>
        <w:jc w:val="center"/>
        <w:rPr>
          <w:rFonts w:ascii="Arial" w:cs="Arial" w:eastAsia="Arial" w:hAnsi="Arial"/>
          <w:color w:val="00206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firstLine="709"/>
        <w:contextualSpacing w:val="0"/>
        <w:jc w:val="center"/>
        <w:rPr>
          <w:rFonts w:ascii="Arial" w:cs="Arial" w:eastAsia="Arial" w:hAnsi="Arial"/>
          <w:color w:val="002060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color w:val="002060"/>
          <w:sz w:val="24"/>
          <w:szCs w:val="24"/>
          <w:u w:val="single"/>
          <w:rtl w:val="0"/>
        </w:rPr>
        <w:t xml:space="preserve">http://fundacaosettaport.blogspot.com.br/</w:t>
      </w:r>
    </w:p>
    <w:p w:rsidR="00000000" w:rsidDel="00000000" w:rsidP="00000000" w:rsidRDefault="00000000" w:rsidRPr="00000000" w14:paraId="00000066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9E055B"/>
    <w:pPr>
      <w:ind w:left="720"/>
      <w:contextualSpacing w:val="1"/>
    </w:pPr>
  </w:style>
  <w:style w:type="table" w:styleId="GradeClara-nfase5">
    <w:name w:val="Light Grid Accent 5"/>
    <w:basedOn w:val="Tabelanormal"/>
    <w:uiPriority w:val="62"/>
    <w:rsid w:val="005A1166"/>
    <w:pPr>
      <w:spacing w:after="0" w:line="240" w:lineRule="auto"/>
    </w:pPr>
    <w:tblPr>
      <w:tblStyleRowBandSize w:val="1"/>
      <w:tblStyleColBandSize w:val="1"/>
      <w:tblInd w:w="0.0" w:type="dxa"/>
      <w:tblBorders>
        <w:top w:color="4472c4" w:space="0" w:sz="8" w:themeColor="accent5" w:val="single"/>
        <w:left w:color="4472c4" w:space="0" w:sz="8" w:themeColor="accent5" w:val="single"/>
        <w:bottom w:color="4472c4" w:space="0" w:sz="8" w:themeColor="accent5" w:val="single"/>
        <w:right w:color="4472c4" w:space="0" w:sz="8" w:themeColor="accent5" w:val="single"/>
        <w:insideH w:color="4472c4" w:space="0" w:sz="8" w:themeColor="accent5" w:val="single"/>
        <w:insideV w:color="4472c4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8" w:themeColor="accent5" w:val="single"/>
          <w:left w:color="4472c4" w:space="0" w:sz="8" w:themeColor="accent5" w:val="single"/>
          <w:bottom w:color="4472c4" w:space="0" w:sz="18" w:themeColor="accent5" w:val="single"/>
          <w:right w:color="4472c4" w:space="0" w:sz="8" w:themeColor="accent5" w:val="single"/>
          <w:insideH w:space="0" w:sz="0" w:val="nil"/>
          <w:insideV w:color="4472c4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6" w:themeColor="accent5" w:val="double"/>
          <w:left w:color="4472c4" w:space="0" w:sz="8" w:themeColor="accent5" w:val="single"/>
          <w:bottom w:color="4472c4" w:space="0" w:sz="8" w:themeColor="accent5" w:val="single"/>
          <w:right w:color="4472c4" w:space="0" w:sz="8" w:themeColor="accent5" w:val="single"/>
          <w:insideH w:space="0" w:sz="0" w:val="nil"/>
          <w:insideV w:color="4472c4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8" w:themeColor="accent5" w:val="single"/>
          <w:left w:color="4472c4" w:space="0" w:sz="8" w:themeColor="accent5" w:val="single"/>
          <w:bottom w:color="4472c4" w:space="0" w:sz="8" w:themeColor="accent5" w:val="single"/>
          <w:right w:color="4472c4" w:space="0" w:sz="8" w:themeColor="accent5" w:val="single"/>
        </w:tcBorders>
      </w:tcPr>
    </w:tblStylePr>
    <w:tblStylePr w:type="band1Vert">
      <w:tblPr/>
      <w:tcPr>
        <w:tcBorders>
          <w:top w:color="4472c4" w:space="0" w:sz="8" w:themeColor="accent5" w:val="single"/>
          <w:left w:color="4472c4" w:space="0" w:sz="8" w:themeColor="accent5" w:val="single"/>
          <w:bottom w:color="4472c4" w:space="0" w:sz="8" w:themeColor="accent5" w:val="single"/>
          <w:right w:color="4472c4" w:space="0" w:sz="8" w:themeColor="accent5" w:val="single"/>
        </w:tcBorders>
        <w:shd w:color="auto" w:fill="d0dbf0" w:themeFill="accent5" w:themeFillTint="00003F" w:val="clear"/>
      </w:tcPr>
    </w:tblStylePr>
    <w:tblStylePr w:type="band1Horz">
      <w:tblPr/>
      <w:tcPr>
        <w:tcBorders>
          <w:top w:color="4472c4" w:space="0" w:sz="8" w:themeColor="accent5" w:val="single"/>
          <w:left w:color="4472c4" w:space="0" w:sz="8" w:themeColor="accent5" w:val="single"/>
          <w:bottom w:color="4472c4" w:space="0" w:sz="8" w:themeColor="accent5" w:val="single"/>
          <w:right w:color="4472c4" w:space="0" w:sz="8" w:themeColor="accent5" w:val="single"/>
          <w:insideV w:color="4472c4" w:space="0" w:sz="8" w:themeColor="accent5" w:val="single"/>
        </w:tcBorders>
        <w:shd w:color="auto" w:fill="d0dbf0" w:themeFill="accent5" w:themeFillTint="00003F" w:val="clear"/>
      </w:tcPr>
    </w:tblStylePr>
    <w:tblStylePr w:type="band2Horz">
      <w:tblPr/>
      <w:tcPr>
        <w:tcBorders>
          <w:top w:color="4472c4" w:space="0" w:sz="8" w:themeColor="accent5" w:val="single"/>
          <w:left w:color="4472c4" w:space="0" w:sz="8" w:themeColor="accent5" w:val="single"/>
          <w:bottom w:color="4472c4" w:space="0" w:sz="8" w:themeColor="accent5" w:val="single"/>
          <w:right w:color="4472c4" w:space="0" w:sz="8" w:themeColor="accent5" w:val="single"/>
          <w:insideV w:color="4472c4" w:space="0" w:sz="8" w:themeColor="accent5" w:val="single"/>
        </w:tcBorders>
      </w:tcPr>
    </w:tblStylePr>
  </w:style>
  <w:style w:type="paragraph" w:styleId="Legenda">
    <w:name w:val="caption"/>
    <w:basedOn w:val="Normal"/>
    <w:next w:val="Normal"/>
    <w:uiPriority w:val="35"/>
    <w:unhideWhenUsed w:val="1"/>
    <w:qFormat w:val="1"/>
    <w:rsid w:val="005A1166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  <w:insideV w:color="4472c4" w:space="0" w:sz="8" w:val="single"/>
        </w:tcBorders>
        <w:shd w:fill="d0dcf0" w:val="clear"/>
      </w:tcPr>
    </w:tblStylePr>
    <w:tblStylePr w:type="band1Vert">
      <w:tcPr>
        <w:tc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</w:tcBorders>
        <w:shd w:fill="d0dcf0" w:val="clear"/>
      </w:tcPr>
    </w:tblStylePr>
    <w:tblStylePr w:type="band2Horz">
      <w:tcPr>
        <w:tc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  <w:insideV w:color="4472c4" w:space="0" w:sz="8" w:val="single"/>
        </w:tcBorders>
      </w:tcPr>
    </w:tblStylePr>
    <w:tblStylePr w:type="firstCol">
      <w:rPr>
        <w:rFonts w:ascii="Calibri" w:cs="Calibri" w:eastAsia="Calibri" w:hAnsi="Calibri"/>
        <w:b w:val="1"/>
      </w:rPr>
    </w:tblStylePr>
    <w:tblStylePr w:type="firstRow">
      <w:pPr>
        <w:spacing w:after="0" w:before="0" w:line="240" w:lineRule="auto"/>
      </w:pPr>
      <w:rPr>
        <w:rFonts w:ascii="Calibri" w:cs="Calibri" w:eastAsia="Calibri" w:hAnsi="Calibri"/>
        <w:b w:val="1"/>
      </w:rPr>
      <w:tcPr>
        <w:tcBorders>
          <w:top w:color="4472c4" w:space="0" w:sz="8" w:val="single"/>
          <w:left w:color="4472c4" w:space="0" w:sz="8" w:val="single"/>
          <w:bottom w:color="4472c4" w:space="0" w:sz="18" w:val="single"/>
          <w:right w:color="4472c4" w:space="0" w:sz="8" w:val="single"/>
          <w:insideH w:color="000000" w:space="0" w:sz="0" w:val="nil"/>
          <w:insideV w:color="4472c4" w:space="0" w:sz="8" w:val="single"/>
        </w:tcBorders>
      </w:tcPr>
    </w:tblStylePr>
    <w:tblStylePr w:type="lastCol">
      <w:rPr>
        <w:rFonts w:ascii="Calibri" w:cs="Calibri" w:eastAsia="Calibri" w:hAnsi="Calibri"/>
        <w:b w:val="1"/>
      </w:rPr>
      <w:tcPr>
        <w:tc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libri" w:cs="Calibri" w:eastAsia="Calibri" w:hAnsi="Calibri"/>
        <w:b w:val="1"/>
      </w:rPr>
      <w:tcPr>
        <w:tcBorders>
          <w:top w:color="4472c4" w:space="0" w:sz="6" w:val="single"/>
          <w:left w:color="4472c4" w:space="0" w:sz="8" w:val="single"/>
          <w:bottom w:color="4472c4" w:space="0" w:sz="8" w:val="single"/>
          <w:right w:color="4472c4" w:space="0" w:sz="8" w:val="single"/>
          <w:insideH w:color="000000" w:space="0" w:sz="0" w:val="nil"/>
          <w:insideV w:color="4472c4" w:space="0" w:sz="8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8" Type="http://schemas.openxmlformats.org/officeDocument/2006/relationships/image" Target="media/image20.png"/><Relationship Id="rId5" Type="http://schemas.openxmlformats.org/officeDocument/2006/relationships/styles" Target="styles.xml"/><Relationship Id="rId12" Type="http://schemas.openxmlformats.org/officeDocument/2006/relationships/image" Target="media/image12.png"/><Relationship Id="rId16" Type="http://schemas.openxmlformats.org/officeDocument/2006/relationships/image" Target="media/image8.png"/><Relationship Id="rId15" Type="http://schemas.openxmlformats.org/officeDocument/2006/relationships/image" Target="media/image6.png"/><Relationship Id="rId11" Type="http://schemas.openxmlformats.org/officeDocument/2006/relationships/image" Target="media/image18.png"/><Relationship Id="rId14" Type="http://schemas.openxmlformats.org/officeDocument/2006/relationships/image" Target="media/image16.png"/><Relationship Id="rId7" Type="http://schemas.openxmlformats.org/officeDocument/2006/relationships/image" Target="media/image26.png"/><Relationship Id="rId2" Type="http://schemas.openxmlformats.org/officeDocument/2006/relationships/settings" Target="settings.xml"/><Relationship Id="rId10" Type="http://schemas.openxmlformats.org/officeDocument/2006/relationships/image" Target="media/image24.png"/><Relationship Id="rId13" Type="http://schemas.openxmlformats.org/officeDocument/2006/relationships/image" Target="media/image10.png"/><Relationship Id="rId8" Type="http://schemas.openxmlformats.org/officeDocument/2006/relationships/image" Target="media/image4.png"/><Relationship Id="rId17" Type="http://schemas.openxmlformats.org/officeDocument/2006/relationships/image" Target="media/image2.png"/><Relationship Id="rId4" Type="http://schemas.openxmlformats.org/officeDocument/2006/relationships/numbering" Target="numbering.xml"/><Relationship Id="rId3" Type="http://schemas.openxmlformats.org/officeDocument/2006/relationships/fontTable" Target="fontTable.xml"/><Relationship Id="rId9" Type="http://schemas.openxmlformats.org/officeDocument/2006/relationships/image" Target="media/image22.png"/><Relationship Id="rId6" Type="http://schemas.openxmlformats.org/officeDocument/2006/relationships/image" Target="media/image14.png"/><Relationship Id="rId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