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334"/>
        <w:gridCol w:w="1328"/>
        <w:gridCol w:w="839"/>
        <w:gridCol w:w="1084"/>
        <w:gridCol w:w="1267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2022-07-14T13:15:31Z</dcterms:modified>
  <cp:category/>
</cp:coreProperties>
</file>