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42C90" w14:textId="088C4E74" w:rsidR="00D70886" w:rsidRPr="000F283B" w:rsidRDefault="00000000" w:rsidP="009E1E0C">
      <w:pPr>
        <w:pStyle w:val="Heading1"/>
        <w:jc w:val="both"/>
        <w:rPr>
          <w:rFonts w:ascii="Times New Roman" w:hAnsi="Times New Roman" w:cs="Times New Roman"/>
          <w:color w:val="000000" w:themeColor="text1"/>
          <w:sz w:val="22"/>
          <w:szCs w:val="22"/>
        </w:rPr>
      </w:pPr>
      <w:r w:rsidRPr="000F283B">
        <w:rPr>
          <w:rFonts w:ascii="Times New Roman" w:hAnsi="Times New Roman" w:cs="Times New Roman"/>
          <w:color w:val="000000" w:themeColor="text1"/>
          <w:sz w:val="22"/>
          <w:szCs w:val="22"/>
        </w:rPr>
        <w:t>Regime-Dependent</w:t>
      </w:r>
      <w:r w:rsidR="001F0C87" w:rsidRPr="000F283B">
        <w:rPr>
          <w:rFonts w:ascii="Times New Roman" w:hAnsi="Times New Roman" w:cs="Times New Roman"/>
          <w:color w:val="000000" w:themeColor="text1"/>
          <w:sz w:val="22"/>
          <w:szCs w:val="22"/>
        </w:rPr>
        <w:t xml:space="preserve"> </w:t>
      </w:r>
      <w:r w:rsidRPr="000F283B">
        <w:rPr>
          <w:rFonts w:ascii="Times New Roman" w:hAnsi="Times New Roman" w:cs="Times New Roman"/>
          <w:color w:val="000000" w:themeColor="text1"/>
          <w:sz w:val="22"/>
          <w:szCs w:val="22"/>
        </w:rPr>
        <w:t>Tail Risk and Regime-Switching Predictive Distributions</w:t>
      </w:r>
      <w:r w:rsidRPr="000F283B">
        <w:rPr>
          <w:rFonts w:ascii="Times New Roman" w:hAnsi="Times New Roman" w:cs="Times New Roman"/>
          <w:color w:val="000000" w:themeColor="text1"/>
          <w:sz w:val="22"/>
          <w:szCs w:val="22"/>
        </w:rPr>
        <w:br/>
        <w:t>Evidence from MS-GARCH with Explicit Tail Shift Quantification</w:t>
      </w:r>
    </w:p>
    <w:p w14:paraId="0301A1A4" w14:textId="77777777" w:rsidR="00D70886" w:rsidRPr="000F283B" w:rsidRDefault="00D70886" w:rsidP="009E1E0C">
      <w:pPr>
        <w:pStyle w:val="Heading1"/>
        <w:jc w:val="both"/>
        <w:rPr>
          <w:rFonts w:ascii="Times New Roman" w:hAnsi="Times New Roman" w:cs="Times New Roman"/>
          <w:color w:val="000000" w:themeColor="text1"/>
          <w:sz w:val="22"/>
          <w:szCs w:val="22"/>
        </w:rPr>
      </w:pPr>
      <w:r w:rsidRPr="000F283B">
        <w:rPr>
          <w:rFonts w:ascii="Times New Roman" w:hAnsi="Times New Roman" w:cs="Times New Roman"/>
          <w:color w:val="000000" w:themeColor="text1"/>
          <w:sz w:val="22"/>
          <w:szCs w:val="22"/>
        </w:rPr>
        <w:t>1. Problem and Contribution</w:t>
      </w:r>
    </w:p>
    <w:p w14:paraId="70A2D150" w14:textId="34B24A7B" w:rsidR="00D70886" w:rsidRPr="000F283B" w:rsidRDefault="00D70886" w:rsidP="009E1E0C">
      <w:pPr>
        <w:pStyle w:val="NormalWeb"/>
        <w:jc w:val="both"/>
        <w:rPr>
          <w:color w:val="000000" w:themeColor="text1"/>
          <w:sz w:val="22"/>
          <w:szCs w:val="22"/>
        </w:rPr>
      </w:pPr>
      <w:r w:rsidRPr="000F283B">
        <w:rPr>
          <w:color w:val="000000" w:themeColor="text1"/>
          <w:sz w:val="22"/>
          <w:szCs w:val="22"/>
        </w:rPr>
        <w:t xml:space="preserve">Standard rolling Student-t GARCH(1,1) models produce one-step-ahead </w:t>
      </w:r>
      <w:proofErr w:type="spellStart"/>
      <w:r w:rsidRPr="000F283B">
        <w:rPr>
          <w:color w:val="000000" w:themeColor="text1"/>
          <w:sz w:val="22"/>
          <w:szCs w:val="22"/>
        </w:rPr>
        <w:t>VaR</w:t>
      </w:r>
      <w:proofErr w:type="spellEnd"/>
      <w:r w:rsidRPr="000F283B">
        <w:rPr>
          <w:color w:val="000000" w:themeColor="text1"/>
          <w:sz w:val="22"/>
          <w:szCs w:val="22"/>
        </w:rPr>
        <w:t xml:space="preserve"> forecasts using predicted volatility and fixed heavy-tailed innovations</w:t>
      </w:r>
      <w:r w:rsidR="007C50C6" w:rsidRPr="000F283B">
        <w:rPr>
          <w:rFonts w:eastAsia="SimSun"/>
          <w:color w:val="000000" w:themeColor="text1"/>
          <w:sz w:val="22"/>
          <w:szCs w:val="22"/>
        </w:rPr>
        <w:t xml:space="preserve"> </w:t>
      </w:r>
      <w:r w:rsidR="007C50C6" w:rsidRPr="000F283B">
        <w:rPr>
          <w:sz w:val="22"/>
          <w:szCs w:val="22"/>
        </w:rPr>
        <w:t xml:space="preserve">(Angelidis, </w:t>
      </w:r>
      <w:proofErr w:type="spellStart"/>
      <w:r w:rsidR="007C50C6" w:rsidRPr="000F283B">
        <w:rPr>
          <w:sz w:val="22"/>
          <w:szCs w:val="22"/>
        </w:rPr>
        <w:t>Benos</w:t>
      </w:r>
      <w:proofErr w:type="spellEnd"/>
      <w:r w:rsidR="007C50C6" w:rsidRPr="000F283B">
        <w:rPr>
          <w:sz w:val="22"/>
          <w:szCs w:val="22"/>
        </w:rPr>
        <w:t xml:space="preserve"> and </w:t>
      </w:r>
      <w:proofErr w:type="spellStart"/>
      <w:r w:rsidR="007C50C6" w:rsidRPr="000F283B">
        <w:rPr>
          <w:sz w:val="22"/>
          <w:szCs w:val="22"/>
        </w:rPr>
        <w:t>Degiannakis</w:t>
      </w:r>
      <w:proofErr w:type="spellEnd"/>
      <w:r w:rsidR="007C50C6" w:rsidRPr="000F283B">
        <w:rPr>
          <w:sz w:val="22"/>
          <w:szCs w:val="22"/>
        </w:rPr>
        <w:t>, 2004</w:t>
      </w:r>
      <w:r w:rsidR="00D80A2C" w:rsidRPr="000F283B">
        <w:rPr>
          <w:rFonts w:eastAsia="SimSun"/>
          <w:sz w:val="22"/>
          <w:szCs w:val="22"/>
        </w:rPr>
        <w:t>)</w:t>
      </w:r>
      <w:r w:rsidR="00D80A2C" w:rsidRPr="000F283B">
        <w:rPr>
          <w:color w:val="000000" w:themeColor="text1"/>
          <w:sz w:val="22"/>
          <w:szCs w:val="22"/>
        </w:rPr>
        <w:t>. In</w:t>
      </w:r>
      <w:r w:rsidRPr="000F283B">
        <w:rPr>
          <w:color w:val="000000" w:themeColor="text1"/>
          <w:sz w:val="22"/>
          <w:szCs w:val="22"/>
        </w:rPr>
        <w:t xml:space="preserve"> low-volatility periods, coverage is close to nominal levels. However, in high-volatility regimes, systematic under-coverage emerges: VaR95 violations rise to 11.84% under th</w:t>
      </w:r>
      <w:r w:rsidR="005B2545" w:rsidRPr="000F283B">
        <w:rPr>
          <w:color w:val="000000" w:themeColor="text1"/>
          <w:sz w:val="22"/>
          <w:szCs w:val="22"/>
        </w:rPr>
        <w:t>is</w:t>
      </w:r>
      <w:r w:rsidRPr="000F283B">
        <w:rPr>
          <w:color w:val="000000" w:themeColor="text1"/>
          <w:sz w:val="22"/>
          <w:szCs w:val="22"/>
        </w:rPr>
        <w:t xml:space="preserve"> baseline model (vs 5% nominal), and VaR99 violations reach 3.67% (vs 1%). Coverage remains near nominal in calm regimes, indicating that model failure is state-dependent rather than uniform over time.</w:t>
      </w:r>
    </w:p>
    <w:p w14:paraId="3144E7DF" w14:textId="77777777" w:rsidR="00D70886" w:rsidRPr="000F283B" w:rsidRDefault="00D70886" w:rsidP="009E1E0C">
      <w:pPr>
        <w:pStyle w:val="NormalWeb"/>
        <w:jc w:val="both"/>
        <w:rPr>
          <w:color w:val="000000" w:themeColor="text1"/>
          <w:sz w:val="22"/>
          <w:szCs w:val="22"/>
        </w:rPr>
      </w:pPr>
      <w:r w:rsidRPr="000F283B">
        <w:rPr>
          <w:color w:val="000000" w:themeColor="text1"/>
          <w:sz w:val="22"/>
          <w:szCs w:val="22"/>
        </w:rPr>
        <w:t>The baseline model already implies persistent and heavy-tailed dynamics (α + β ≈ 0.993; ν ≈ 6–7). Yet substantial under-coverage persists in stress periods. This suggests that the breakdown cannot be explained by volatility persistence or fixed heavy tails alone. The central hypothesis of this project is that high-volatility regimes involve structural tail thickening—i.e., a shift in tail shape beyond simple variance scaling.</w:t>
      </w:r>
    </w:p>
    <w:p w14:paraId="3B801F84" w14:textId="068D1B02" w:rsidR="00D70886" w:rsidRPr="000F283B" w:rsidRDefault="00D70886" w:rsidP="009E1E0C">
      <w:pPr>
        <w:pStyle w:val="NormalWeb"/>
        <w:jc w:val="both"/>
        <w:rPr>
          <w:color w:val="000000" w:themeColor="text1"/>
          <w:sz w:val="22"/>
          <w:szCs w:val="22"/>
        </w:rPr>
      </w:pPr>
      <w:r w:rsidRPr="000F283B">
        <w:rPr>
          <w:color w:val="000000" w:themeColor="text1"/>
          <w:sz w:val="22"/>
          <w:szCs w:val="22"/>
        </w:rPr>
        <w:t xml:space="preserve">This project contributes three </w:t>
      </w:r>
      <w:r w:rsidR="00FA53EE" w:rsidRPr="000F283B">
        <w:rPr>
          <w:color w:val="000000" w:themeColor="text1"/>
          <w:sz w:val="22"/>
          <w:szCs w:val="22"/>
        </w:rPr>
        <w:t>sections</w:t>
      </w:r>
      <w:r w:rsidRPr="000F283B">
        <w:rPr>
          <w:color w:val="000000" w:themeColor="text1"/>
          <w:sz w:val="22"/>
          <w:szCs w:val="22"/>
        </w:rPr>
        <w:t xml:space="preserve">. First, it implements regime-conditional out-of-sample </w:t>
      </w:r>
      <w:r w:rsidR="002E4416" w:rsidRPr="000F283B">
        <w:rPr>
          <w:color w:val="000000" w:themeColor="text1"/>
          <w:sz w:val="22"/>
          <w:szCs w:val="22"/>
        </w:rPr>
        <w:t>back testing</w:t>
      </w:r>
      <w:r w:rsidRPr="000F283B">
        <w:rPr>
          <w:color w:val="000000" w:themeColor="text1"/>
          <w:sz w:val="22"/>
          <w:szCs w:val="22"/>
        </w:rPr>
        <w:t xml:space="preserve"> to document state-dependent </w:t>
      </w:r>
      <w:proofErr w:type="spellStart"/>
      <w:r w:rsidRPr="000F283B">
        <w:rPr>
          <w:color w:val="000000" w:themeColor="text1"/>
          <w:sz w:val="22"/>
          <w:szCs w:val="22"/>
        </w:rPr>
        <w:t>VaR</w:t>
      </w:r>
      <w:proofErr w:type="spellEnd"/>
      <w:r w:rsidRPr="000F283B">
        <w:rPr>
          <w:color w:val="000000" w:themeColor="text1"/>
          <w:sz w:val="22"/>
          <w:szCs w:val="22"/>
        </w:rPr>
        <w:t xml:space="preserve"> failure. </w:t>
      </w:r>
      <w:r w:rsidR="00876817" w:rsidRPr="000F283B">
        <w:rPr>
          <w:color w:val="000000" w:themeColor="text1"/>
          <w:sz w:val="22"/>
          <w:szCs w:val="22"/>
        </w:rPr>
        <w:t>Then</w:t>
      </w:r>
      <w:r w:rsidRPr="000F283B">
        <w:rPr>
          <w:color w:val="000000" w:themeColor="text1"/>
          <w:sz w:val="22"/>
          <w:szCs w:val="22"/>
        </w:rPr>
        <w:t xml:space="preserve"> it quantifies regime-specific tail shifts using a Peaks-over-Threshold (POT) Generalized Pareto framework with bootstrap inference. </w:t>
      </w:r>
      <w:r w:rsidR="001B5A21" w:rsidRPr="000F283B">
        <w:rPr>
          <w:color w:val="000000" w:themeColor="text1"/>
          <w:sz w:val="22"/>
          <w:szCs w:val="22"/>
        </w:rPr>
        <w:t>At last</w:t>
      </w:r>
      <w:r w:rsidRPr="000F283B">
        <w:rPr>
          <w:color w:val="000000" w:themeColor="text1"/>
          <w:sz w:val="22"/>
          <w:szCs w:val="22"/>
        </w:rPr>
        <w:t>, it incorporates regime dependence directly into the predictive distribution via a Markov-switching mixture density, allowing tail shape to vary with filtered regime probabilities.</w:t>
      </w:r>
    </w:p>
    <w:p w14:paraId="1F365BBE" w14:textId="08D1426C" w:rsidR="00272F43" w:rsidRPr="000F283B" w:rsidRDefault="00D70886" w:rsidP="003D74AC">
      <w:pPr>
        <w:pStyle w:val="NormalWeb"/>
        <w:jc w:val="both"/>
        <w:rPr>
          <w:color w:val="000000" w:themeColor="text1"/>
          <w:sz w:val="22"/>
          <w:szCs w:val="22"/>
        </w:rPr>
      </w:pPr>
      <w:r w:rsidRPr="000F283B">
        <w:rPr>
          <w:color w:val="000000" w:themeColor="text1"/>
          <w:sz w:val="22"/>
          <w:szCs w:val="22"/>
        </w:rPr>
        <w:t xml:space="preserve">The results show that stress regimes exhibit tail shifts beyond variance scaling, and that regime-weighted predictive distributions improve risk calibration relative to single-state models, particularly at the 95% level. </w:t>
      </w:r>
      <w:r w:rsidR="00A03427" w:rsidRPr="000F283B">
        <w:rPr>
          <w:color w:val="000000" w:themeColor="text1"/>
          <w:sz w:val="22"/>
          <w:szCs w:val="22"/>
        </w:rPr>
        <w:t>Specifically, Bootstrap inference confirms that tail indices differ significantly across regimes, with tail-event frequencies increasing multiple-fold in stress states. Incorporating this regime dependence into a Markov-switching predictive mixture reduces high-regime VaR95 violations (from 11.84% to 10.68%), though extreme 99% tails remain challenging.</w:t>
      </w:r>
      <w:r w:rsidR="00B83D2F" w:rsidRPr="000F283B">
        <w:rPr>
          <w:color w:val="000000" w:themeColor="text1"/>
          <w:sz w:val="22"/>
          <w:szCs w:val="22"/>
        </w:rPr>
        <w:t xml:space="preserve"> </w:t>
      </w:r>
      <w:r w:rsidR="00A03427" w:rsidRPr="000F283B">
        <w:rPr>
          <w:color w:val="000000" w:themeColor="text1"/>
          <w:sz w:val="22"/>
          <w:szCs w:val="22"/>
        </w:rPr>
        <w:t>of regime-dependent tail structure is therefore necessary for realistic risk measurement.</w:t>
      </w:r>
      <w:r w:rsidR="006F732D" w:rsidRPr="000F283B">
        <w:rPr>
          <w:color w:val="000000" w:themeColor="text1"/>
          <w:sz w:val="22"/>
          <w:szCs w:val="22"/>
        </w:rPr>
        <w:t xml:space="preserve"> </w:t>
      </w:r>
      <w:r w:rsidR="006F732D" w:rsidRPr="000F283B">
        <w:rPr>
          <w:color w:val="000000" w:themeColor="text1"/>
          <w:sz w:val="22"/>
          <w:szCs w:val="22"/>
        </w:rPr>
        <w:t xml:space="preserve">The results are consistent with the view that single-state models may be insufficient to capture regime-contingent tail </w:t>
      </w:r>
      <w:r w:rsidR="00F47D7C" w:rsidRPr="000F283B">
        <w:rPr>
          <w:color w:val="000000" w:themeColor="text1"/>
          <w:sz w:val="22"/>
          <w:szCs w:val="22"/>
        </w:rPr>
        <w:t>behaviour</w:t>
      </w:r>
      <w:r w:rsidR="006F732D" w:rsidRPr="000F283B">
        <w:rPr>
          <w:color w:val="000000" w:themeColor="text1"/>
          <w:sz w:val="22"/>
          <w:szCs w:val="22"/>
        </w:rPr>
        <w:t>.</w:t>
      </w:r>
    </w:p>
    <w:p w14:paraId="4DC787E5" w14:textId="7A9FF8BE" w:rsidR="001C1A71" w:rsidRPr="000F283B" w:rsidRDefault="001C1A71" w:rsidP="003D74AC">
      <w:pPr>
        <w:spacing w:before="100" w:beforeAutospacing="1" w:after="100" w:afterAutospacing="1"/>
        <w:jc w:val="both"/>
        <w:outlineLvl w:val="0"/>
        <w:rPr>
          <w:b/>
          <w:bCs/>
          <w:kern w:val="36"/>
          <w:sz w:val="22"/>
          <w:szCs w:val="22"/>
        </w:rPr>
      </w:pPr>
      <w:r w:rsidRPr="000F283B">
        <w:rPr>
          <w:b/>
          <w:bCs/>
          <w:kern w:val="36"/>
          <w:sz w:val="22"/>
          <w:szCs w:val="22"/>
        </w:rPr>
        <w:t>2. Data and Regime Definitions</w:t>
      </w:r>
    </w:p>
    <w:p w14:paraId="7AB53175" w14:textId="77777777" w:rsidR="001C1A71" w:rsidRPr="000F283B" w:rsidRDefault="001C1A71" w:rsidP="003D74AC">
      <w:pPr>
        <w:spacing w:before="100" w:beforeAutospacing="1" w:after="100" w:afterAutospacing="1"/>
        <w:jc w:val="both"/>
        <w:outlineLvl w:val="1"/>
        <w:rPr>
          <w:b/>
          <w:bCs/>
          <w:sz w:val="22"/>
          <w:szCs w:val="22"/>
        </w:rPr>
      </w:pPr>
      <w:r w:rsidRPr="000F283B">
        <w:rPr>
          <w:b/>
          <w:bCs/>
          <w:sz w:val="22"/>
          <w:szCs w:val="22"/>
        </w:rPr>
        <w:t>2.1 Data</w:t>
      </w:r>
    </w:p>
    <w:p w14:paraId="28E4F366" w14:textId="77777777" w:rsidR="005D021E" w:rsidRPr="000F283B" w:rsidRDefault="005D021E" w:rsidP="003D74AC">
      <w:pPr>
        <w:pStyle w:val="NormalWeb"/>
        <w:jc w:val="both"/>
        <w:rPr>
          <w:sz w:val="22"/>
          <w:szCs w:val="22"/>
        </w:rPr>
      </w:pPr>
      <w:r w:rsidRPr="000F283B">
        <w:rPr>
          <w:sz w:val="22"/>
          <w:szCs w:val="22"/>
        </w:rPr>
        <w:t>The dataset combines U.S. equity, volatility, and interest-rate data from 1 January 1996 to 31 December 2025.</w:t>
      </w:r>
    </w:p>
    <w:p w14:paraId="725A59DB" w14:textId="77777777" w:rsidR="005D021E" w:rsidRPr="000F283B" w:rsidRDefault="005D021E" w:rsidP="003D74AC">
      <w:pPr>
        <w:pStyle w:val="NormalWeb"/>
        <w:numPr>
          <w:ilvl w:val="0"/>
          <w:numId w:val="12"/>
        </w:numPr>
        <w:jc w:val="both"/>
        <w:rPr>
          <w:sz w:val="22"/>
          <w:szCs w:val="22"/>
        </w:rPr>
      </w:pPr>
      <w:r w:rsidRPr="000F283B">
        <w:rPr>
          <w:rStyle w:val="Strong"/>
          <w:b w:val="0"/>
          <w:bCs w:val="0"/>
          <w:sz w:val="22"/>
          <w:szCs w:val="22"/>
        </w:rPr>
        <w:t>Equity returns:</w:t>
      </w:r>
      <w:r w:rsidRPr="000F283B">
        <w:rPr>
          <w:sz w:val="22"/>
          <w:szCs w:val="22"/>
        </w:rPr>
        <w:t xml:space="preserve"> daily adjusted close prices of SPY (SPDR S&amp;P 500 ETF), downloaded via Yahoo Finance. Log returns are computed from adjusted prices.</w:t>
      </w:r>
    </w:p>
    <w:p w14:paraId="0F36238B" w14:textId="77777777" w:rsidR="005D021E" w:rsidRPr="000F283B" w:rsidRDefault="005D021E" w:rsidP="003D74AC">
      <w:pPr>
        <w:pStyle w:val="NormalWeb"/>
        <w:numPr>
          <w:ilvl w:val="0"/>
          <w:numId w:val="12"/>
        </w:numPr>
        <w:jc w:val="both"/>
        <w:rPr>
          <w:sz w:val="22"/>
          <w:szCs w:val="22"/>
        </w:rPr>
      </w:pPr>
      <w:r w:rsidRPr="000F283B">
        <w:rPr>
          <w:rStyle w:val="Strong"/>
          <w:b w:val="0"/>
          <w:bCs w:val="0"/>
          <w:sz w:val="22"/>
          <w:szCs w:val="22"/>
        </w:rPr>
        <w:t>Volatility proxy:</w:t>
      </w:r>
      <w:r w:rsidRPr="000F283B">
        <w:rPr>
          <w:sz w:val="22"/>
          <w:szCs w:val="22"/>
        </w:rPr>
        <w:t xml:space="preserve"> daily VIX index levels (^VIX), also from Yahoo Finance.</w:t>
      </w:r>
    </w:p>
    <w:p w14:paraId="2AFE3E13" w14:textId="77777777" w:rsidR="005D021E" w:rsidRPr="000F283B" w:rsidRDefault="005D021E" w:rsidP="003D74AC">
      <w:pPr>
        <w:pStyle w:val="NormalWeb"/>
        <w:numPr>
          <w:ilvl w:val="0"/>
          <w:numId w:val="12"/>
        </w:numPr>
        <w:jc w:val="both"/>
        <w:rPr>
          <w:sz w:val="22"/>
          <w:szCs w:val="22"/>
        </w:rPr>
      </w:pPr>
      <w:r w:rsidRPr="000F283B">
        <w:rPr>
          <w:rStyle w:val="Strong"/>
          <w:b w:val="0"/>
          <w:bCs w:val="0"/>
          <w:sz w:val="22"/>
          <w:szCs w:val="22"/>
        </w:rPr>
        <w:t>Interest rates:</w:t>
      </w:r>
      <w:r w:rsidRPr="000F283B">
        <w:rPr>
          <w:sz w:val="22"/>
          <w:szCs w:val="22"/>
        </w:rPr>
        <w:t xml:space="preserve"> daily 3-month Treasury yield (DGS3MO) and 10-year Treasury yield (DGS10) obtained from FRED. Missing rate observations are forward-filled to maintain alignment.</w:t>
      </w:r>
    </w:p>
    <w:p w14:paraId="76A029AE" w14:textId="4CC5EB06" w:rsidR="005D021E" w:rsidRPr="000F283B" w:rsidRDefault="005D021E" w:rsidP="003D74AC">
      <w:pPr>
        <w:spacing w:before="100" w:beforeAutospacing="1" w:after="100" w:afterAutospacing="1"/>
        <w:jc w:val="both"/>
        <w:rPr>
          <w:sz w:val="22"/>
          <w:szCs w:val="22"/>
        </w:rPr>
      </w:pPr>
      <w:r w:rsidRPr="000F283B">
        <w:rPr>
          <w:sz w:val="22"/>
          <w:szCs w:val="22"/>
        </w:rPr>
        <w:lastRenderedPageBreak/>
        <w:t>After merging and removing missing values, the final aligned dataset contains 6,268 daily observations used for estimation and out-of-sample analysis. All models are estimated using rolling windows with one-step-ahead forecasts to ensure forward-looking evaluation.</w:t>
      </w:r>
    </w:p>
    <w:p w14:paraId="6D594D42" w14:textId="0EE5D511" w:rsidR="001C1A71" w:rsidRPr="000F283B" w:rsidRDefault="005D021E" w:rsidP="003D74AC">
      <w:pPr>
        <w:pStyle w:val="NormalWeb"/>
        <w:jc w:val="both"/>
        <w:rPr>
          <w:sz w:val="22"/>
          <w:szCs w:val="22"/>
        </w:rPr>
      </w:pPr>
      <w:r w:rsidRPr="000F283B">
        <w:rPr>
          <w:sz w:val="22"/>
          <w:szCs w:val="22"/>
        </w:rPr>
        <w:t xml:space="preserve">The SPY return series exhibits standard features of equity markets: volatility clustering and occasional large negative jumps. </w:t>
      </w:r>
      <w:r w:rsidR="001C1A71" w:rsidRPr="000F283B">
        <w:rPr>
          <w:sz w:val="22"/>
          <w:szCs w:val="22"/>
        </w:rPr>
        <w:t>Across the full sample, extreme left-tail events (defined using a fixed standardized threshold) occur infrequently, with an unconditional frequency below 1%. However, their incidence is not time-homogeneous and varies systematically across volatility states.</w:t>
      </w:r>
    </w:p>
    <w:p w14:paraId="15F5BB9D" w14:textId="77777777" w:rsidR="001C1A71" w:rsidRPr="000F283B" w:rsidRDefault="001C1A71" w:rsidP="009E1E0C">
      <w:pPr>
        <w:spacing w:before="100" w:beforeAutospacing="1" w:after="100" w:afterAutospacing="1"/>
        <w:jc w:val="both"/>
        <w:outlineLvl w:val="1"/>
        <w:rPr>
          <w:b/>
          <w:bCs/>
          <w:sz w:val="22"/>
          <w:szCs w:val="22"/>
        </w:rPr>
      </w:pPr>
      <w:r w:rsidRPr="000F283B">
        <w:rPr>
          <w:b/>
          <w:bCs/>
          <w:sz w:val="22"/>
          <w:szCs w:val="22"/>
        </w:rPr>
        <w:t>2.2 Regime Definitions</w:t>
      </w:r>
    </w:p>
    <w:p w14:paraId="0F2B3966" w14:textId="2B429FD7" w:rsidR="001C1A71" w:rsidRPr="000F283B" w:rsidRDefault="001C1A71" w:rsidP="009E1E0C">
      <w:pPr>
        <w:spacing w:before="100" w:beforeAutospacing="1" w:after="100" w:afterAutospacing="1"/>
        <w:jc w:val="both"/>
        <w:rPr>
          <w:sz w:val="22"/>
          <w:szCs w:val="22"/>
        </w:rPr>
      </w:pPr>
      <w:r w:rsidRPr="000F283B">
        <w:rPr>
          <w:sz w:val="22"/>
          <w:szCs w:val="22"/>
        </w:rPr>
        <w:t>To study regime dependence, market states</w:t>
      </w:r>
      <w:r w:rsidR="008F2083" w:rsidRPr="000F283B">
        <w:rPr>
          <w:sz w:val="22"/>
          <w:szCs w:val="22"/>
        </w:rPr>
        <w:t xml:space="preserve"> </w:t>
      </w:r>
      <w:r w:rsidR="008F2083" w:rsidRPr="000F283B">
        <w:rPr>
          <w:rFonts w:eastAsia="SimSun"/>
          <w:sz w:val="22"/>
          <w:szCs w:val="22"/>
          <w:lang w:val="en-US"/>
        </w:rPr>
        <w:t>was defined</w:t>
      </w:r>
      <w:r w:rsidRPr="000F283B">
        <w:rPr>
          <w:sz w:val="22"/>
          <w:szCs w:val="22"/>
        </w:rPr>
        <w:t xml:space="preserve"> using three complementary approaches: exogenous volatility regimes, endogenous latent states, and policy-shock indicators.</w:t>
      </w:r>
    </w:p>
    <w:p w14:paraId="0845BCD9" w14:textId="77777777" w:rsidR="001C1A71" w:rsidRPr="000F283B" w:rsidRDefault="001C1A71" w:rsidP="009E1E0C">
      <w:pPr>
        <w:spacing w:before="100" w:beforeAutospacing="1" w:after="100" w:afterAutospacing="1"/>
        <w:jc w:val="both"/>
        <w:outlineLvl w:val="2"/>
        <w:rPr>
          <w:sz w:val="22"/>
          <w:szCs w:val="22"/>
        </w:rPr>
      </w:pPr>
      <w:r w:rsidRPr="000F283B">
        <w:rPr>
          <w:sz w:val="22"/>
          <w:szCs w:val="22"/>
        </w:rPr>
        <w:t>(</w:t>
      </w:r>
      <w:proofErr w:type="spellStart"/>
      <w:r w:rsidRPr="000F283B">
        <w:rPr>
          <w:sz w:val="22"/>
          <w:szCs w:val="22"/>
        </w:rPr>
        <w:t>i</w:t>
      </w:r>
      <w:proofErr w:type="spellEnd"/>
      <w:r w:rsidRPr="000F283B">
        <w:rPr>
          <w:sz w:val="22"/>
          <w:szCs w:val="22"/>
        </w:rPr>
        <w:t>) Exogenous volatility regimes (VIX quantiles)</w:t>
      </w:r>
    </w:p>
    <w:p w14:paraId="766A8C8C" w14:textId="77777777" w:rsidR="001C1A71" w:rsidRPr="000F283B" w:rsidRDefault="001C1A71" w:rsidP="009E1E0C">
      <w:pPr>
        <w:spacing w:before="100" w:beforeAutospacing="1" w:after="100" w:afterAutospacing="1"/>
        <w:jc w:val="both"/>
        <w:rPr>
          <w:sz w:val="22"/>
          <w:szCs w:val="22"/>
        </w:rPr>
      </w:pPr>
      <w:r w:rsidRPr="000F283B">
        <w:rPr>
          <w:sz w:val="22"/>
          <w:szCs w:val="22"/>
        </w:rPr>
        <w:t>Market regimes are first defined using VIX quantiles. The sample is partitioned into low-, mid-, and high-volatility states. This classification yields 3,528 low-volatility days, 1,320 mid-volatility days, and 1,420 high-volatility days, ensuring adequate representation of stress periods.</w:t>
      </w:r>
    </w:p>
    <w:p w14:paraId="175741E0" w14:textId="128F75EE" w:rsidR="001C1A71" w:rsidRPr="000F283B" w:rsidRDefault="001C1A71" w:rsidP="009E1E0C">
      <w:pPr>
        <w:spacing w:before="100" w:beforeAutospacing="1" w:after="100" w:afterAutospacing="1"/>
        <w:jc w:val="both"/>
        <w:rPr>
          <w:sz w:val="22"/>
          <w:szCs w:val="22"/>
        </w:rPr>
      </w:pPr>
      <w:r w:rsidRPr="000F283B">
        <w:rPr>
          <w:sz w:val="22"/>
          <w:szCs w:val="22"/>
        </w:rPr>
        <w:t>Extreme losses are substantially more frequent in VIX-high regimes than in VIX-low regimes. The probability of an extreme negative return increases several-fold when moving from low to high volatility states. This establishes a basic stylized fact: stress regimes are characterized not only by higher variance but also by a higher concentration of tail events.</w:t>
      </w:r>
    </w:p>
    <w:p w14:paraId="0986FF87" w14:textId="77777777" w:rsidR="001C1A71" w:rsidRPr="000F283B" w:rsidRDefault="001C1A71" w:rsidP="009E1E0C">
      <w:pPr>
        <w:spacing w:before="100" w:beforeAutospacing="1" w:after="100" w:afterAutospacing="1"/>
        <w:jc w:val="both"/>
        <w:outlineLvl w:val="2"/>
        <w:rPr>
          <w:sz w:val="22"/>
          <w:szCs w:val="22"/>
        </w:rPr>
      </w:pPr>
      <w:r w:rsidRPr="000F283B">
        <w:rPr>
          <w:sz w:val="22"/>
          <w:szCs w:val="22"/>
        </w:rPr>
        <w:t>(ii) Endogenous regimes: MS-GARCH filtered states</w:t>
      </w:r>
    </w:p>
    <w:p w14:paraId="1B0586A8" w14:textId="1A6EECDD" w:rsidR="001C1A71" w:rsidRPr="000F283B" w:rsidRDefault="001C1A71" w:rsidP="009E1E0C">
      <w:pPr>
        <w:spacing w:before="100" w:beforeAutospacing="1" w:after="100" w:afterAutospacing="1"/>
        <w:jc w:val="both"/>
        <w:rPr>
          <w:sz w:val="22"/>
          <w:szCs w:val="22"/>
        </w:rPr>
      </w:pPr>
      <w:r w:rsidRPr="000F283B">
        <w:rPr>
          <w:sz w:val="22"/>
          <w:szCs w:val="22"/>
        </w:rPr>
        <w:t xml:space="preserve">In addition to the VIX classification, </w:t>
      </w:r>
      <w:r w:rsidR="008F2083" w:rsidRPr="000F283B">
        <w:rPr>
          <w:sz w:val="22"/>
          <w:szCs w:val="22"/>
        </w:rPr>
        <w:t xml:space="preserve">a </w:t>
      </w:r>
      <w:r w:rsidRPr="000F283B">
        <w:rPr>
          <w:sz w:val="22"/>
          <w:szCs w:val="22"/>
        </w:rPr>
        <w:t>two-state Markov-switching GARCH model</w:t>
      </w:r>
      <w:r w:rsidR="008F2083" w:rsidRPr="000F283B">
        <w:rPr>
          <w:sz w:val="22"/>
          <w:szCs w:val="22"/>
        </w:rPr>
        <w:t xml:space="preserve"> was used</w:t>
      </w:r>
      <w:r w:rsidRPr="000F283B">
        <w:rPr>
          <w:sz w:val="22"/>
          <w:szCs w:val="22"/>
        </w:rPr>
        <w:t>. The latent state is inferred via maximum likelihood filtering and represents low- and high-volatility regimes.</w:t>
      </w:r>
    </w:p>
    <w:p w14:paraId="3E0B9FBE" w14:textId="77777777" w:rsidR="001C1A71" w:rsidRPr="000F283B" w:rsidRDefault="001C1A71" w:rsidP="009E1E0C">
      <w:pPr>
        <w:spacing w:before="100" w:beforeAutospacing="1" w:after="100" w:afterAutospacing="1"/>
        <w:jc w:val="both"/>
        <w:rPr>
          <w:sz w:val="22"/>
          <w:szCs w:val="22"/>
        </w:rPr>
      </w:pPr>
      <w:r w:rsidRPr="000F283B">
        <w:rPr>
          <w:sz w:val="22"/>
          <w:szCs w:val="22"/>
        </w:rPr>
        <w:t>The filtered high-volatility state isolates periods of persistent volatility elevation. Conditioning on this endogenous state yields an even sharper separation of calm and stress periods than the VIX-based partition. In particular, extreme losses concentrate disproportionately in the high-volatility latent state, consistent with regime-dependent distributional shifts.</w:t>
      </w:r>
    </w:p>
    <w:p w14:paraId="055E8DCD" w14:textId="6FA5D997" w:rsidR="001C1A71" w:rsidRPr="000F283B" w:rsidRDefault="001C1A71" w:rsidP="009E1E0C">
      <w:pPr>
        <w:spacing w:before="100" w:beforeAutospacing="1" w:after="100" w:afterAutospacing="1"/>
        <w:jc w:val="both"/>
        <w:rPr>
          <w:sz w:val="22"/>
          <w:szCs w:val="22"/>
        </w:rPr>
      </w:pPr>
      <w:r w:rsidRPr="000F283B">
        <w:rPr>
          <w:sz w:val="22"/>
          <w:szCs w:val="22"/>
        </w:rPr>
        <w:t>This endogenous classification captures latent volatility dynamics that may not be fully reflected in contemporaneous VIX levels.</w:t>
      </w:r>
    </w:p>
    <w:p w14:paraId="1772A2C7" w14:textId="77777777" w:rsidR="001C1A71" w:rsidRPr="000F283B" w:rsidRDefault="001C1A71" w:rsidP="009E1E0C">
      <w:pPr>
        <w:spacing w:before="100" w:beforeAutospacing="1" w:after="100" w:afterAutospacing="1"/>
        <w:jc w:val="both"/>
        <w:outlineLvl w:val="2"/>
        <w:rPr>
          <w:sz w:val="22"/>
          <w:szCs w:val="22"/>
        </w:rPr>
      </w:pPr>
      <w:r w:rsidRPr="000F283B">
        <w:rPr>
          <w:sz w:val="22"/>
          <w:szCs w:val="22"/>
        </w:rPr>
        <w:t>(iii) Policy-shock indicator</w:t>
      </w:r>
    </w:p>
    <w:p w14:paraId="23DB73B4" w14:textId="0D3CAC25" w:rsidR="001C1A71" w:rsidRPr="000F283B" w:rsidRDefault="001C1A71" w:rsidP="009E1E0C">
      <w:pPr>
        <w:spacing w:before="100" w:beforeAutospacing="1" w:after="100" w:afterAutospacing="1"/>
        <w:jc w:val="both"/>
        <w:rPr>
          <w:sz w:val="22"/>
          <w:szCs w:val="22"/>
        </w:rPr>
      </w:pPr>
      <w:r w:rsidRPr="000F283B">
        <w:rPr>
          <w:sz w:val="22"/>
          <w:szCs w:val="22"/>
        </w:rPr>
        <w:t xml:space="preserve">As a complementary conditioning variable, a monetary-policy shock indicator </w:t>
      </w:r>
      <w:r w:rsidR="000E2581" w:rsidRPr="000F283B">
        <w:rPr>
          <w:sz w:val="22"/>
          <w:szCs w:val="22"/>
        </w:rPr>
        <w:t xml:space="preserve">was constructed </w:t>
      </w:r>
      <w:r w:rsidRPr="000F283B">
        <w:rPr>
          <w:sz w:val="22"/>
          <w:szCs w:val="22"/>
        </w:rPr>
        <w:t>using standardized (z-scored) 3-month interest-rate changes. Episodes are classified into tightening, easing, or neutral periods based on statistically significant deviations.</w:t>
      </w:r>
    </w:p>
    <w:p w14:paraId="54EC3677" w14:textId="47359B93" w:rsidR="001C1A71" w:rsidRPr="000F283B" w:rsidRDefault="001C1A71" w:rsidP="009E1E0C">
      <w:pPr>
        <w:spacing w:before="100" w:beforeAutospacing="1" w:after="100" w:afterAutospacing="1"/>
        <w:jc w:val="both"/>
        <w:rPr>
          <w:sz w:val="22"/>
          <w:szCs w:val="22"/>
        </w:rPr>
      </w:pPr>
      <w:r w:rsidRPr="000F283B">
        <w:rPr>
          <w:sz w:val="22"/>
          <w:szCs w:val="22"/>
        </w:rPr>
        <w:t>The sample contains 887 tightening and 797 easing episodes, with neutral periods dominating. While policy shocks capture large macro-financial movements, they are treated as supplementary regime information rather than primary volatility states.</w:t>
      </w:r>
    </w:p>
    <w:p w14:paraId="04F25863" w14:textId="77777777" w:rsidR="001C1A71" w:rsidRPr="000F283B" w:rsidRDefault="001C1A71" w:rsidP="008236B0">
      <w:pPr>
        <w:spacing w:before="100" w:beforeAutospacing="1" w:after="100" w:afterAutospacing="1"/>
        <w:jc w:val="both"/>
        <w:outlineLvl w:val="1"/>
        <w:rPr>
          <w:b/>
          <w:bCs/>
          <w:color w:val="000000" w:themeColor="text1"/>
          <w:sz w:val="22"/>
          <w:szCs w:val="22"/>
        </w:rPr>
      </w:pPr>
      <w:r w:rsidRPr="000F283B">
        <w:rPr>
          <w:b/>
          <w:bCs/>
          <w:color w:val="000000" w:themeColor="text1"/>
          <w:sz w:val="22"/>
          <w:szCs w:val="22"/>
        </w:rPr>
        <w:lastRenderedPageBreak/>
        <w:t>2.3 Stylized Facts Across Regimes</w:t>
      </w:r>
    </w:p>
    <w:p w14:paraId="603589AE" w14:textId="77777777" w:rsidR="001C1A71" w:rsidRPr="000F283B" w:rsidRDefault="001C1A71" w:rsidP="008236B0">
      <w:pPr>
        <w:spacing w:before="100" w:beforeAutospacing="1" w:after="100" w:afterAutospacing="1"/>
        <w:jc w:val="both"/>
        <w:rPr>
          <w:color w:val="000000" w:themeColor="text1"/>
          <w:sz w:val="22"/>
          <w:szCs w:val="22"/>
        </w:rPr>
      </w:pPr>
      <w:r w:rsidRPr="000F283B">
        <w:rPr>
          <w:color w:val="000000" w:themeColor="text1"/>
          <w:sz w:val="22"/>
          <w:szCs w:val="22"/>
        </w:rPr>
        <w:t xml:space="preserve">Across both exogenous (VIX) and endogenous (MS-GARCH) classifications, extreme negative returns are disproportionately concentrated in stress regimes. Event-study evidence around </w:t>
      </w:r>
      <w:proofErr w:type="spellStart"/>
      <w:r w:rsidRPr="000F283B">
        <w:rPr>
          <w:color w:val="000000" w:themeColor="text1"/>
          <w:sz w:val="22"/>
          <w:szCs w:val="22"/>
        </w:rPr>
        <w:t>low→high</w:t>
      </w:r>
      <w:proofErr w:type="spellEnd"/>
      <w:r w:rsidRPr="000F283B">
        <w:rPr>
          <w:color w:val="000000" w:themeColor="text1"/>
          <w:sz w:val="22"/>
          <w:szCs w:val="22"/>
        </w:rPr>
        <w:t xml:space="preserve"> transitions shows that volatility shifts upward discretely and remains elevated for several days, while extreme losses cluster tightly around transition dates. This pattern suggests that large shocks often coincide with regime entry, but regime persistence sustains elevated risk afterward.</w:t>
      </w:r>
    </w:p>
    <w:p w14:paraId="785A88EC" w14:textId="3DE6BB9E" w:rsidR="00D02371" w:rsidRPr="000F283B" w:rsidRDefault="001C1A71" w:rsidP="006C3486">
      <w:pPr>
        <w:spacing w:before="100" w:beforeAutospacing="1" w:after="100" w:afterAutospacing="1"/>
        <w:jc w:val="both"/>
        <w:rPr>
          <w:color w:val="000000" w:themeColor="text1"/>
          <w:sz w:val="22"/>
          <w:szCs w:val="22"/>
        </w:rPr>
      </w:pPr>
      <w:r w:rsidRPr="000F283B">
        <w:rPr>
          <w:color w:val="000000" w:themeColor="text1"/>
          <w:sz w:val="22"/>
          <w:szCs w:val="22"/>
        </w:rPr>
        <w:t xml:space="preserve">Overall, the data exhibit clear regime dependence: stress states are associated with both higher conditional scale and a greater density of extreme outcomes. This motivates explicit modelling of regime-dependent tail </w:t>
      </w:r>
      <w:proofErr w:type="spellStart"/>
      <w:r w:rsidRPr="000F283B">
        <w:rPr>
          <w:color w:val="000000" w:themeColor="text1"/>
          <w:sz w:val="22"/>
          <w:szCs w:val="22"/>
        </w:rPr>
        <w:t>behavior</w:t>
      </w:r>
      <w:proofErr w:type="spellEnd"/>
      <w:r w:rsidRPr="000F283B">
        <w:rPr>
          <w:color w:val="000000" w:themeColor="text1"/>
          <w:sz w:val="22"/>
          <w:szCs w:val="22"/>
        </w:rPr>
        <w:t xml:space="preserve"> in subsequent sections.</w:t>
      </w:r>
    </w:p>
    <w:p w14:paraId="24402A1B" w14:textId="24BE969C" w:rsidR="00D02371" w:rsidRPr="00D02371" w:rsidRDefault="00D02371" w:rsidP="00D02371">
      <w:pPr>
        <w:spacing w:before="100" w:beforeAutospacing="1" w:after="100" w:afterAutospacing="1"/>
        <w:outlineLvl w:val="2"/>
        <w:rPr>
          <w:b/>
          <w:bCs/>
          <w:sz w:val="22"/>
          <w:szCs w:val="22"/>
        </w:rPr>
      </w:pPr>
      <w:r w:rsidRPr="000F283B">
        <w:rPr>
          <w:b/>
          <w:bCs/>
          <w:sz w:val="22"/>
          <w:szCs w:val="22"/>
        </w:rPr>
        <w:t xml:space="preserve">2.4 </w:t>
      </w:r>
      <w:r w:rsidRPr="00D02371">
        <w:rPr>
          <w:b/>
          <w:bCs/>
          <w:sz w:val="22"/>
          <w:szCs w:val="22"/>
        </w:rPr>
        <w:t>Notation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2654"/>
      </w:tblGrid>
      <w:tr w:rsidR="00D02371" w:rsidRPr="00D02371" w14:paraId="3AD63302" w14:textId="77777777">
        <w:trPr>
          <w:tblHeader/>
          <w:tblCellSpacing w:w="15" w:type="dxa"/>
        </w:trPr>
        <w:tc>
          <w:tcPr>
            <w:tcW w:w="0" w:type="auto"/>
            <w:vAlign w:val="center"/>
            <w:hideMark/>
          </w:tcPr>
          <w:p w14:paraId="4C9C0794" w14:textId="77777777" w:rsidR="00D02371" w:rsidRPr="00D02371" w:rsidRDefault="00D02371" w:rsidP="00D02371">
            <w:pPr>
              <w:jc w:val="center"/>
              <w:rPr>
                <w:b/>
                <w:bCs/>
                <w:sz w:val="22"/>
                <w:szCs w:val="22"/>
              </w:rPr>
            </w:pPr>
            <w:r w:rsidRPr="00D02371">
              <w:rPr>
                <w:b/>
                <w:bCs/>
                <w:sz w:val="22"/>
                <w:szCs w:val="22"/>
              </w:rPr>
              <w:t>Symbol</w:t>
            </w:r>
          </w:p>
        </w:tc>
        <w:tc>
          <w:tcPr>
            <w:tcW w:w="0" w:type="auto"/>
            <w:vAlign w:val="center"/>
            <w:hideMark/>
          </w:tcPr>
          <w:p w14:paraId="18DB9455" w14:textId="77777777" w:rsidR="00D02371" w:rsidRPr="00D02371" w:rsidRDefault="00D02371" w:rsidP="00D02371">
            <w:pPr>
              <w:jc w:val="center"/>
              <w:rPr>
                <w:b/>
                <w:bCs/>
                <w:sz w:val="22"/>
                <w:szCs w:val="22"/>
              </w:rPr>
            </w:pPr>
            <w:r w:rsidRPr="00D02371">
              <w:rPr>
                <w:b/>
                <w:bCs/>
                <w:sz w:val="22"/>
                <w:szCs w:val="22"/>
              </w:rPr>
              <w:t>Meaning</w:t>
            </w:r>
          </w:p>
        </w:tc>
      </w:tr>
      <w:tr w:rsidR="00D02371" w:rsidRPr="00D02371" w14:paraId="04E6B5BB" w14:textId="77777777">
        <w:trPr>
          <w:tblCellSpacing w:w="15" w:type="dxa"/>
        </w:trPr>
        <w:tc>
          <w:tcPr>
            <w:tcW w:w="0" w:type="auto"/>
            <w:vAlign w:val="center"/>
            <w:hideMark/>
          </w:tcPr>
          <w:p w14:paraId="466F9B0F" w14:textId="77777777" w:rsidR="00D02371" w:rsidRPr="00D02371" w:rsidRDefault="00D02371" w:rsidP="00D02371">
            <w:pPr>
              <w:rPr>
                <w:sz w:val="22"/>
                <w:szCs w:val="22"/>
              </w:rPr>
            </w:pPr>
            <w:proofErr w:type="spellStart"/>
            <w:r w:rsidRPr="00D02371">
              <w:rPr>
                <w:sz w:val="22"/>
                <w:szCs w:val="22"/>
              </w:rPr>
              <w:t>r_t</w:t>
            </w:r>
            <w:proofErr w:type="spellEnd"/>
          </w:p>
        </w:tc>
        <w:tc>
          <w:tcPr>
            <w:tcW w:w="0" w:type="auto"/>
            <w:vAlign w:val="center"/>
            <w:hideMark/>
          </w:tcPr>
          <w:p w14:paraId="429C654B" w14:textId="77777777" w:rsidR="00D02371" w:rsidRPr="00D02371" w:rsidRDefault="00D02371" w:rsidP="00D02371">
            <w:pPr>
              <w:rPr>
                <w:sz w:val="22"/>
                <w:szCs w:val="22"/>
              </w:rPr>
            </w:pPr>
            <w:r w:rsidRPr="00D02371">
              <w:rPr>
                <w:sz w:val="22"/>
                <w:szCs w:val="22"/>
              </w:rPr>
              <w:t>log return</w:t>
            </w:r>
          </w:p>
        </w:tc>
      </w:tr>
      <w:tr w:rsidR="00D02371" w:rsidRPr="00D02371" w14:paraId="0519925B" w14:textId="77777777">
        <w:trPr>
          <w:tblCellSpacing w:w="15" w:type="dxa"/>
        </w:trPr>
        <w:tc>
          <w:tcPr>
            <w:tcW w:w="0" w:type="auto"/>
            <w:vAlign w:val="center"/>
            <w:hideMark/>
          </w:tcPr>
          <w:p w14:paraId="21D6855A" w14:textId="77777777" w:rsidR="00D02371" w:rsidRPr="00D02371" w:rsidRDefault="00D02371" w:rsidP="00D02371">
            <w:pPr>
              <w:rPr>
                <w:sz w:val="22"/>
                <w:szCs w:val="22"/>
              </w:rPr>
            </w:pPr>
            <w:proofErr w:type="spellStart"/>
            <w:r w:rsidRPr="00D02371">
              <w:rPr>
                <w:sz w:val="22"/>
                <w:szCs w:val="22"/>
              </w:rPr>
              <w:t>σ_t</w:t>
            </w:r>
            <w:proofErr w:type="spellEnd"/>
          </w:p>
        </w:tc>
        <w:tc>
          <w:tcPr>
            <w:tcW w:w="0" w:type="auto"/>
            <w:vAlign w:val="center"/>
            <w:hideMark/>
          </w:tcPr>
          <w:p w14:paraId="3DC68CEF" w14:textId="77777777" w:rsidR="00D02371" w:rsidRPr="00D02371" w:rsidRDefault="00D02371" w:rsidP="00D02371">
            <w:pPr>
              <w:rPr>
                <w:sz w:val="22"/>
                <w:szCs w:val="22"/>
              </w:rPr>
            </w:pPr>
            <w:r w:rsidRPr="00D02371">
              <w:rPr>
                <w:sz w:val="22"/>
                <w:szCs w:val="22"/>
              </w:rPr>
              <w:t>conditional volatility</w:t>
            </w:r>
          </w:p>
        </w:tc>
      </w:tr>
      <w:tr w:rsidR="00D02371" w:rsidRPr="00D02371" w14:paraId="59808C8D" w14:textId="77777777">
        <w:trPr>
          <w:tblCellSpacing w:w="15" w:type="dxa"/>
        </w:trPr>
        <w:tc>
          <w:tcPr>
            <w:tcW w:w="0" w:type="auto"/>
            <w:vAlign w:val="center"/>
            <w:hideMark/>
          </w:tcPr>
          <w:p w14:paraId="41106541" w14:textId="77777777" w:rsidR="00D02371" w:rsidRPr="00D02371" w:rsidRDefault="00D02371" w:rsidP="00D02371">
            <w:pPr>
              <w:rPr>
                <w:sz w:val="22"/>
                <w:szCs w:val="22"/>
              </w:rPr>
            </w:pPr>
            <w:r w:rsidRPr="00D02371">
              <w:rPr>
                <w:sz w:val="22"/>
                <w:szCs w:val="22"/>
              </w:rPr>
              <w:t>ν</w:t>
            </w:r>
          </w:p>
        </w:tc>
        <w:tc>
          <w:tcPr>
            <w:tcW w:w="0" w:type="auto"/>
            <w:vAlign w:val="center"/>
            <w:hideMark/>
          </w:tcPr>
          <w:p w14:paraId="2D09514C" w14:textId="77777777" w:rsidR="00D02371" w:rsidRPr="00D02371" w:rsidRDefault="00D02371" w:rsidP="00D02371">
            <w:pPr>
              <w:rPr>
                <w:sz w:val="22"/>
                <w:szCs w:val="22"/>
              </w:rPr>
            </w:pPr>
            <w:r w:rsidRPr="00D02371">
              <w:rPr>
                <w:sz w:val="22"/>
                <w:szCs w:val="22"/>
              </w:rPr>
              <w:t>degrees of freedom</w:t>
            </w:r>
          </w:p>
        </w:tc>
      </w:tr>
      <w:tr w:rsidR="00D02371" w:rsidRPr="00D02371" w14:paraId="57B266F1" w14:textId="77777777">
        <w:trPr>
          <w:tblCellSpacing w:w="15" w:type="dxa"/>
        </w:trPr>
        <w:tc>
          <w:tcPr>
            <w:tcW w:w="0" w:type="auto"/>
            <w:vAlign w:val="center"/>
            <w:hideMark/>
          </w:tcPr>
          <w:p w14:paraId="339CE30D" w14:textId="77777777" w:rsidR="00D02371" w:rsidRPr="00D02371" w:rsidRDefault="00D02371" w:rsidP="00D02371">
            <w:pPr>
              <w:rPr>
                <w:sz w:val="22"/>
                <w:szCs w:val="22"/>
              </w:rPr>
            </w:pPr>
            <w:r w:rsidRPr="00D02371">
              <w:rPr>
                <w:sz w:val="22"/>
                <w:szCs w:val="22"/>
              </w:rPr>
              <w:t>ξ</w:t>
            </w:r>
          </w:p>
        </w:tc>
        <w:tc>
          <w:tcPr>
            <w:tcW w:w="0" w:type="auto"/>
            <w:vAlign w:val="center"/>
            <w:hideMark/>
          </w:tcPr>
          <w:p w14:paraId="24BF3DCB" w14:textId="77777777" w:rsidR="00D02371" w:rsidRPr="00D02371" w:rsidRDefault="00D02371" w:rsidP="00D02371">
            <w:pPr>
              <w:rPr>
                <w:sz w:val="22"/>
                <w:szCs w:val="22"/>
              </w:rPr>
            </w:pPr>
            <w:r w:rsidRPr="00D02371">
              <w:rPr>
                <w:sz w:val="22"/>
                <w:szCs w:val="22"/>
              </w:rPr>
              <w:t>GPD tail index</w:t>
            </w:r>
          </w:p>
        </w:tc>
      </w:tr>
      <w:tr w:rsidR="00D02371" w:rsidRPr="00D02371" w14:paraId="50489FEC" w14:textId="77777777">
        <w:trPr>
          <w:tblCellSpacing w:w="15" w:type="dxa"/>
        </w:trPr>
        <w:tc>
          <w:tcPr>
            <w:tcW w:w="0" w:type="auto"/>
            <w:vAlign w:val="center"/>
            <w:hideMark/>
          </w:tcPr>
          <w:p w14:paraId="72240F5A" w14:textId="77777777" w:rsidR="00D02371" w:rsidRPr="00D02371" w:rsidRDefault="00D02371" w:rsidP="00D02371">
            <w:pPr>
              <w:rPr>
                <w:sz w:val="22"/>
                <w:szCs w:val="22"/>
              </w:rPr>
            </w:pPr>
            <w:proofErr w:type="spellStart"/>
            <w:r w:rsidRPr="00D02371">
              <w:rPr>
                <w:sz w:val="22"/>
                <w:szCs w:val="22"/>
              </w:rPr>
              <w:t>p_t</w:t>
            </w:r>
            <w:proofErr w:type="spellEnd"/>
          </w:p>
        </w:tc>
        <w:tc>
          <w:tcPr>
            <w:tcW w:w="0" w:type="auto"/>
            <w:vAlign w:val="center"/>
            <w:hideMark/>
          </w:tcPr>
          <w:p w14:paraId="6C6DEDCC" w14:textId="77777777" w:rsidR="00D02371" w:rsidRPr="00D02371" w:rsidRDefault="00D02371" w:rsidP="00D02371">
            <w:pPr>
              <w:rPr>
                <w:sz w:val="22"/>
                <w:szCs w:val="22"/>
              </w:rPr>
            </w:pPr>
            <w:r w:rsidRPr="00D02371">
              <w:rPr>
                <w:sz w:val="22"/>
                <w:szCs w:val="22"/>
              </w:rPr>
              <w:t>filtered high-state probability</w:t>
            </w:r>
          </w:p>
        </w:tc>
      </w:tr>
    </w:tbl>
    <w:p w14:paraId="35906EF6" w14:textId="77777777" w:rsidR="00D02371" w:rsidRPr="000F283B" w:rsidRDefault="00D02371" w:rsidP="005240B0">
      <w:pPr>
        <w:spacing w:before="100" w:beforeAutospacing="1" w:after="100" w:afterAutospacing="1"/>
        <w:jc w:val="both"/>
        <w:rPr>
          <w:color w:val="000000" w:themeColor="text1"/>
          <w:sz w:val="22"/>
          <w:szCs w:val="22"/>
        </w:rPr>
      </w:pPr>
    </w:p>
    <w:p w14:paraId="30CD4745" w14:textId="322FB384" w:rsidR="008236B0" w:rsidRPr="000F283B" w:rsidRDefault="008236B0" w:rsidP="008236B0">
      <w:pPr>
        <w:spacing w:before="100" w:beforeAutospacing="1" w:after="100" w:afterAutospacing="1"/>
        <w:outlineLvl w:val="0"/>
        <w:rPr>
          <w:b/>
          <w:bCs/>
          <w:color w:val="000000" w:themeColor="text1"/>
          <w:kern w:val="36"/>
          <w:sz w:val="22"/>
          <w:szCs w:val="22"/>
        </w:rPr>
      </w:pPr>
      <w:r w:rsidRPr="000F283B">
        <w:rPr>
          <w:b/>
          <w:bCs/>
          <w:color w:val="000000" w:themeColor="text1"/>
          <w:kern w:val="36"/>
          <w:sz w:val="22"/>
          <w:szCs w:val="22"/>
        </w:rPr>
        <w:t>3. Methods</w:t>
      </w:r>
    </w:p>
    <w:p w14:paraId="4E33F23D" w14:textId="77777777" w:rsidR="008236B0" w:rsidRPr="000F283B" w:rsidRDefault="008236B0" w:rsidP="008236B0">
      <w:pPr>
        <w:spacing w:before="100" w:beforeAutospacing="1" w:after="100" w:afterAutospacing="1"/>
        <w:outlineLvl w:val="1"/>
        <w:rPr>
          <w:b/>
          <w:bCs/>
          <w:color w:val="000000" w:themeColor="text1"/>
          <w:sz w:val="22"/>
          <w:szCs w:val="22"/>
        </w:rPr>
      </w:pPr>
      <w:r w:rsidRPr="000F283B">
        <w:rPr>
          <w:b/>
          <w:bCs/>
          <w:color w:val="000000" w:themeColor="text1"/>
          <w:sz w:val="22"/>
          <w:szCs w:val="22"/>
        </w:rPr>
        <w:t xml:space="preserve">3.1 Baseline Risk Model and </w:t>
      </w:r>
      <w:proofErr w:type="spellStart"/>
      <w:r w:rsidRPr="000F283B">
        <w:rPr>
          <w:b/>
          <w:bCs/>
          <w:color w:val="000000" w:themeColor="text1"/>
          <w:sz w:val="22"/>
          <w:szCs w:val="22"/>
        </w:rPr>
        <w:t>Backtesting</w:t>
      </w:r>
      <w:proofErr w:type="spellEnd"/>
      <w:r w:rsidRPr="000F283B">
        <w:rPr>
          <w:b/>
          <w:bCs/>
          <w:color w:val="000000" w:themeColor="text1"/>
          <w:sz w:val="22"/>
          <w:szCs w:val="22"/>
        </w:rPr>
        <w:t xml:space="preserve"> Framework</w:t>
      </w:r>
    </w:p>
    <w:p w14:paraId="39E0F5A3" w14:textId="77777777" w:rsidR="008236B0" w:rsidRPr="000F283B" w:rsidRDefault="008236B0" w:rsidP="008236B0">
      <w:pPr>
        <w:spacing w:before="100" w:beforeAutospacing="1" w:after="100" w:afterAutospacing="1"/>
        <w:outlineLvl w:val="2"/>
        <w:rPr>
          <w:b/>
          <w:bCs/>
          <w:color w:val="000000" w:themeColor="text1"/>
          <w:sz w:val="22"/>
          <w:szCs w:val="22"/>
        </w:rPr>
      </w:pPr>
      <w:r w:rsidRPr="000F283B">
        <w:rPr>
          <w:b/>
          <w:bCs/>
          <w:color w:val="000000" w:themeColor="text1"/>
          <w:sz w:val="22"/>
          <w:szCs w:val="22"/>
        </w:rPr>
        <w:t>Rolling Student-t GARCH</w:t>
      </w:r>
    </w:p>
    <w:p w14:paraId="063C4223" w14:textId="31A5B106" w:rsidR="008236B0" w:rsidRPr="000F283B" w:rsidRDefault="002D43D2" w:rsidP="008236B0">
      <w:pPr>
        <w:spacing w:before="100" w:beforeAutospacing="1" w:after="100" w:afterAutospacing="1"/>
        <w:rPr>
          <w:color w:val="000000" w:themeColor="text1"/>
          <w:sz w:val="22"/>
          <w:szCs w:val="22"/>
        </w:rPr>
      </w:pPr>
      <w:r w:rsidRPr="000F283B">
        <w:rPr>
          <w:sz w:val="22"/>
          <w:szCs w:val="22"/>
        </w:rPr>
        <w:t>The baseline model follows the GARCH framework of Engle (1982) and Bollerslev (1986), extended to Student-t innovations as in Bollerslev (1987).</w:t>
      </w:r>
      <w:r w:rsidR="008236B0" w:rsidRPr="000F283B">
        <w:rPr>
          <w:color w:val="000000" w:themeColor="text1"/>
          <w:sz w:val="22"/>
          <w:szCs w:val="22"/>
        </w:rPr>
        <w:br/>
        <w:t xml:space="preserve">At each time </w:t>
      </w:r>
      <m:oMath>
        <m:r>
          <w:rPr>
            <w:rFonts w:ascii="Cambria Math" w:hAnsi="Cambria Math"/>
            <w:color w:val="000000" w:themeColor="text1"/>
            <w:sz w:val="22"/>
            <w:szCs w:val="22"/>
          </w:rPr>
          <m:t>t</m:t>
        </m:r>
      </m:oMath>
      <w:r w:rsidR="008236B0" w:rsidRPr="000F283B">
        <w:rPr>
          <w:color w:val="000000" w:themeColor="text1"/>
          <w:sz w:val="22"/>
          <w:szCs w:val="22"/>
        </w:rPr>
        <w:t>, parameters are estimated using a fixed rolling window of past returns. The model produces:</w:t>
      </w:r>
    </w:p>
    <w:p w14:paraId="50C1FCF9" w14:textId="77777777" w:rsidR="008236B0" w:rsidRPr="000F283B" w:rsidRDefault="008236B0" w:rsidP="008236B0">
      <w:pPr>
        <w:numPr>
          <w:ilvl w:val="0"/>
          <w:numId w:val="13"/>
        </w:numPr>
        <w:spacing w:before="100" w:beforeAutospacing="1" w:after="100" w:afterAutospacing="1"/>
        <w:rPr>
          <w:color w:val="000000" w:themeColor="text1"/>
          <w:sz w:val="22"/>
          <w:szCs w:val="22"/>
        </w:rPr>
      </w:pPr>
      <w:r w:rsidRPr="000F283B">
        <w:rPr>
          <w:color w:val="000000" w:themeColor="text1"/>
          <w:sz w:val="22"/>
          <w:szCs w:val="22"/>
        </w:rPr>
        <w:t xml:space="preserve">Conditional mean </w:t>
      </w:r>
      <m:oMath>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μ</m:t>
                </m:r>
              </m:e>
            </m:acc>
          </m:e>
          <m:sub>
            <m:r>
              <w:rPr>
                <w:rFonts w:ascii="Cambria Math" w:hAnsi="Cambria Math"/>
                <w:color w:val="000000" w:themeColor="text1"/>
                <w:sz w:val="22"/>
                <w:szCs w:val="22"/>
              </w:rPr>
              <m:t>t+1</m:t>
            </m:r>
            <m:r>
              <m:rPr>
                <m:sty m:val="p"/>
              </m:rPr>
              <w:rPr>
                <w:rFonts w:ascii="Cambria Math" w:hAnsi="Cambria Math"/>
                <w:color w:val="000000" w:themeColor="text1"/>
                <w:sz w:val="22"/>
                <w:szCs w:val="22"/>
              </w:rPr>
              <m:t>∣</m:t>
            </m:r>
            <m:r>
              <w:rPr>
                <w:rFonts w:ascii="Cambria Math" w:hAnsi="Cambria Math"/>
                <w:color w:val="000000" w:themeColor="text1"/>
                <w:sz w:val="22"/>
                <w:szCs w:val="22"/>
              </w:rPr>
              <m:t>t</m:t>
            </m:r>
          </m:sub>
        </m:sSub>
      </m:oMath>
    </w:p>
    <w:p w14:paraId="3D12C881" w14:textId="77777777" w:rsidR="008236B0" w:rsidRPr="000F283B" w:rsidRDefault="008236B0" w:rsidP="008236B0">
      <w:pPr>
        <w:numPr>
          <w:ilvl w:val="0"/>
          <w:numId w:val="13"/>
        </w:numPr>
        <w:spacing w:before="100" w:beforeAutospacing="1" w:after="100" w:afterAutospacing="1"/>
        <w:rPr>
          <w:color w:val="000000" w:themeColor="text1"/>
          <w:sz w:val="22"/>
          <w:szCs w:val="22"/>
        </w:rPr>
      </w:pPr>
      <w:r w:rsidRPr="000F283B">
        <w:rPr>
          <w:color w:val="000000" w:themeColor="text1"/>
          <w:sz w:val="22"/>
          <w:szCs w:val="22"/>
        </w:rPr>
        <w:t xml:space="preserve">Conditional volatility </w:t>
      </w:r>
      <m:oMath>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σ</m:t>
                </m:r>
              </m:e>
            </m:acc>
          </m:e>
          <m:sub>
            <m:r>
              <w:rPr>
                <w:rFonts w:ascii="Cambria Math" w:hAnsi="Cambria Math"/>
                <w:color w:val="000000" w:themeColor="text1"/>
                <w:sz w:val="22"/>
                <w:szCs w:val="22"/>
              </w:rPr>
              <m:t>t+1</m:t>
            </m:r>
            <m:r>
              <m:rPr>
                <m:sty m:val="p"/>
              </m:rPr>
              <w:rPr>
                <w:rFonts w:ascii="Cambria Math" w:hAnsi="Cambria Math"/>
                <w:color w:val="000000" w:themeColor="text1"/>
                <w:sz w:val="22"/>
                <w:szCs w:val="22"/>
              </w:rPr>
              <m:t>∣</m:t>
            </m:r>
            <m:r>
              <w:rPr>
                <w:rFonts w:ascii="Cambria Math" w:hAnsi="Cambria Math"/>
                <w:color w:val="000000" w:themeColor="text1"/>
                <w:sz w:val="22"/>
                <w:szCs w:val="22"/>
              </w:rPr>
              <m:t>t</m:t>
            </m:r>
          </m:sub>
        </m:sSub>
      </m:oMath>
    </w:p>
    <w:p w14:paraId="14A2D3DC" w14:textId="77777777" w:rsidR="008236B0" w:rsidRPr="000F283B" w:rsidRDefault="008236B0" w:rsidP="008236B0">
      <w:pPr>
        <w:numPr>
          <w:ilvl w:val="0"/>
          <w:numId w:val="13"/>
        </w:numPr>
        <w:spacing w:before="100" w:beforeAutospacing="1" w:after="100" w:afterAutospacing="1"/>
        <w:rPr>
          <w:color w:val="000000" w:themeColor="text1"/>
          <w:sz w:val="22"/>
          <w:szCs w:val="22"/>
        </w:rPr>
      </w:pPr>
      <w:r w:rsidRPr="000F283B">
        <w:rPr>
          <w:color w:val="000000" w:themeColor="text1"/>
          <w:sz w:val="22"/>
          <w:szCs w:val="22"/>
        </w:rPr>
        <w:t xml:space="preserve">Degrees of freedom parameter </w:t>
      </w:r>
      <m:oMath>
        <m:r>
          <w:rPr>
            <w:rFonts w:ascii="Cambria Math" w:hAnsi="Cambria Math"/>
            <w:color w:val="000000" w:themeColor="text1"/>
            <w:sz w:val="22"/>
            <w:szCs w:val="22"/>
          </w:rPr>
          <m:t>ν</m:t>
        </m:r>
      </m:oMath>
    </w:p>
    <w:p w14:paraId="45A64DFA" w14:textId="77777777" w:rsidR="008236B0" w:rsidRPr="000F283B" w:rsidRDefault="008236B0" w:rsidP="008236B0">
      <w:pPr>
        <w:spacing w:before="100" w:beforeAutospacing="1" w:after="100" w:afterAutospacing="1"/>
        <w:rPr>
          <w:color w:val="000000" w:themeColor="text1"/>
          <w:sz w:val="22"/>
          <w:szCs w:val="22"/>
        </w:rPr>
      </w:pPr>
      <w:r w:rsidRPr="000F283B">
        <w:rPr>
          <w:color w:val="000000" w:themeColor="text1"/>
          <w:sz w:val="22"/>
          <w:szCs w:val="22"/>
        </w:rPr>
        <w:t xml:space="preserve">One-step-ahead </w:t>
      </w:r>
      <w:proofErr w:type="spellStart"/>
      <w:r w:rsidRPr="000F283B">
        <w:rPr>
          <w:color w:val="000000" w:themeColor="text1"/>
          <w:sz w:val="22"/>
          <w:szCs w:val="22"/>
        </w:rPr>
        <w:t>VaR</w:t>
      </w:r>
      <w:proofErr w:type="spellEnd"/>
      <w:r w:rsidRPr="000F283B">
        <w:rPr>
          <w:color w:val="000000" w:themeColor="text1"/>
          <w:sz w:val="22"/>
          <w:szCs w:val="22"/>
        </w:rPr>
        <w:t xml:space="preserve"> at level </w:t>
      </w:r>
      <m:oMath>
        <m:r>
          <w:rPr>
            <w:rFonts w:ascii="Cambria Math" w:hAnsi="Cambria Math"/>
            <w:color w:val="000000" w:themeColor="text1"/>
            <w:sz w:val="22"/>
            <w:szCs w:val="22"/>
          </w:rPr>
          <m:t>α</m:t>
        </m:r>
      </m:oMath>
      <w:r w:rsidRPr="000F283B">
        <w:rPr>
          <w:color w:val="000000" w:themeColor="text1"/>
          <w:sz w:val="22"/>
          <w:szCs w:val="22"/>
        </w:rPr>
        <w:t>is computed as:</w:t>
      </w:r>
    </w:p>
    <w:p w14:paraId="058A527E" w14:textId="77777777" w:rsidR="005240B0" w:rsidRPr="000F283B" w:rsidRDefault="00000000" w:rsidP="005240B0">
      <w:pPr>
        <w:rPr>
          <w:color w:val="000000" w:themeColor="text1"/>
          <w:sz w:val="22"/>
          <w:szCs w:val="22"/>
        </w:rPr>
      </w:pPr>
      <m:oMathPara>
        <m:oMath>
          <m:sSub>
            <m:sSubPr>
              <m:ctrlPr>
                <w:rPr>
                  <w:rFonts w:ascii="Cambria Math" w:hAnsi="Cambria Math"/>
                  <w:color w:val="000000" w:themeColor="text1"/>
                  <w:sz w:val="22"/>
                  <w:szCs w:val="22"/>
                </w:rPr>
              </m:ctrlPr>
            </m:sSubPr>
            <m:e>
              <w:proofErr w:type="spellStart"/>
              <m:r>
                <m:rPr>
                  <m:nor/>
                </m:rPr>
                <w:rPr>
                  <w:color w:val="000000" w:themeColor="text1"/>
                  <w:sz w:val="22"/>
                  <w:szCs w:val="22"/>
                </w:rPr>
                <m:t>VaR</m:t>
              </m:r>
              <w:proofErr w:type="spellEnd"/>
            </m:e>
            <m:sub>
              <m:r>
                <w:rPr>
                  <w:rFonts w:ascii="Cambria Math" w:hAnsi="Cambria Math"/>
                  <w:color w:val="000000" w:themeColor="text1"/>
                  <w:sz w:val="22"/>
                  <w:szCs w:val="22"/>
                </w:rPr>
                <m:t>α,t+1</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μ</m:t>
                  </m:r>
                </m:e>
              </m:acc>
            </m:e>
            <m:sub>
              <m:r>
                <w:rPr>
                  <w:rFonts w:ascii="Cambria Math" w:hAnsi="Cambria Math"/>
                  <w:color w:val="000000" w:themeColor="text1"/>
                  <w:sz w:val="22"/>
                  <w:szCs w:val="22"/>
                </w:rPr>
                <m:t>t+1</m:t>
              </m:r>
              <m:r>
                <m:rPr>
                  <m:sty m:val="p"/>
                </m:rPr>
                <w:rPr>
                  <w:rFonts w:ascii="Cambria Math" w:hAnsi="Cambria Math"/>
                  <w:color w:val="000000" w:themeColor="text1"/>
                  <w:sz w:val="22"/>
                  <w:szCs w:val="22"/>
                </w:rPr>
                <m:t>∣</m:t>
              </m:r>
              <m:r>
                <w:rPr>
                  <w:rFonts w:ascii="Cambria Math" w:hAnsi="Cambria Math"/>
                  <w:color w:val="000000" w:themeColor="text1"/>
                  <w:sz w:val="22"/>
                  <w:szCs w:val="22"/>
                </w:rPr>
                <m:t>t</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σ</m:t>
                  </m:r>
                </m:e>
              </m:acc>
            </m:e>
            <m:sub>
              <m:r>
                <w:rPr>
                  <w:rFonts w:ascii="Cambria Math" w:hAnsi="Cambria Math"/>
                  <w:color w:val="000000" w:themeColor="text1"/>
                  <w:sz w:val="22"/>
                  <w:szCs w:val="22"/>
                </w:rPr>
                <m:t>t+1</m:t>
              </m:r>
              <m:r>
                <m:rPr>
                  <m:sty m:val="p"/>
                </m:rPr>
                <w:rPr>
                  <w:rFonts w:ascii="Cambria Math" w:hAnsi="Cambria Math"/>
                  <w:color w:val="000000" w:themeColor="text1"/>
                  <w:sz w:val="22"/>
                  <w:szCs w:val="22"/>
                </w:rPr>
                <m:t>∣</m:t>
              </m:r>
              <m:r>
                <w:rPr>
                  <w:rFonts w:ascii="Cambria Math" w:hAnsi="Cambria Math"/>
                  <w:color w:val="000000" w:themeColor="text1"/>
                  <w:sz w:val="22"/>
                  <w:szCs w:val="22"/>
                </w:rPr>
                <m:t>t</m:t>
              </m:r>
            </m:sub>
          </m:sSub>
          <m:r>
            <m:rPr>
              <m:nor/>
            </m:rPr>
            <w:rPr>
              <w:color w:val="000000" w:themeColor="text1"/>
              <w:sz w:val="22"/>
              <w:szCs w:val="22"/>
            </w:rPr>
            <m:t> </m:t>
          </m:r>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q</m:t>
              </m:r>
            </m:e>
            <m:sub>
              <m:r>
                <w:rPr>
                  <w:rFonts w:ascii="Cambria Math" w:hAnsi="Cambria Math"/>
                  <w:color w:val="000000" w:themeColor="text1"/>
                  <w:sz w:val="22"/>
                  <w:szCs w:val="22"/>
                </w:rPr>
                <m:t>α</m:t>
              </m:r>
            </m:sub>
            <m:sup>
              <m:d>
                <m:dPr>
                  <m:ctrlPr>
                    <w:rPr>
                      <w:rFonts w:ascii="Cambria Math" w:hAnsi="Cambria Math"/>
                      <w:color w:val="000000" w:themeColor="text1"/>
                      <w:sz w:val="22"/>
                      <w:szCs w:val="22"/>
                    </w:rPr>
                  </m:ctrlPr>
                </m:dPr>
                <m:e>
                  <m:sSub>
                    <m:sSubPr>
                      <m:ctrlPr>
                        <w:rPr>
                          <w:rFonts w:ascii="Cambria Math" w:hAnsi="Cambria Math"/>
                          <w:color w:val="000000" w:themeColor="text1"/>
                          <w:sz w:val="22"/>
                          <w:szCs w:val="22"/>
                        </w:rPr>
                      </m:ctrlPr>
                    </m:sSubPr>
                    <m:e>
                      <m:r>
                        <w:rPr>
                          <w:rFonts w:ascii="Cambria Math" w:hAnsi="Cambria Math"/>
                          <w:color w:val="000000" w:themeColor="text1"/>
                          <w:sz w:val="22"/>
                          <w:szCs w:val="22"/>
                        </w:rPr>
                        <m:t>t</m:t>
                      </m:r>
                    </m:e>
                    <m:sub>
                      <m:r>
                        <w:rPr>
                          <w:rFonts w:ascii="Cambria Math" w:hAnsi="Cambria Math"/>
                          <w:color w:val="000000" w:themeColor="text1"/>
                          <w:sz w:val="22"/>
                          <w:szCs w:val="22"/>
                        </w:rPr>
                        <m:t>ν</m:t>
                      </m:r>
                    </m:sub>
                  </m:sSub>
                </m:e>
              </m:d>
            </m:sup>
          </m:sSubSup>
          <m:r>
            <m:rPr>
              <m:sty m:val="p"/>
            </m:rPr>
            <w:rPr>
              <w:rFonts w:ascii="Cambria Math" w:hAnsi="Cambria Math"/>
              <w:color w:val="000000" w:themeColor="text1"/>
              <w:sz w:val="22"/>
              <w:szCs w:val="22"/>
            </w:rPr>
            <w:br/>
          </m:r>
        </m:oMath>
      </m:oMathPara>
    </w:p>
    <w:p w14:paraId="5E202569" w14:textId="116FB548" w:rsidR="008236B0" w:rsidRPr="000F283B" w:rsidRDefault="008236B0" w:rsidP="005240B0">
      <w:pPr>
        <w:rPr>
          <w:color w:val="000000" w:themeColor="text1"/>
          <w:sz w:val="22"/>
          <w:szCs w:val="22"/>
        </w:rPr>
      </w:pPr>
      <w:r w:rsidRPr="000F283B">
        <w:rPr>
          <w:color w:val="000000" w:themeColor="text1"/>
          <w:sz w:val="22"/>
          <w:szCs w:val="22"/>
        </w:rPr>
        <w:t xml:space="preserve">where </w:t>
      </w:r>
      <m:oMath>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q</m:t>
            </m:r>
          </m:e>
          <m:sub>
            <m:r>
              <w:rPr>
                <w:rFonts w:ascii="Cambria Math" w:hAnsi="Cambria Math"/>
                <w:color w:val="000000" w:themeColor="text1"/>
                <w:sz w:val="22"/>
                <w:szCs w:val="22"/>
              </w:rPr>
              <m:t>α</m:t>
            </m:r>
          </m:sub>
          <m:sup>
            <m:d>
              <m:dPr>
                <m:ctrlPr>
                  <w:rPr>
                    <w:rFonts w:ascii="Cambria Math" w:hAnsi="Cambria Math"/>
                    <w:color w:val="000000" w:themeColor="text1"/>
                    <w:sz w:val="22"/>
                    <w:szCs w:val="22"/>
                  </w:rPr>
                </m:ctrlPr>
              </m:dPr>
              <m:e>
                <m:sSub>
                  <m:sSubPr>
                    <m:ctrlPr>
                      <w:rPr>
                        <w:rFonts w:ascii="Cambria Math" w:hAnsi="Cambria Math"/>
                        <w:color w:val="000000" w:themeColor="text1"/>
                        <w:sz w:val="22"/>
                        <w:szCs w:val="22"/>
                      </w:rPr>
                    </m:ctrlPr>
                  </m:sSubPr>
                  <m:e>
                    <m:r>
                      <w:rPr>
                        <w:rFonts w:ascii="Cambria Math" w:hAnsi="Cambria Math"/>
                        <w:color w:val="000000" w:themeColor="text1"/>
                        <w:sz w:val="22"/>
                        <w:szCs w:val="22"/>
                      </w:rPr>
                      <m:t>t</m:t>
                    </m:r>
                  </m:e>
                  <m:sub>
                    <m:r>
                      <w:rPr>
                        <w:rFonts w:ascii="Cambria Math" w:hAnsi="Cambria Math"/>
                        <w:color w:val="000000" w:themeColor="text1"/>
                        <w:sz w:val="22"/>
                        <w:szCs w:val="22"/>
                      </w:rPr>
                      <m:t>ν</m:t>
                    </m:r>
                  </m:sub>
                </m:sSub>
              </m:e>
            </m:d>
          </m:sup>
        </m:sSubSup>
      </m:oMath>
      <w:r w:rsidRPr="000F283B">
        <w:rPr>
          <w:color w:val="000000" w:themeColor="text1"/>
          <w:sz w:val="22"/>
          <w:szCs w:val="22"/>
        </w:rPr>
        <w:t>is the α-quantile of the Student-t distribution.</w:t>
      </w:r>
    </w:p>
    <w:p w14:paraId="70F2FB33" w14:textId="42D37498" w:rsidR="008236B0" w:rsidRPr="000F283B" w:rsidRDefault="008236B0" w:rsidP="008236B0">
      <w:pPr>
        <w:spacing w:before="100" w:beforeAutospacing="1" w:after="100" w:afterAutospacing="1"/>
        <w:rPr>
          <w:color w:val="000000" w:themeColor="text1"/>
          <w:sz w:val="22"/>
          <w:szCs w:val="22"/>
        </w:rPr>
      </w:pPr>
      <w:r w:rsidRPr="000F283B">
        <w:rPr>
          <w:color w:val="000000" w:themeColor="text1"/>
          <w:sz w:val="22"/>
          <w:szCs w:val="22"/>
        </w:rPr>
        <w:t xml:space="preserve">Out-of-sample (OOS) evaluation is conducted on 5,008 aligned trading days. All competing </w:t>
      </w:r>
      <w:proofErr w:type="spellStart"/>
      <w:r w:rsidRPr="000F283B">
        <w:rPr>
          <w:color w:val="000000" w:themeColor="text1"/>
          <w:sz w:val="22"/>
          <w:szCs w:val="22"/>
        </w:rPr>
        <w:t>VaR</w:t>
      </w:r>
      <w:proofErr w:type="spellEnd"/>
      <w:r w:rsidRPr="000F283B">
        <w:rPr>
          <w:color w:val="000000" w:themeColor="text1"/>
          <w:sz w:val="22"/>
          <w:szCs w:val="22"/>
        </w:rPr>
        <w:t xml:space="preserve"> series are fully aligned with no missing forecast dates.</w:t>
      </w:r>
    </w:p>
    <w:p w14:paraId="349BB9F5" w14:textId="77777777" w:rsidR="008236B0" w:rsidRPr="000F283B" w:rsidRDefault="008236B0" w:rsidP="008236B0">
      <w:pPr>
        <w:spacing w:before="100" w:beforeAutospacing="1" w:after="100" w:afterAutospacing="1"/>
        <w:outlineLvl w:val="2"/>
        <w:rPr>
          <w:b/>
          <w:bCs/>
          <w:color w:val="000000" w:themeColor="text1"/>
          <w:sz w:val="22"/>
          <w:szCs w:val="22"/>
        </w:rPr>
      </w:pPr>
      <w:proofErr w:type="spellStart"/>
      <w:r w:rsidRPr="000F283B">
        <w:rPr>
          <w:b/>
          <w:bCs/>
          <w:color w:val="000000" w:themeColor="text1"/>
          <w:sz w:val="22"/>
          <w:szCs w:val="22"/>
        </w:rPr>
        <w:lastRenderedPageBreak/>
        <w:t>Backtesting</w:t>
      </w:r>
      <w:proofErr w:type="spellEnd"/>
      <w:r w:rsidRPr="000F283B">
        <w:rPr>
          <w:b/>
          <w:bCs/>
          <w:color w:val="000000" w:themeColor="text1"/>
          <w:sz w:val="22"/>
          <w:szCs w:val="22"/>
        </w:rPr>
        <w:t xml:space="preserve"> Statistics</w:t>
      </w:r>
    </w:p>
    <w:p w14:paraId="5539AB2B" w14:textId="77777777" w:rsidR="008236B0" w:rsidRPr="000F283B" w:rsidRDefault="008236B0" w:rsidP="008236B0">
      <w:pPr>
        <w:spacing w:before="100" w:beforeAutospacing="1" w:after="100" w:afterAutospacing="1"/>
        <w:rPr>
          <w:color w:val="000000" w:themeColor="text1"/>
          <w:sz w:val="22"/>
          <w:szCs w:val="22"/>
        </w:rPr>
      </w:pPr>
      <w:proofErr w:type="spellStart"/>
      <w:r w:rsidRPr="000F283B">
        <w:rPr>
          <w:color w:val="000000" w:themeColor="text1"/>
          <w:sz w:val="22"/>
          <w:szCs w:val="22"/>
        </w:rPr>
        <w:t>VaR</w:t>
      </w:r>
      <w:proofErr w:type="spellEnd"/>
      <w:r w:rsidRPr="000F283B">
        <w:rPr>
          <w:color w:val="000000" w:themeColor="text1"/>
          <w:sz w:val="22"/>
          <w:szCs w:val="22"/>
        </w:rPr>
        <w:t xml:space="preserve"> calibration is evaluated using:</w:t>
      </w:r>
    </w:p>
    <w:p w14:paraId="20686F2F" w14:textId="2E2E07E9" w:rsidR="008236B0" w:rsidRPr="000F283B" w:rsidRDefault="008236B0" w:rsidP="008236B0">
      <w:pPr>
        <w:spacing w:before="100" w:beforeAutospacing="1" w:after="100" w:afterAutospacing="1"/>
        <w:rPr>
          <w:color w:val="000000" w:themeColor="text1"/>
          <w:sz w:val="22"/>
          <w:szCs w:val="22"/>
        </w:rPr>
      </w:pPr>
      <w:r w:rsidRPr="000F283B">
        <w:rPr>
          <w:b/>
          <w:bCs/>
          <w:color w:val="000000" w:themeColor="text1"/>
          <w:sz w:val="22"/>
          <w:szCs w:val="22"/>
        </w:rPr>
        <w:t>Kupiec Unconditional Coverage (UC)</w:t>
      </w:r>
      <w:r w:rsidR="00680B92" w:rsidRPr="000F283B">
        <w:rPr>
          <w:b/>
          <w:bCs/>
          <w:color w:val="000000" w:themeColor="text1"/>
          <w:sz w:val="22"/>
          <w:szCs w:val="22"/>
        </w:rPr>
        <w:t xml:space="preserve"> (1995)</w:t>
      </w:r>
      <w:r w:rsidRPr="000F283B">
        <w:rPr>
          <w:b/>
          <w:bCs/>
          <w:color w:val="000000" w:themeColor="text1"/>
          <w:sz w:val="22"/>
          <w:szCs w:val="22"/>
        </w:rPr>
        <w:t>:</w:t>
      </w:r>
    </w:p>
    <w:p w14:paraId="14540A80" w14:textId="77777777" w:rsidR="005240B0" w:rsidRPr="000F283B" w:rsidRDefault="008236B0" w:rsidP="005240B0">
      <w:pPr>
        <w:rPr>
          <w:color w:val="000000" w:themeColor="text1"/>
          <w:sz w:val="22"/>
          <w:szCs w:val="22"/>
        </w:rPr>
      </w:pPr>
      <m:oMathPara>
        <m:oMath>
          <m:r>
            <w:rPr>
              <w:rFonts w:ascii="Cambria Math" w:hAnsi="Cambria Math"/>
              <w:color w:val="000000" w:themeColor="text1"/>
              <w:sz w:val="22"/>
              <w:szCs w:val="22"/>
            </w:rPr>
            <m:t>L</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R</m:t>
              </m:r>
            </m:e>
            <m:sub>
              <m:r>
                <w:rPr>
                  <w:rFonts w:ascii="Cambria Math" w:hAnsi="Cambria Math"/>
                  <w:color w:val="000000" w:themeColor="text1"/>
                  <w:sz w:val="22"/>
                  <w:szCs w:val="22"/>
                </w:rPr>
                <m:t>UC</m:t>
              </m:r>
            </m:sub>
          </m:sSub>
          <m:r>
            <w:rPr>
              <w:rFonts w:ascii="Cambria Math" w:hAnsi="Cambria Math"/>
              <w:color w:val="000000" w:themeColor="text1"/>
              <w:sz w:val="22"/>
              <w:szCs w:val="22"/>
            </w:rPr>
            <m:t>=-2</m:t>
          </m:r>
          <m:r>
            <m:rPr>
              <m:sty m:val="p"/>
            </m:rPr>
            <w:rPr>
              <w:rFonts w:ascii="Cambria Math" w:hAnsi="Cambria Math"/>
              <w:color w:val="000000" w:themeColor="text1"/>
              <w:sz w:val="22"/>
              <w:szCs w:val="22"/>
            </w:rPr>
            <m:t>log</m:t>
          </m:r>
          <m:r>
            <w:rPr>
              <w:rFonts w:ascii="Cambria Math" w:hAnsi="Cambria Math"/>
              <w:color w:val="000000" w:themeColor="text1"/>
              <w:sz w:val="22"/>
              <w:szCs w:val="22"/>
            </w:rPr>
            <m:t>⁡</m:t>
          </m:r>
          <m:f>
            <m:fPr>
              <m:ctrlPr>
                <w:rPr>
                  <w:rFonts w:ascii="Cambria Math" w:hAnsi="Cambria Math"/>
                  <w:color w:val="000000" w:themeColor="text1"/>
                  <w:sz w:val="22"/>
                  <w:szCs w:val="22"/>
                </w:rPr>
              </m:ctrlPr>
            </m:fPr>
            <m:num>
              <m:d>
                <m:dPr>
                  <m:sepChr m:val="−"/>
                  <m:endChr m:val=""/>
                  <m:ctrlPr>
                    <w:rPr>
                      <w:rFonts w:ascii="Cambria Math" w:hAnsi="Cambria Math"/>
                      <w:color w:val="000000" w:themeColor="text1"/>
                      <w:sz w:val="22"/>
                      <w:szCs w:val="22"/>
                    </w:rPr>
                  </m:ctrlPr>
                </m:dPr>
                <m:e>
                  <m:r>
                    <w:rPr>
                      <w:rFonts w:ascii="Cambria Math" w:hAnsi="Cambria Math"/>
                      <w:color w:val="000000" w:themeColor="text1"/>
                      <w:sz w:val="22"/>
                      <w:szCs w:val="22"/>
                    </w:rPr>
                    <m:t>1</m:t>
                  </m:r>
                </m:e>
                <m:e>
                  <m:r>
                    <w:rPr>
                      <w:rFonts w:ascii="Cambria Math" w:hAnsi="Cambria Math"/>
                      <w:color w:val="000000" w:themeColor="text1"/>
                      <w:sz w:val="22"/>
                      <w:szCs w:val="22"/>
                    </w:rPr>
                    <m:t>α</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m:t>
                      </m:r>
                    </m:e>
                    <m:sup>
                      <m:r>
                        <w:rPr>
                          <w:rFonts w:ascii="Cambria Math" w:hAnsi="Cambria Math"/>
                          <w:color w:val="000000" w:themeColor="text1"/>
                          <w:sz w:val="22"/>
                          <w:szCs w:val="22"/>
                        </w:rPr>
                        <m:t>T-N</m:t>
                      </m:r>
                    </m:sup>
                  </m:sSup>
                  <m:sSup>
                    <m:sSupPr>
                      <m:ctrlPr>
                        <w:rPr>
                          <w:rFonts w:ascii="Cambria Math" w:hAnsi="Cambria Math"/>
                          <w:color w:val="000000" w:themeColor="text1"/>
                          <w:sz w:val="22"/>
                          <w:szCs w:val="22"/>
                        </w:rPr>
                      </m:ctrlPr>
                    </m:sSupPr>
                    <m:e>
                      <m:r>
                        <w:rPr>
                          <w:rFonts w:ascii="Cambria Math" w:hAnsi="Cambria Math"/>
                          <w:color w:val="000000" w:themeColor="text1"/>
                          <w:sz w:val="22"/>
                          <w:szCs w:val="22"/>
                        </w:rPr>
                        <m:t>α</m:t>
                      </m:r>
                    </m:e>
                    <m:sup>
                      <m:r>
                        <w:rPr>
                          <w:rFonts w:ascii="Cambria Math" w:hAnsi="Cambria Math"/>
                          <w:color w:val="000000" w:themeColor="text1"/>
                          <w:sz w:val="22"/>
                          <w:szCs w:val="22"/>
                        </w:rPr>
                        <m:t>N</m:t>
                      </m:r>
                    </m:sup>
                  </m:sSup>
                </m:e>
              </m:d>
            </m:num>
            <m:den>
              <m:d>
                <m:dPr>
                  <m:sepChr m:val="−"/>
                  <m:endChr m:val=""/>
                  <m:ctrlPr>
                    <w:rPr>
                      <w:rFonts w:ascii="Cambria Math" w:hAnsi="Cambria Math"/>
                      <w:color w:val="000000" w:themeColor="text1"/>
                      <w:sz w:val="22"/>
                      <w:szCs w:val="22"/>
                    </w:rPr>
                  </m:ctrlPr>
                </m:dPr>
                <m:e>
                  <m:r>
                    <w:rPr>
                      <w:rFonts w:ascii="Cambria Math" w:hAnsi="Cambria Math"/>
                      <w:color w:val="000000" w:themeColor="text1"/>
                      <w:sz w:val="22"/>
                      <w:szCs w:val="22"/>
                    </w:rPr>
                    <m:t>1</m:t>
                  </m:r>
                </m:e>
                <m:e>
                  <m:acc>
                    <m:accPr>
                      <m:ctrlPr>
                        <w:rPr>
                          <w:rFonts w:ascii="Cambria Math" w:hAnsi="Cambria Math"/>
                          <w:color w:val="000000" w:themeColor="text1"/>
                          <w:sz w:val="22"/>
                          <w:szCs w:val="22"/>
                        </w:rPr>
                      </m:ctrlPr>
                    </m:accPr>
                    <m:e>
                      <m:r>
                        <w:rPr>
                          <w:rFonts w:ascii="Cambria Math" w:hAnsi="Cambria Math"/>
                          <w:color w:val="000000" w:themeColor="text1"/>
                          <w:sz w:val="22"/>
                          <w:szCs w:val="22"/>
                        </w:rPr>
                        <m:t>p</m:t>
                      </m:r>
                    </m:e>
                  </m:acc>
                  <m:sSup>
                    <m:sSupPr>
                      <m:ctrlPr>
                        <w:rPr>
                          <w:rFonts w:ascii="Cambria Math" w:hAnsi="Cambria Math"/>
                          <w:color w:val="000000" w:themeColor="text1"/>
                          <w:sz w:val="22"/>
                          <w:szCs w:val="22"/>
                        </w:rPr>
                      </m:ctrlPr>
                    </m:sSupPr>
                    <m:e>
                      <m:r>
                        <w:rPr>
                          <w:rFonts w:ascii="Cambria Math" w:hAnsi="Cambria Math"/>
                          <w:color w:val="000000" w:themeColor="text1"/>
                          <w:sz w:val="22"/>
                          <w:szCs w:val="22"/>
                        </w:rPr>
                        <m:t>)</m:t>
                      </m:r>
                    </m:e>
                    <m:sup>
                      <m:r>
                        <w:rPr>
                          <w:rFonts w:ascii="Cambria Math" w:hAnsi="Cambria Math"/>
                          <w:color w:val="000000" w:themeColor="text1"/>
                          <w:sz w:val="22"/>
                          <w:szCs w:val="22"/>
                        </w:rPr>
                        <m:t>T-N</m:t>
                      </m:r>
                    </m:sup>
                  </m:sSup>
                  <m:sSup>
                    <m:sSupPr>
                      <m:ctrlPr>
                        <w:rPr>
                          <w:rFonts w:ascii="Cambria Math" w:hAnsi="Cambria Math"/>
                          <w:color w:val="000000" w:themeColor="text1"/>
                          <w:sz w:val="22"/>
                          <w:szCs w:val="22"/>
                        </w:rPr>
                      </m:ctrlPr>
                    </m:sSupPr>
                    <m:e>
                      <m:acc>
                        <m:accPr>
                          <m:ctrlPr>
                            <w:rPr>
                              <w:rFonts w:ascii="Cambria Math" w:hAnsi="Cambria Math"/>
                              <w:color w:val="000000" w:themeColor="text1"/>
                              <w:sz w:val="22"/>
                              <w:szCs w:val="22"/>
                            </w:rPr>
                          </m:ctrlPr>
                        </m:accPr>
                        <m:e>
                          <m:r>
                            <w:rPr>
                              <w:rFonts w:ascii="Cambria Math" w:hAnsi="Cambria Math"/>
                              <w:color w:val="000000" w:themeColor="text1"/>
                              <w:sz w:val="22"/>
                              <w:szCs w:val="22"/>
                            </w:rPr>
                            <m:t>p</m:t>
                          </m:r>
                        </m:e>
                      </m:acc>
                    </m:e>
                    <m:sup>
                      <m:r>
                        <w:rPr>
                          <w:rFonts w:ascii="Cambria Math" w:hAnsi="Cambria Math"/>
                          <w:color w:val="000000" w:themeColor="text1"/>
                          <w:sz w:val="22"/>
                          <w:szCs w:val="22"/>
                        </w:rPr>
                        <m:t>N</m:t>
                      </m:r>
                    </m:sup>
                  </m:sSup>
                </m:e>
              </m:d>
            </m:den>
          </m:f>
          <m:r>
            <m:rPr>
              <m:nor/>
            </m:rPr>
            <w:rPr>
              <w:color w:val="000000" w:themeColor="text1"/>
              <w:sz w:val="22"/>
              <w:szCs w:val="22"/>
            </w:rPr>
            <m:t xml:space="preserve">where </m:t>
          </m:r>
          <m:acc>
            <m:accPr>
              <m:ctrlPr>
                <w:rPr>
                  <w:rFonts w:ascii="Cambria Math" w:hAnsi="Cambria Math"/>
                  <w:color w:val="000000" w:themeColor="text1"/>
                  <w:sz w:val="22"/>
                  <w:szCs w:val="22"/>
                </w:rPr>
              </m:ctrlPr>
            </m:accPr>
            <m:e>
              <m:r>
                <w:rPr>
                  <w:rFonts w:ascii="Cambria Math" w:hAnsi="Cambria Math"/>
                  <w:color w:val="000000" w:themeColor="text1"/>
                  <w:sz w:val="22"/>
                  <w:szCs w:val="22"/>
                </w:rPr>
                <m:t>p</m:t>
              </m:r>
            </m:e>
          </m:acc>
          <m:r>
            <w:rPr>
              <w:rFonts w:ascii="Cambria Math" w:hAnsi="Cambria Math"/>
              <w:color w:val="000000" w:themeColor="text1"/>
              <w:sz w:val="22"/>
              <w:szCs w:val="22"/>
            </w:rPr>
            <m:t>=</m:t>
          </m:r>
          <m:f>
            <m:fPr>
              <m:ctrlPr>
                <w:rPr>
                  <w:rFonts w:ascii="Cambria Math" w:hAnsi="Cambria Math"/>
                  <w:color w:val="000000" w:themeColor="text1"/>
                  <w:sz w:val="22"/>
                  <w:szCs w:val="22"/>
                </w:rPr>
              </m:ctrlPr>
            </m:fPr>
            <m:num>
              <m:r>
                <w:rPr>
                  <w:rFonts w:ascii="Cambria Math" w:hAnsi="Cambria Math"/>
                  <w:color w:val="000000" w:themeColor="text1"/>
                  <w:sz w:val="22"/>
                  <w:szCs w:val="22"/>
                </w:rPr>
                <m:t>N</m:t>
              </m:r>
            </m:num>
            <m:den>
              <m:r>
                <w:rPr>
                  <w:rFonts w:ascii="Cambria Math" w:hAnsi="Cambria Math"/>
                  <w:color w:val="000000" w:themeColor="text1"/>
                  <w:sz w:val="22"/>
                  <w:szCs w:val="22"/>
                </w:rPr>
                <m:t>T</m:t>
              </m:r>
            </m:den>
          </m:f>
          <m:r>
            <m:rPr>
              <m:sty m:val="p"/>
            </m:rPr>
            <w:rPr>
              <w:rFonts w:ascii="Cambria Math" w:hAnsi="Cambria Math"/>
              <w:color w:val="000000" w:themeColor="text1"/>
              <w:sz w:val="22"/>
              <w:szCs w:val="22"/>
            </w:rPr>
            <w:br/>
          </m:r>
        </m:oMath>
      </m:oMathPara>
    </w:p>
    <w:p w14:paraId="3DC750A2" w14:textId="4D5CEBAF" w:rsidR="008236B0" w:rsidRPr="000F283B" w:rsidRDefault="008236B0" w:rsidP="005240B0">
      <w:pPr>
        <w:rPr>
          <w:color w:val="000000" w:themeColor="text1"/>
          <w:sz w:val="22"/>
          <w:szCs w:val="22"/>
        </w:rPr>
      </w:pPr>
      <w:r w:rsidRPr="000F283B">
        <w:rPr>
          <w:b/>
          <w:bCs/>
          <w:color w:val="000000" w:themeColor="text1"/>
          <w:sz w:val="22"/>
          <w:szCs w:val="22"/>
        </w:rPr>
        <w:t>Christoffersen Conditional Coverage (CC)</w:t>
      </w:r>
      <w:r w:rsidR="00E6563E" w:rsidRPr="000F283B">
        <w:rPr>
          <w:b/>
          <w:bCs/>
          <w:color w:val="000000" w:themeColor="text1"/>
          <w:sz w:val="22"/>
          <w:szCs w:val="22"/>
        </w:rPr>
        <w:t xml:space="preserve"> (1998)</w:t>
      </w:r>
      <w:r w:rsidRPr="000F283B">
        <w:rPr>
          <w:b/>
          <w:bCs/>
          <w:color w:val="000000" w:themeColor="text1"/>
          <w:sz w:val="22"/>
          <w:szCs w:val="22"/>
        </w:rPr>
        <w:t>:</w:t>
      </w:r>
    </w:p>
    <w:p w14:paraId="226D3CAE" w14:textId="77777777" w:rsidR="008236B0" w:rsidRPr="003D74AC" w:rsidRDefault="008236B0" w:rsidP="008236B0">
      <w:pPr>
        <w:spacing w:before="100" w:beforeAutospacing="1" w:after="100" w:afterAutospacing="1"/>
        <w:rPr>
          <w:color w:val="000000" w:themeColor="text1"/>
          <w:sz w:val="22"/>
          <w:szCs w:val="22"/>
        </w:rPr>
      </w:pPr>
      <w:r w:rsidRPr="003D74AC">
        <w:rPr>
          <w:color w:val="000000" w:themeColor="text1"/>
          <w:sz w:val="22"/>
          <w:szCs w:val="22"/>
        </w:rPr>
        <w:t>Adds an independence component to test violation clustering.</w:t>
      </w:r>
    </w:p>
    <w:p w14:paraId="2F93A35B" w14:textId="75BB840E" w:rsidR="008236B0" w:rsidRPr="003D74AC" w:rsidRDefault="008236B0" w:rsidP="008236B0">
      <w:pPr>
        <w:spacing w:before="100" w:beforeAutospacing="1" w:after="100" w:afterAutospacing="1"/>
        <w:rPr>
          <w:color w:val="000000" w:themeColor="text1"/>
          <w:sz w:val="22"/>
          <w:szCs w:val="22"/>
        </w:rPr>
      </w:pPr>
      <w:r w:rsidRPr="003D74AC">
        <w:rPr>
          <w:color w:val="000000" w:themeColor="text1"/>
          <w:sz w:val="22"/>
          <w:szCs w:val="22"/>
        </w:rPr>
        <w:t>Both tests are implemented under identical OOS samples across models to ensure like-for-like comparison.</w:t>
      </w:r>
    </w:p>
    <w:p w14:paraId="4DEE9780" w14:textId="77777777" w:rsidR="008236B0" w:rsidRPr="003D74AC" w:rsidRDefault="008236B0" w:rsidP="008236B0">
      <w:pPr>
        <w:spacing w:before="100" w:beforeAutospacing="1" w:after="100" w:afterAutospacing="1"/>
        <w:outlineLvl w:val="2"/>
        <w:rPr>
          <w:b/>
          <w:bCs/>
          <w:color w:val="000000" w:themeColor="text1"/>
          <w:sz w:val="22"/>
          <w:szCs w:val="22"/>
        </w:rPr>
      </w:pPr>
      <w:r w:rsidRPr="003D74AC">
        <w:rPr>
          <w:b/>
          <w:bCs/>
          <w:color w:val="000000" w:themeColor="text1"/>
          <w:sz w:val="22"/>
          <w:szCs w:val="22"/>
        </w:rPr>
        <w:t>Standardized Residuals for Tail Diagnostics</w:t>
      </w:r>
    </w:p>
    <w:p w14:paraId="5536E13D" w14:textId="77777777" w:rsidR="008236B0" w:rsidRPr="003D74AC" w:rsidRDefault="008236B0" w:rsidP="008236B0">
      <w:pPr>
        <w:spacing w:before="100" w:beforeAutospacing="1" w:after="100" w:afterAutospacing="1"/>
        <w:rPr>
          <w:color w:val="000000" w:themeColor="text1"/>
          <w:sz w:val="22"/>
          <w:szCs w:val="22"/>
        </w:rPr>
      </w:pPr>
      <w:r w:rsidRPr="003D74AC">
        <w:rPr>
          <w:color w:val="000000" w:themeColor="text1"/>
          <w:sz w:val="22"/>
          <w:szCs w:val="22"/>
        </w:rPr>
        <w:t>Standardized returns are constructed as:</w:t>
      </w:r>
    </w:p>
    <w:p w14:paraId="13DBAF13" w14:textId="77777777" w:rsidR="005240B0" w:rsidRPr="003D74AC" w:rsidRDefault="00000000" w:rsidP="005240B0">
      <w:pPr>
        <w:rPr>
          <w:color w:val="000000" w:themeColor="text1"/>
          <w:sz w:val="22"/>
          <w:szCs w:val="22"/>
        </w:rPr>
      </w:pPr>
      <m:oMathPara>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z</m:t>
              </m:r>
            </m:e>
            <m:sub>
              <m:r>
                <w:rPr>
                  <w:rFonts w:ascii="Cambria Math" w:hAnsi="Cambria Math"/>
                  <w:color w:val="000000" w:themeColor="text1"/>
                  <w:sz w:val="22"/>
                  <w:szCs w:val="22"/>
                </w:rPr>
                <m:t>t</m:t>
              </m:r>
            </m:sub>
          </m:sSub>
          <m:r>
            <w:rPr>
              <w:rFonts w:ascii="Cambria Math" w:hAnsi="Cambria Math"/>
              <w:color w:val="000000" w:themeColor="text1"/>
              <w:sz w:val="22"/>
              <w:szCs w:val="22"/>
            </w:rPr>
            <m:t>=</m:t>
          </m:r>
          <m:f>
            <m:fPr>
              <m:ctrlPr>
                <w:rPr>
                  <w:rFonts w:ascii="Cambria Math" w:hAnsi="Cambria Math"/>
                  <w:color w:val="000000" w:themeColor="text1"/>
                  <w:sz w:val="22"/>
                  <w:szCs w:val="22"/>
                </w:rPr>
              </m:ctrlPr>
            </m:fPr>
            <m:num>
              <m:sSub>
                <m:sSubPr>
                  <m:ctrlPr>
                    <w:rPr>
                      <w:rFonts w:ascii="Cambria Math" w:hAnsi="Cambria Math"/>
                      <w:color w:val="000000" w:themeColor="text1"/>
                      <w:sz w:val="22"/>
                      <w:szCs w:val="22"/>
                    </w:rPr>
                  </m:ctrlPr>
                </m:sSubPr>
                <m:e>
                  <m:r>
                    <w:rPr>
                      <w:rFonts w:ascii="Cambria Math" w:hAnsi="Cambria Math"/>
                      <w:color w:val="000000" w:themeColor="text1"/>
                      <w:sz w:val="22"/>
                      <w:szCs w:val="22"/>
                    </w:rPr>
                    <m:t>r</m:t>
                  </m:r>
                </m:e>
                <m:sub>
                  <m:r>
                    <w:rPr>
                      <w:rFonts w:ascii="Cambria Math" w:hAnsi="Cambria Math"/>
                      <w:color w:val="000000" w:themeColor="text1"/>
                      <w:sz w:val="22"/>
                      <w:szCs w:val="22"/>
                    </w:rPr>
                    <m:t>t</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μ</m:t>
                      </m:r>
                    </m:e>
                  </m:acc>
                </m:e>
                <m:sub>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t-1</m:t>
                  </m:r>
                </m:sub>
              </m:sSub>
            </m:num>
            <m:den>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σ</m:t>
                      </m:r>
                    </m:e>
                  </m:acc>
                </m:e>
                <m:sub>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t-1</m:t>
                  </m:r>
                </m:sub>
              </m:sSub>
            </m:den>
          </m:f>
          <m:r>
            <m:rPr>
              <m:sty m:val="p"/>
            </m:rPr>
            <w:rPr>
              <w:rFonts w:ascii="Cambria Math" w:hAnsi="Cambria Math"/>
              <w:color w:val="000000" w:themeColor="text1"/>
              <w:sz w:val="22"/>
              <w:szCs w:val="22"/>
            </w:rPr>
            <w:br/>
          </m:r>
        </m:oMath>
      </m:oMathPara>
    </w:p>
    <w:p w14:paraId="7A37DE9E" w14:textId="2A4E2B31" w:rsidR="008236B0" w:rsidRPr="003D74AC" w:rsidRDefault="008236B0" w:rsidP="005240B0">
      <w:pPr>
        <w:rPr>
          <w:color w:val="000000" w:themeColor="text1"/>
          <w:sz w:val="22"/>
          <w:szCs w:val="22"/>
        </w:rPr>
      </w:pPr>
      <w:r w:rsidRPr="003D74AC">
        <w:rPr>
          <w:color w:val="000000" w:themeColor="text1"/>
          <w:sz w:val="22"/>
          <w:szCs w:val="22"/>
        </w:rPr>
        <w:t>When OOS volatility forecasts are unavailable (primarily outside the rolling window), the closest available conditional volatility estimate is used to preserve continuity of tail-rate construction.</w:t>
      </w:r>
    </w:p>
    <w:p w14:paraId="59A592C9" w14:textId="464666BC" w:rsidR="008F6DAF" w:rsidRPr="003D74AC" w:rsidRDefault="008236B0" w:rsidP="008236B0">
      <w:pPr>
        <w:spacing w:before="100" w:beforeAutospacing="1" w:after="100" w:afterAutospacing="1"/>
        <w:outlineLvl w:val="1"/>
        <w:rPr>
          <w:b/>
          <w:bCs/>
          <w:color w:val="000000" w:themeColor="text1"/>
          <w:sz w:val="22"/>
          <w:szCs w:val="22"/>
        </w:rPr>
      </w:pPr>
      <w:r w:rsidRPr="003D74AC">
        <w:rPr>
          <w:b/>
          <w:bCs/>
          <w:color w:val="000000" w:themeColor="text1"/>
          <w:sz w:val="22"/>
          <w:szCs w:val="22"/>
        </w:rPr>
        <w:t>3.2 Two-State MS-GARCH Model</w:t>
      </w:r>
    </w:p>
    <w:p w14:paraId="4112FF3E" w14:textId="09063B6B" w:rsidR="008236B0" w:rsidRPr="003D74AC" w:rsidRDefault="008236B0" w:rsidP="008236B0">
      <w:pPr>
        <w:spacing w:before="100" w:beforeAutospacing="1" w:after="100" w:afterAutospacing="1"/>
        <w:rPr>
          <w:sz w:val="22"/>
          <w:szCs w:val="22"/>
        </w:rPr>
      </w:pPr>
      <w:r w:rsidRPr="003D74AC">
        <w:rPr>
          <w:color w:val="000000" w:themeColor="text1"/>
          <w:sz w:val="22"/>
          <w:szCs w:val="22"/>
        </w:rPr>
        <w:t>A two-state Markov-switching GARCH model is estimated with Student-t innovations</w:t>
      </w:r>
      <w:r w:rsidR="001D5F41" w:rsidRPr="003D74AC">
        <w:rPr>
          <w:color w:val="000000" w:themeColor="text1"/>
          <w:sz w:val="22"/>
          <w:szCs w:val="22"/>
        </w:rPr>
        <w:t xml:space="preserve"> </w:t>
      </w:r>
      <w:r w:rsidR="001D5F41" w:rsidRPr="003D74AC">
        <w:rPr>
          <w:sz w:val="22"/>
          <w:szCs w:val="22"/>
        </w:rPr>
        <w:t>(Hamilton, 1989)</w:t>
      </w:r>
      <w:r w:rsidRPr="003D74AC">
        <w:rPr>
          <w:color w:val="000000" w:themeColor="text1"/>
          <w:sz w:val="22"/>
          <w:szCs w:val="22"/>
        </w:rPr>
        <w:t>.</w:t>
      </w:r>
    </w:p>
    <w:p w14:paraId="10D6C74A" w14:textId="77777777" w:rsidR="008236B0" w:rsidRPr="003D74AC" w:rsidRDefault="008236B0" w:rsidP="008236B0">
      <w:pPr>
        <w:spacing w:before="100" w:beforeAutospacing="1" w:after="100" w:afterAutospacing="1"/>
        <w:rPr>
          <w:color w:val="000000" w:themeColor="text1"/>
          <w:sz w:val="22"/>
          <w:szCs w:val="22"/>
        </w:rPr>
      </w:pPr>
      <w:r w:rsidRPr="003D74AC">
        <w:rPr>
          <w:color w:val="000000" w:themeColor="text1"/>
          <w:sz w:val="22"/>
          <w:szCs w:val="22"/>
        </w:rPr>
        <w:t xml:space="preserve">State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m:t>
            </m:r>
          </m:sub>
        </m:sSub>
        <m:r>
          <w:rPr>
            <w:rFonts w:ascii="Cambria Math" w:hAnsi="Cambria Math"/>
            <w:color w:val="000000" w:themeColor="text1"/>
            <w:sz w:val="22"/>
            <w:szCs w:val="22"/>
          </w:rPr>
          <m:t>∈{1,2}</m:t>
        </m:r>
      </m:oMath>
      <w:r w:rsidRPr="003D74AC">
        <w:rPr>
          <w:color w:val="000000" w:themeColor="text1"/>
          <w:sz w:val="22"/>
          <w:szCs w:val="22"/>
        </w:rPr>
        <w:t>follows a first-order Markov chain with transition matrix:</w:t>
      </w:r>
    </w:p>
    <w:p w14:paraId="5618140A" w14:textId="77777777" w:rsidR="005240B0" w:rsidRPr="003D74AC" w:rsidRDefault="008236B0" w:rsidP="005240B0">
      <w:pPr>
        <w:rPr>
          <w:color w:val="000000" w:themeColor="text1"/>
          <w:sz w:val="22"/>
          <w:szCs w:val="22"/>
        </w:rPr>
      </w:pPr>
      <m:oMathPara>
        <m:oMath>
          <m:r>
            <w:rPr>
              <w:rFonts w:ascii="Cambria Math" w:hAnsi="Cambria Math"/>
              <w:color w:val="000000" w:themeColor="text1"/>
              <w:sz w:val="22"/>
              <w:szCs w:val="22"/>
            </w:rPr>
            <m:t>P=</m:t>
          </m:r>
          <m:d>
            <m:dPr>
              <m:ctrlPr>
                <w:rPr>
                  <w:rFonts w:ascii="Cambria Math" w:hAnsi="Cambria Math"/>
                  <w:color w:val="000000" w:themeColor="text1"/>
                  <w:sz w:val="22"/>
                  <w:szCs w:val="22"/>
                </w:rPr>
              </m:ctrlPr>
            </m:dPr>
            <m:e>
              <m:m>
                <m:mPr>
                  <m:plcHide m:val="1"/>
                  <m:mcs>
                    <m:mc>
                      <m:mcPr>
                        <m:count m:val="2"/>
                        <m:mcJc m:val="center"/>
                      </m:mcPr>
                    </m:mc>
                  </m:mcs>
                  <m:ctrlPr>
                    <w:rPr>
                      <w:rFonts w:ascii="Cambria Math" w:hAnsi="Cambria Math"/>
                      <w:color w:val="000000" w:themeColor="text1"/>
                      <w:sz w:val="22"/>
                      <w:szCs w:val="22"/>
                    </w:rPr>
                  </m:ctrlPr>
                </m:mPr>
                <m:mr>
                  <m:e>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11</m:t>
                        </m:r>
                      </m:sub>
                    </m:sSub>
                  </m:e>
                  <m:e>
                    <m:r>
                      <w:rPr>
                        <w:rFonts w:ascii="Cambria Math" w:hAnsi="Cambria Math"/>
                        <w:color w:val="000000" w:themeColor="text1"/>
                        <w:sz w:val="22"/>
                        <w:szCs w:val="22"/>
                      </w:rPr>
                      <m:t>1-</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11</m:t>
                        </m:r>
                      </m:sub>
                    </m:sSub>
                  </m:e>
                </m:mr>
                <m:mr>
                  <m:e>
                    <m:r>
                      <w:rPr>
                        <w:rFonts w:ascii="Cambria Math" w:hAnsi="Cambria Math"/>
                        <w:color w:val="000000" w:themeColor="text1"/>
                        <w:sz w:val="22"/>
                        <w:szCs w:val="22"/>
                      </w:rPr>
                      <m:t>1-</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22</m:t>
                        </m:r>
                      </m:sub>
                    </m:sSub>
                  </m:e>
                  <m:e>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22</m:t>
                        </m:r>
                      </m:sub>
                    </m:sSub>
                  </m:e>
                </m:mr>
              </m:m>
            </m:e>
          </m:d>
          <m:r>
            <m:rPr>
              <m:sty m:val="p"/>
            </m:rPr>
            <w:rPr>
              <w:rFonts w:ascii="Cambria Math" w:hAnsi="Cambria Math"/>
              <w:color w:val="000000" w:themeColor="text1"/>
              <w:sz w:val="22"/>
              <w:szCs w:val="22"/>
            </w:rPr>
            <w:br/>
          </m:r>
        </m:oMath>
      </m:oMathPara>
    </w:p>
    <w:p w14:paraId="40C35401" w14:textId="199722A0" w:rsidR="008236B0" w:rsidRPr="003D74AC" w:rsidRDefault="008236B0" w:rsidP="005240B0">
      <w:pPr>
        <w:rPr>
          <w:color w:val="000000" w:themeColor="text1"/>
          <w:sz w:val="22"/>
          <w:szCs w:val="22"/>
        </w:rPr>
      </w:pPr>
      <w:r w:rsidRPr="003D74AC">
        <w:rPr>
          <w:color w:val="000000" w:themeColor="text1"/>
          <w:sz w:val="22"/>
          <w:szCs w:val="22"/>
        </w:rPr>
        <w:t>Conditional return dynamics:</w:t>
      </w:r>
    </w:p>
    <w:p w14:paraId="69FFB357" w14:textId="77777777" w:rsidR="005240B0" w:rsidRPr="003D74AC" w:rsidRDefault="00000000" w:rsidP="005240B0">
      <w:pPr>
        <w:rPr>
          <w:color w:val="000000" w:themeColor="text1"/>
          <w:sz w:val="22"/>
          <w:szCs w:val="22"/>
        </w:rPr>
      </w:pPr>
      <m:oMathPara>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r</m:t>
              </m:r>
            </m:e>
            <m:sub>
              <m:r>
                <w:rPr>
                  <w:rFonts w:ascii="Cambria Math" w:hAnsi="Cambria Math"/>
                  <w:color w:val="000000" w:themeColor="text1"/>
                  <w:sz w:val="22"/>
                  <w:szCs w:val="22"/>
                </w:rPr>
                <m:t>t</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μ</m:t>
              </m:r>
            </m:e>
            <m: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m:t>
                  </m:r>
                </m:sub>
              </m:sSub>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σ</m:t>
              </m:r>
            </m:e>
            <m: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m:t>
                  </m:r>
                </m:sub>
              </m:sSub>
              <m:r>
                <w:rPr>
                  <w:rFonts w:ascii="Cambria Math" w:hAnsi="Cambria Math"/>
                  <w:color w:val="000000" w:themeColor="text1"/>
                  <w:sz w:val="22"/>
                  <w:szCs w:val="22"/>
                </w:rPr>
                <m:t>,t</m:t>
              </m:r>
            </m:sub>
          </m:s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ε</m:t>
              </m:r>
            </m:e>
            <m:sub>
              <m:r>
                <w:rPr>
                  <w:rFonts w:ascii="Cambria Math" w:hAnsi="Cambria Math"/>
                  <w:color w:val="000000" w:themeColor="text1"/>
                  <w:sz w:val="22"/>
                  <w:szCs w:val="22"/>
                </w:rPr>
                <m:t>t</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ε</m:t>
              </m:r>
            </m:e>
            <m:sub>
              <m:r>
                <w:rPr>
                  <w:rFonts w:ascii="Cambria Math" w:hAnsi="Cambria Math"/>
                  <w:color w:val="000000" w:themeColor="text1"/>
                  <w:sz w:val="22"/>
                  <w:szCs w:val="22"/>
                </w:rPr>
                <m:t>t</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t</m:t>
              </m:r>
            </m:e>
            <m: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ν</m:t>
                  </m:r>
                </m:e>
                <m: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m:t>
                      </m:r>
                    </m:sub>
                  </m:sSub>
                </m:sub>
              </m:sSub>
            </m:sub>
          </m:sSub>
          <m:r>
            <m:rPr>
              <m:sty m:val="p"/>
            </m:rPr>
            <w:rPr>
              <w:rFonts w:ascii="Cambria Math" w:hAnsi="Cambria Math"/>
              <w:color w:val="000000" w:themeColor="text1"/>
              <w:sz w:val="22"/>
              <w:szCs w:val="22"/>
            </w:rPr>
            <w:br/>
          </m:r>
        </m:oMath>
      </m:oMathPara>
    </w:p>
    <w:p w14:paraId="046A8F33" w14:textId="540F57A1" w:rsidR="008236B0" w:rsidRPr="003D74AC" w:rsidRDefault="008236B0" w:rsidP="005240B0">
      <w:pPr>
        <w:rPr>
          <w:color w:val="000000" w:themeColor="text1"/>
          <w:sz w:val="22"/>
          <w:szCs w:val="22"/>
        </w:rPr>
      </w:pPr>
      <w:r w:rsidRPr="003D74AC">
        <w:rPr>
          <w:color w:val="000000" w:themeColor="text1"/>
          <w:sz w:val="22"/>
          <w:szCs w:val="22"/>
        </w:rPr>
        <w:t>Each regime has its own GARCH parameters and degrees of freedom</w:t>
      </w:r>
      <w:r w:rsidR="00036D99" w:rsidRPr="003D74AC">
        <w:rPr>
          <w:color w:val="000000" w:themeColor="text1"/>
          <w:sz w:val="22"/>
          <w:szCs w:val="22"/>
        </w:rPr>
        <w:t xml:space="preserve"> </w:t>
      </w:r>
      <w:r w:rsidR="00036D99" w:rsidRPr="003D74AC">
        <w:rPr>
          <w:sz w:val="22"/>
          <w:szCs w:val="22"/>
        </w:rPr>
        <w:t>The regime-switching GARCH extension follows Klaassen (2002)</w:t>
      </w:r>
      <w:r w:rsidRPr="003D74AC">
        <w:rPr>
          <w:color w:val="000000" w:themeColor="text1"/>
          <w:sz w:val="22"/>
          <w:szCs w:val="22"/>
        </w:rPr>
        <w:t>.</w:t>
      </w:r>
    </w:p>
    <w:p w14:paraId="0704502D" w14:textId="3938E630" w:rsidR="008236B0" w:rsidRPr="003D74AC" w:rsidRDefault="008236B0" w:rsidP="008236B0">
      <w:pPr>
        <w:spacing w:before="100" w:beforeAutospacing="1" w:after="100" w:afterAutospacing="1"/>
        <w:outlineLvl w:val="2"/>
        <w:rPr>
          <w:b/>
          <w:bCs/>
          <w:color w:val="000000" w:themeColor="text1"/>
          <w:sz w:val="22"/>
          <w:szCs w:val="22"/>
        </w:rPr>
      </w:pPr>
      <w:r w:rsidRPr="003D74AC">
        <w:rPr>
          <w:b/>
          <w:bCs/>
          <w:color w:val="000000" w:themeColor="text1"/>
          <w:sz w:val="22"/>
          <w:szCs w:val="22"/>
        </w:rPr>
        <w:t>Estimation Procedure</w:t>
      </w:r>
    </w:p>
    <w:p w14:paraId="4B848E1C" w14:textId="77777777" w:rsidR="008236B0" w:rsidRPr="003D74AC" w:rsidRDefault="008236B0" w:rsidP="008236B0">
      <w:pPr>
        <w:spacing w:before="100" w:beforeAutospacing="1" w:after="100" w:afterAutospacing="1"/>
        <w:rPr>
          <w:color w:val="000000" w:themeColor="text1"/>
          <w:sz w:val="22"/>
          <w:szCs w:val="22"/>
        </w:rPr>
      </w:pPr>
      <w:r w:rsidRPr="003D74AC">
        <w:rPr>
          <w:color w:val="000000" w:themeColor="text1"/>
          <w:sz w:val="22"/>
          <w:szCs w:val="22"/>
        </w:rPr>
        <w:t>Estimation proceeds in two stages:</w:t>
      </w:r>
    </w:p>
    <w:p w14:paraId="374CB81E" w14:textId="77777777" w:rsidR="008236B0" w:rsidRPr="003D74AC" w:rsidRDefault="008236B0" w:rsidP="008236B0">
      <w:pPr>
        <w:numPr>
          <w:ilvl w:val="0"/>
          <w:numId w:val="14"/>
        </w:numPr>
        <w:spacing w:before="100" w:beforeAutospacing="1" w:after="100" w:afterAutospacing="1"/>
        <w:rPr>
          <w:color w:val="000000" w:themeColor="text1"/>
          <w:sz w:val="22"/>
          <w:szCs w:val="22"/>
        </w:rPr>
      </w:pPr>
      <w:r w:rsidRPr="003D74AC">
        <w:rPr>
          <w:color w:val="000000" w:themeColor="text1"/>
          <w:sz w:val="22"/>
          <w:szCs w:val="22"/>
        </w:rPr>
        <w:t>Gaussian MS-GARCH warm start</w:t>
      </w:r>
    </w:p>
    <w:p w14:paraId="1540189D" w14:textId="77777777" w:rsidR="008236B0" w:rsidRPr="003D74AC" w:rsidRDefault="008236B0" w:rsidP="008236B0">
      <w:pPr>
        <w:numPr>
          <w:ilvl w:val="0"/>
          <w:numId w:val="14"/>
        </w:numPr>
        <w:spacing w:before="100" w:beforeAutospacing="1" w:after="100" w:afterAutospacing="1"/>
        <w:rPr>
          <w:color w:val="000000" w:themeColor="text1"/>
          <w:sz w:val="22"/>
          <w:szCs w:val="22"/>
        </w:rPr>
      </w:pPr>
      <w:r w:rsidRPr="003D74AC">
        <w:rPr>
          <w:color w:val="000000" w:themeColor="text1"/>
          <w:sz w:val="22"/>
          <w:szCs w:val="22"/>
        </w:rPr>
        <w:t>Student-t refinement via maximum likelihood</w:t>
      </w:r>
    </w:p>
    <w:p w14:paraId="56FCFDF9" w14:textId="77777777" w:rsidR="008236B0" w:rsidRPr="003D74AC" w:rsidRDefault="008236B0" w:rsidP="008236B0">
      <w:pPr>
        <w:spacing w:before="100" w:beforeAutospacing="1" w:after="100" w:afterAutospacing="1"/>
        <w:rPr>
          <w:color w:val="000000" w:themeColor="text1"/>
          <w:sz w:val="22"/>
          <w:szCs w:val="22"/>
        </w:rPr>
      </w:pPr>
      <w:r w:rsidRPr="003D74AC">
        <w:rPr>
          <w:color w:val="000000" w:themeColor="text1"/>
          <w:sz w:val="22"/>
          <w:szCs w:val="22"/>
        </w:rPr>
        <w:lastRenderedPageBreak/>
        <w:t>Multiple randomized initializations are used to mitigate local maxima.</w:t>
      </w:r>
      <w:r w:rsidRPr="003D74AC">
        <w:rPr>
          <w:color w:val="000000" w:themeColor="text1"/>
          <w:sz w:val="22"/>
          <w:szCs w:val="22"/>
        </w:rPr>
        <w:br/>
        <w:t xml:space="preserve">Post-estimation </w:t>
      </w:r>
      <w:proofErr w:type="spellStart"/>
      <w:r w:rsidRPr="003D74AC">
        <w:rPr>
          <w:color w:val="000000" w:themeColor="text1"/>
          <w:sz w:val="22"/>
          <w:szCs w:val="22"/>
        </w:rPr>
        <w:t>relabeling</w:t>
      </w:r>
      <w:proofErr w:type="spellEnd"/>
      <w:r w:rsidRPr="003D74AC">
        <w:rPr>
          <w:color w:val="000000" w:themeColor="text1"/>
          <w:sz w:val="22"/>
          <w:szCs w:val="22"/>
        </w:rPr>
        <w:t xml:space="preserve"> ensures that state 2 corresponds to higher unconditional volatility.</w:t>
      </w:r>
    </w:p>
    <w:p w14:paraId="42A8297A" w14:textId="77777777" w:rsidR="008236B0" w:rsidRPr="003D74AC" w:rsidRDefault="008236B0" w:rsidP="008236B0">
      <w:pPr>
        <w:spacing w:before="100" w:beforeAutospacing="1" w:after="100" w:afterAutospacing="1"/>
        <w:rPr>
          <w:color w:val="000000" w:themeColor="text1"/>
          <w:sz w:val="22"/>
          <w:szCs w:val="22"/>
        </w:rPr>
      </w:pPr>
      <w:r w:rsidRPr="003D74AC">
        <w:rPr>
          <w:color w:val="000000" w:themeColor="text1"/>
          <w:sz w:val="22"/>
          <w:szCs w:val="22"/>
        </w:rPr>
        <w:t>Filtered regime probabilities are computed using the Hamilton filter:</w:t>
      </w:r>
    </w:p>
    <w:p w14:paraId="181BD021" w14:textId="77777777" w:rsidR="005240B0" w:rsidRPr="003D74AC" w:rsidRDefault="00000000" w:rsidP="005240B0">
      <w:pPr>
        <w:rPr>
          <w:color w:val="000000" w:themeColor="text1"/>
          <w:sz w:val="22"/>
          <w:szCs w:val="22"/>
        </w:rPr>
      </w:pPr>
      <m:oMathPara>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t</m:t>
              </m:r>
            </m:sub>
          </m:sSub>
          <m:r>
            <w:rPr>
              <w:rFonts w:ascii="Cambria Math" w:hAnsi="Cambria Math"/>
              <w:color w:val="000000" w:themeColor="text1"/>
              <w:sz w:val="22"/>
              <w:szCs w:val="22"/>
            </w:rPr>
            <m:t>=P(</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m:t>
              </m:r>
            </m:sub>
          </m:sSub>
          <m:r>
            <w:rPr>
              <w:rFonts w:ascii="Cambria Math" w:hAnsi="Cambria Math"/>
              <w:color w:val="000000" w:themeColor="text1"/>
              <w:sz w:val="22"/>
              <w:szCs w:val="22"/>
            </w:rPr>
            <m:t>=2∣</m:t>
          </m:r>
          <m:sSub>
            <m:sSubPr>
              <m:ctrlPr>
                <w:rPr>
                  <w:rFonts w:ascii="Cambria Math" w:hAnsi="Cambria Math"/>
                  <w:color w:val="000000" w:themeColor="text1"/>
                  <w:sz w:val="22"/>
                  <w:szCs w:val="22"/>
                </w:rPr>
              </m:ctrlPr>
            </m:sSubPr>
            <m:e>
              <m:r>
                <m:rPr>
                  <m:scr m:val="script"/>
                </m:rPr>
                <w:rPr>
                  <w:rFonts w:ascii="Cambria Math" w:hAnsi="Cambria Math"/>
                  <w:color w:val="000000" w:themeColor="text1"/>
                  <w:sz w:val="22"/>
                  <w:szCs w:val="22"/>
                </w:rPr>
                <m:t>F</m:t>
              </m:r>
            </m:e>
            <m:sub>
              <m:r>
                <w:rPr>
                  <w:rFonts w:ascii="Cambria Math" w:hAnsi="Cambria Math"/>
                  <w:color w:val="000000" w:themeColor="text1"/>
                  <w:sz w:val="22"/>
                  <w:szCs w:val="22"/>
                </w:rPr>
                <m:t>t</m:t>
              </m:r>
            </m:sub>
          </m:sSub>
          <m:r>
            <w:rPr>
              <w:rFonts w:ascii="Cambria Math" w:hAnsi="Cambria Math"/>
              <w:color w:val="000000" w:themeColor="text1"/>
              <w:sz w:val="22"/>
              <w:szCs w:val="22"/>
            </w:rPr>
            <m:t>)</m:t>
          </m:r>
          <m:r>
            <m:rPr>
              <m:sty m:val="p"/>
            </m:rPr>
            <w:rPr>
              <w:rFonts w:ascii="Cambria Math" w:hAnsi="Cambria Math"/>
              <w:color w:val="000000" w:themeColor="text1"/>
              <w:sz w:val="22"/>
              <w:szCs w:val="22"/>
            </w:rPr>
            <w:br/>
          </m:r>
        </m:oMath>
      </m:oMathPara>
    </w:p>
    <w:p w14:paraId="3A69B81B" w14:textId="5C71E2EF" w:rsidR="008236B0" w:rsidRPr="003D74AC" w:rsidRDefault="008236B0" w:rsidP="005240B0">
      <w:pPr>
        <w:rPr>
          <w:color w:val="000000" w:themeColor="text1"/>
          <w:sz w:val="22"/>
          <w:szCs w:val="22"/>
        </w:rPr>
      </w:pPr>
      <w:r w:rsidRPr="003D74AC">
        <w:rPr>
          <w:color w:val="000000" w:themeColor="text1"/>
          <w:sz w:val="22"/>
          <w:szCs w:val="22"/>
        </w:rPr>
        <w:t>These probabilities parameterize regime-dependent quantities and predictive densities.</w:t>
      </w:r>
    </w:p>
    <w:p w14:paraId="04C8A8F9" w14:textId="77777777" w:rsidR="008236B0" w:rsidRPr="003D74AC" w:rsidRDefault="008236B0" w:rsidP="008236B0">
      <w:pPr>
        <w:spacing w:before="100" w:beforeAutospacing="1" w:after="100" w:afterAutospacing="1"/>
        <w:outlineLvl w:val="1"/>
        <w:rPr>
          <w:b/>
          <w:bCs/>
          <w:color w:val="000000" w:themeColor="text1"/>
          <w:sz w:val="22"/>
          <w:szCs w:val="22"/>
        </w:rPr>
      </w:pPr>
      <w:r w:rsidRPr="003D74AC">
        <w:rPr>
          <w:b/>
          <w:bCs/>
          <w:color w:val="000000" w:themeColor="text1"/>
          <w:sz w:val="22"/>
          <w:szCs w:val="22"/>
        </w:rPr>
        <w:t>3.3 Tail-Shift Quantification: POT-GPD</w:t>
      </w:r>
    </w:p>
    <w:p w14:paraId="2106FEAC" w14:textId="77777777" w:rsidR="008236B0" w:rsidRPr="003D74AC" w:rsidRDefault="008236B0" w:rsidP="008236B0">
      <w:pPr>
        <w:spacing w:before="100" w:beforeAutospacing="1" w:after="100" w:afterAutospacing="1"/>
        <w:outlineLvl w:val="2"/>
        <w:rPr>
          <w:b/>
          <w:bCs/>
          <w:color w:val="000000" w:themeColor="text1"/>
          <w:sz w:val="22"/>
          <w:szCs w:val="22"/>
        </w:rPr>
      </w:pPr>
      <w:r w:rsidRPr="003D74AC">
        <w:rPr>
          <w:b/>
          <w:bCs/>
          <w:color w:val="000000" w:themeColor="text1"/>
          <w:sz w:val="22"/>
          <w:szCs w:val="22"/>
        </w:rPr>
        <w:t>Exceedance Definition</w:t>
      </w:r>
    </w:p>
    <w:p w14:paraId="509D6F26" w14:textId="533825D4" w:rsidR="00DB74A4" w:rsidRPr="003D74AC" w:rsidRDefault="008236B0" w:rsidP="008236B0">
      <w:pPr>
        <w:spacing w:before="100" w:beforeAutospacing="1" w:after="100" w:afterAutospacing="1"/>
        <w:rPr>
          <w:color w:val="000000" w:themeColor="text1"/>
          <w:sz w:val="22"/>
          <w:szCs w:val="22"/>
          <w:lang w:val="en-US"/>
        </w:rPr>
      </w:pPr>
      <w:r w:rsidRPr="003D74AC">
        <w:rPr>
          <w:color w:val="000000" w:themeColor="text1"/>
          <w:sz w:val="22"/>
          <w:szCs w:val="22"/>
        </w:rPr>
        <w:t xml:space="preserve">Tail thickness is estimated using a Peaks-over-Threshold (POT) approach applied to standardized residuals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z</m:t>
            </m:r>
          </m:e>
          <m:sub>
            <m:r>
              <w:rPr>
                <w:rFonts w:ascii="Cambria Math" w:hAnsi="Cambria Math"/>
                <w:color w:val="000000" w:themeColor="text1"/>
                <w:sz w:val="22"/>
                <w:szCs w:val="22"/>
              </w:rPr>
              <m:t>t</m:t>
            </m:r>
          </m:sub>
        </m:sSub>
      </m:oMath>
      <w:r w:rsidR="00DB74A4" w:rsidRPr="003D74AC">
        <w:rPr>
          <w:color w:val="000000" w:themeColor="text1"/>
          <w:sz w:val="22"/>
          <w:szCs w:val="22"/>
        </w:rPr>
        <w:t xml:space="preserve">, </w:t>
      </w:r>
      <w:r w:rsidR="002248EA" w:rsidRPr="003D74AC">
        <w:rPr>
          <w:sz w:val="22"/>
          <w:szCs w:val="22"/>
        </w:rPr>
        <w:t>grounded in extreme value theory (</w:t>
      </w:r>
      <w:proofErr w:type="spellStart"/>
      <w:r w:rsidR="002248EA" w:rsidRPr="003D74AC">
        <w:rPr>
          <w:sz w:val="22"/>
          <w:szCs w:val="22"/>
        </w:rPr>
        <w:t>Pickands</w:t>
      </w:r>
      <w:proofErr w:type="spellEnd"/>
      <w:r w:rsidR="002248EA" w:rsidRPr="003D74AC">
        <w:rPr>
          <w:sz w:val="22"/>
          <w:szCs w:val="22"/>
        </w:rPr>
        <w:t xml:space="preserve">, 1975; </w:t>
      </w:r>
      <w:proofErr w:type="spellStart"/>
      <w:r w:rsidR="002248EA" w:rsidRPr="003D74AC">
        <w:rPr>
          <w:sz w:val="22"/>
          <w:szCs w:val="22"/>
        </w:rPr>
        <w:t>Embrechts</w:t>
      </w:r>
      <w:proofErr w:type="spellEnd"/>
      <w:r w:rsidR="002248EA" w:rsidRPr="003D74AC">
        <w:rPr>
          <w:sz w:val="22"/>
          <w:szCs w:val="22"/>
        </w:rPr>
        <w:t xml:space="preserve"> et al., 1997).</w:t>
      </w:r>
    </w:p>
    <w:p w14:paraId="4BCE27E1" w14:textId="77777777" w:rsidR="008236B0" w:rsidRPr="003D74AC" w:rsidRDefault="008236B0" w:rsidP="008236B0">
      <w:pPr>
        <w:spacing w:before="100" w:beforeAutospacing="1" w:after="100" w:afterAutospacing="1"/>
        <w:rPr>
          <w:color w:val="000000" w:themeColor="text1"/>
          <w:sz w:val="22"/>
          <w:szCs w:val="22"/>
        </w:rPr>
      </w:pPr>
      <w:r w:rsidRPr="003D74AC">
        <w:rPr>
          <w:color w:val="000000" w:themeColor="text1"/>
          <w:sz w:val="22"/>
          <w:szCs w:val="22"/>
        </w:rPr>
        <w:t xml:space="preserve">For exceedances below threshold </w:t>
      </w:r>
      <m:oMath>
        <m:r>
          <w:rPr>
            <w:rFonts w:ascii="Cambria Math" w:hAnsi="Cambria Math"/>
            <w:color w:val="000000" w:themeColor="text1"/>
            <w:sz w:val="22"/>
            <w:szCs w:val="22"/>
          </w:rPr>
          <m:t>u</m:t>
        </m:r>
      </m:oMath>
      <w:r w:rsidRPr="003D74AC">
        <w:rPr>
          <w:color w:val="000000" w:themeColor="text1"/>
          <w:sz w:val="22"/>
          <w:szCs w:val="22"/>
        </w:rPr>
        <w:t>:</w:t>
      </w:r>
    </w:p>
    <w:p w14:paraId="3EDCBB61" w14:textId="4D008626" w:rsidR="008236B0" w:rsidRPr="003D74AC" w:rsidRDefault="00000000" w:rsidP="008236B0">
      <w:pPr>
        <w:rPr>
          <w:color w:val="000000" w:themeColor="text1"/>
          <w:sz w:val="22"/>
          <w:szCs w:val="22"/>
        </w:rPr>
      </w:pPr>
      <m:oMathPara>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m:t>
              </m:r>
            </m:sub>
          </m:sSub>
          <m:r>
            <w:rPr>
              <w:rFonts w:ascii="Cambria Math" w:hAnsi="Cambria Math"/>
              <w:color w:val="000000" w:themeColor="text1"/>
              <w:sz w:val="22"/>
              <w:szCs w:val="22"/>
            </w:rPr>
            <m:t>=u-</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z</m:t>
              </m:r>
            </m:e>
            <m:sub>
              <m:r>
                <w:rPr>
                  <w:rFonts w:ascii="Cambria Math" w:hAnsi="Cambria Math"/>
                  <w:color w:val="000000" w:themeColor="text1"/>
                  <w:sz w:val="22"/>
                  <w:szCs w:val="22"/>
                </w:rPr>
                <m:t>t</m:t>
              </m:r>
            </m:sub>
          </m:sSub>
          <m:r>
            <m:rPr>
              <m:nor/>
            </m:rPr>
            <w:rPr>
              <w:color w:val="000000" w:themeColor="text1"/>
              <w:sz w:val="22"/>
              <w:szCs w:val="22"/>
            </w:rPr>
            <m:t xml:space="preserve">for </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z</m:t>
              </m:r>
            </m:e>
            <m:sub>
              <m:r>
                <w:rPr>
                  <w:rFonts w:ascii="Cambria Math" w:hAnsi="Cambria Math"/>
                  <w:color w:val="000000" w:themeColor="text1"/>
                  <w:sz w:val="22"/>
                  <w:szCs w:val="22"/>
                </w:rPr>
                <m:t>t</m:t>
              </m:r>
            </m:sub>
          </m:sSub>
          <m:r>
            <w:rPr>
              <w:rFonts w:ascii="Cambria Math" w:hAnsi="Cambria Math"/>
              <w:color w:val="000000" w:themeColor="text1"/>
              <w:sz w:val="22"/>
              <w:szCs w:val="22"/>
            </w:rPr>
            <m:t>&lt;u</m:t>
          </m:r>
        </m:oMath>
      </m:oMathPara>
    </w:p>
    <w:p w14:paraId="350D4D82" w14:textId="77777777" w:rsidR="008236B0" w:rsidRPr="003D74AC" w:rsidRDefault="008236B0" w:rsidP="008236B0">
      <w:pPr>
        <w:spacing w:before="100" w:beforeAutospacing="1" w:after="100" w:afterAutospacing="1"/>
        <w:rPr>
          <w:color w:val="000000" w:themeColor="text1"/>
          <w:sz w:val="22"/>
          <w:szCs w:val="22"/>
        </w:rPr>
      </w:pPr>
      <w:r w:rsidRPr="003D74AC">
        <w:rPr>
          <w:color w:val="000000" w:themeColor="text1"/>
          <w:sz w:val="22"/>
          <w:szCs w:val="22"/>
        </w:rPr>
        <w:t xml:space="preserve">Exceedances are </w:t>
      </w:r>
      <w:proofErr w:type="spellStart"/>
      <w:r w:rsidRPr="003D74AC">
        <w:rPr>
          <w:color w:val="000000" w:themeColor="text1"/>
          <w:sz w:val="22"/>
          <w:szCs w:val="22"/>
        </w:rPr>
        <w:t>modeled</w:t>
      </w:r>
      <w:proofErr w:type="spellEnd"/>
      <w:r w:rsidRPr="003D74AC">
        <w:rPr>
          <w:color w:val="000000" w:themeColor="text1"/>
          <w:sz w:val="22"/>
          <w:szCs w:val="22"/>
        </w:rPr>
        <w:t xml:space="preserve"> using the Generalized Pareto Distribution (GPD):</w:t>
      </w:r>
    </w:p>
    <w:p w14:paraId="70F42091" w14:textId="77777777" w:rsidR="00C65800" w:rsidRPr="003D74AC" w:rsidRDefault="008236B0" w:rsidP="00C65800">
      <w:pPr>
        <w:rPr>
          <w:color w:val="000000" w:themeColor="text1"/>
          <w:sz w:val="22"/>
          <w:szCs w:val="22"/>
        </w:rPr>
      </w:pPr>
      <m:oMathPara>
        <m:oMath>
          <m:r>
            <w:rPr>
              <w:rFonts w:ascii="Cambria Math" w:hAnsi="Cambria Math"/>
              <w:color w:val="000000" w:themeColor="text1"/>
              <w:sz w:val="22"/>
              <w:szCs w:val="22"/>
            </w:rPr>
            <m:t>G(y)=1-</m:t>
          </m:r>
          <m:sSup>
            <m:sSupPr>
              <m:ctrlPr>
                <w:rPr>
                  <w:rFonts w:ascii="Cambria Math" w:hAnsi="Cambria Math"/>
                  <w:color w:val="000000" w:themeColor="text1"/>
                  <w:sz w:val="22"/>
                  <w:szCs w:val="22"/>
                </w:rPr>
              </m:ctrlPr>
            </m:sSupPr>
            <m:e>
              <m:d>
                <m:dPr>
                  <m:sepChr m:val="+"/>
                  <m:ctrlPr>
                    <w:rPr>
                      <w:rFonts w:ascii="Cambria Math" w:hAnsi="Cambria Math"/>
                      <w:color w:val="000000" w:themeColor="text1"/>
                      <w:sz w:val="22"/>
                      <w:szCs w:val="22"/>
                    </w:rPr>
                  </m:ctrlPr>
                </m:dPr>
                <m:e>
                  <m:r>
                    <w:rPr>
                      <w:rFonts w:ascii="Cambria Math" w:hAnsi="Cambria Math"/>
                      <w:color w:val="000000" w:themeColor="text1"/>
                      <w:sz w:val="22"/>
                      <w:szCs w:val="22"/>
                    </w:rPr>
                    <m:t>1</m:t>
                  </m:r>
                </m:e>
                <m:e>
                  <m:r>
                    <w:rPr>
                      <w:rFonts w:ascii="Cambria Math" w:hAnsi="Cambria Math"/>
                      <w:color w:val="000000" w:themeColor="text1"/>
                      <w:sz w:val="22"/>
                      <w:szCs w:val="22"/>
                    </w:rPr>
                    <m:t>ξ</m:t>
                  </m:r>
                  <m:f>
                    <m:fPr>
                      <m:ctrlPr>
                        <w:rPr>
                          <w:rFonts w:ascii="Cambria Math" w:hAnsi="Cambria Math"/>
                          <w:color w:val="000000" w:themeColor="text1"/>
                          <w:sz w:val="22"/>
                          <w:szCs w:val="22"/>
                        </w:rPr>
                      </m:ctrlPr>
                    </m:fPr>
                    <m:num>
                      <m:r>
                        <w:rPr>
                          <w:rFonts w:ascii="Cambria Math" w:hAnsi="Cambria Math"/>
                          <w:color w:val="000000" w:themeColor="text1"/>
                          <w:sz w:val="22"/>
                          <w:szCs w:val="22"/>
                        </w:rPr>
                        <m:t>y</m:t>
                      </m:r>
                    </m:num>
                    <m:den>
                      <m:r>
                        <w:rPr>
                          <w:rFonts w:ascii="Cambria Math" w:hAnsi="Cambria Math"/>
                          <w:color w:val="000000" w:themeColor="text1"/>
                          <w:sz w:val="22"/>
                          <w:szCs w:val="22"/>
                        </w:rPr>
                        <m:t>β</m:t>
                      </m:r>
                    </m:den>
                  </m:f>
                </m:e>
              </m:d>
            </m:e>
            <m:sup>
              <m:r>
                <w:rPr>
                  <w:rFonts w:ascii="Cambria Math" w:hAnsi="Cambria Math"/>
                  <w:color w:val="000000" w:themeColor="text1"/>
                  <w:sz w:val="22"/>
                  <w:szCs w:val="22"/>
                </w:rPr>
                <m:t>-1</m:t>
              </m:r>
              <m:r>
                <m:rPr>
                  <m:sty m:val="p"/>
                </m:rPr>
                <w:rPr>
                  <w:rFonts w:ascii="Cambria Math" w:hAnsi="Cambria Math"/>
                  <w:color w:val="000000" w:themeColor="text1"/>
                  <w:sz w:val="22"/>
                  <w:szCs w:val="22"/>
                </w:rPr>
                <m:t>/</m:t>
              </m:r>
              <m:r>
                <w:rPr>
                  <w:rFonts w:ascii="Cambria Math" w:hAnsi="Cambria Math"/>
                  <w:color w:val="000000" w:themeColor="text1"/>
                  <w:sz w:val="22"/>
                  <w:szCs w:val="22"/>
                </w:rPr>
                <m:t>ξ</m:t>
              </m:r>
            </m:sup>
          </m:sSup>
        </m:oMath>
      </m:oMathPara>
    </w:p>
    <w:p w14:paraId="2D07873F" w14:textId="529D207C" w:rsidR="008236B0" w:rsidRPr="003D74AC" w:rsidRDefault="008236B0" w:rsidP="00C65800">
      <w:pPr>
        <w:rPr>
          <w:color w:val="000000" w:themeColor="text1"/>
          <w:sz w:val="22"/>
          <w:szCs w:val="22"/>
        </w:rPr>
      </w:pPr>
      <w:r w:rsidRPr="003D74AC">
        <w:rPr>
          <w:color w:val="000000" w:themeColor="text1"/>
          <w:sz w:val="22"/>
          <w:szCs w:val="22"/>
        </w:rPr>
        <w:t>where:</w:t>
      </w:r>
    </w:p>
    <w:p w14:paraId="14DC59A0" w14:textId="77777777" w:rsidR="008236B0" w:rsidRPr="003D74AC" w:rsidRDefault="008236B0" w:rsidP="008236B0">
      <w:pPr>
        <w:numPr>
          <w:ilvl w:val="0"/>
          <w:numId w:val="15"/>
        </w:numPr>
        <w:spacing w:before="100" w:beforeAutospacing="1" w:after="100" w:afterAutospacing="1"/>
        <w:rPr>
          <w:color w:val="000000" w:themeColor="text1"/>
          <w:sz w:val="22"/>
          <w:szCs w:val="22"/>
        </w:rPr>
      </w:pPr>
      <m:oMath>
        <m:r>
          <w:rPr>
            <w:rFonts w:ascii="Cambria Math" w:hAnsi="Cambria Math"/>
            <w:color w:val="000000" w:themeColor="text1"/>
            <w:sz w:val="22"/>
            <w:szCs w:val="22"/>
          </w:rPr>
          <m:t>ξ</m:t>
        </m:r>
      </m:oMath>
      <w:r w:rsidRPr="003D74AC">
        <w:rPr>
          <w:color w:val="000000" w:themeColor="text1"/>
          <w:sz w:val="22"/>
          <w:szCs w:val="22"/>
        </w:rPr>
        <w:t>= tail index</w:t>
      </w:r>
    </w:p>
    <w:p w14:paraId="64670B84" w14:textId="77777777" w:rsidR="008236B0" w:rsidRPr="003D74AC" w:rsidRDefault="008236B0" w:rsidP="008236B0">
      <w:pPr>
        <w:numPr>
          <w:ilvl w:val="0"/>
          <w:numId w:val="15"/>
        </w:numPr>
        <w:spacing w:before="100" w:beforeAutospacing="1" w:after="100" w:afterAutospacing="1"/>
        <w:rPr>
          <w:color w:val="000000" w:themeColor="text1"/>
          <w:sz w:val="22"/>
          <w:szCs w:val="22"/>
        </w:rPr>
      </w:pPr>
      <m:oMath>
        <m:r>
          <w:rPr>
            <w:rFonts w:ascii="Cambria Math" w:hAnsi="Cambria Math"/>
            <w:color w:val="000000" w:themeColor="text1"/>
            <w:sz w:val="22"/>
            <w:szCs w:val="22"/>
          </w:rPr>
          <m:t>β</m:t>
        </m:r>
      </m:oMath>
      <w:r w:rsidRPr="003D74AC">
        <w:rPr>
          <w:color w:val="000000" w:themeColor="text1"/>
          <w:sz w:val="22"/>
          <w:szCs w:val="22"/>
        </w:rPr>
        <w:t>= scale parameter</w:t>
      </w:r>
    </w:p>
    <w:p w14:paraId="6D4282C6" w14:textId="37335478" w:rsidR="008236B0" w:rsidRPr="003D74AC" w:rsidRDefault="008236B0" w:rsidP="008236B0">
      <w:pPr>
        <w:spacing w:before="100" w:beforeAutospacing="1" w:after="100" w:afterAutospacing="1"/>
        <w:rPr>
          <w:color w:val="000000" w:themeColor="text1"/>
          <w:sz w:val="22"/>
          <w:szCs w:val="22"/>
        </w:rPr>
      </w:pPr>
      <m:oMath>
        <m:r>
          <w:rPr>
            <w:rFonts w:ascii="Cambria Math" w:hAnsi="Cambria Math"/>
            <w:color w:val="000000" w:themeColor="text1"/>
            <w:sz w:val="22"/>
            <w:szCs w:val="22"/>
          </w:rPr>
          <m:t>ξ&gt;0</m:t>
        </m:r>
      </m:oMath>
      <w:r w:rsidRPr="003D74AC">
        <w:rPr>
          <w:color w:val="000000" w:themeColor="text1"/>
          <w:sz w:val="22"/>
          <w:szCs w:val="22"/>
        </w:rPr>
        <w:t>implies heavy (Pareto-type) tails.</w:t>
      </w:r>
    </w:p>
    <w:p w14:paraId="2B9FE0BD" w14:textId="77777777" w:rsidR="008236B0" w:rsidRPr="003D74AC" w:rsidRDefault="008236B0" w:rsidP="008236B0">
      <w:pPr>
        <w:spacing w:before="100" w:beforeAutospacing="1" w:after="100" w:afterAutospacing="1"/>
        <w:outlineLvl w:val="2"/>
        <w:rPr>
          <w:b/>
          <w:bCs/>
          <w:color w:val="000000" w:themeColor="text1"/>
          <w:sz w:val="22"/>
          <w:szCs w:val="22"/>
        </w:rPr>
      </w:pPr>
      <w:r w:rsidRPr="003D74AC">
        <w:rPr>
          <w:b/>
          <w:bCs/>
          <w:color w:val="000000" w:themeColor="text1"/>
          <w:sz w:val="22"/>
          <w:szCs w:val="22"/>
        </w:rPr>
        <w:t>Regime Conditioning</w:t>
      </w:r>
    </w:p>
    <w:p w14:paraId="2F7D8169" w14:textId="77777777" w:rsidR="008236B0" w:rsidRPr="003D74AC" w:rsidRDefault="008236B0" w:rsidP="008236B0">
      <w:pPr>
        <w:spacing w:before="100" w:beforeAutospacing="1" w:after="100" w:afterAutospacing="1"/>
        <w:rPr>
          <w:color w:val="000000" w:themeColor="text1"/>
          <w:sz w:val="22"/>
          <w:szCs w:val="22"/>
        </w:rPr>
      </w:pPr>
      <w:r w:rsidRPr="003D74AC">
        <w:rPr>
          <w:color w:val="000000" w:themeColor="text1"/>
          <w:sz w:val="22"/>
          <w:szCs w:val="22"/>
        </w:rPr>
        <w:t>POT estimation is conducted:</w:t>
      </w:r>
    </w:p>
    <w:p w14:paraId="7CDA6F4F" w14:textId="77777777" w:rsidR="008236B0" w:rsidRPr="003D74AC" w:rsidRDefault="008236B0" w:rsidP="008236B0">
      <w:pPr>
        <w:numPr>
          <w:ilvl w:val="0"/>
          <w:numId w:val="16"/>
        </w:numPr>
        <w:spacing w:before="100" w:beforeAutospacing="1" w:after="100" w:afterAutospacing="1"/>
        <w:rPr>
          <w:color w:val="000000" w:themeColor="text1"/>
          <w:sz w:val="22"/>
          <w:szCs w:val="22"/>
        </w:rPr>
      </w:pPr>
      <w:r w:rsidRPr="003D74AC">
        <w:rPr>
          <w:color w:val="000000" w:themeColor="text1"/>
          <w:sz w:val="22"/>
          <w:szCs w:val="22"/>
        </w:rPr>
        <w:t>By exogenous volatility regime (e.g., VIX quantiles)</w:t>
      </w:r>
    </w:p>
    <w:p w14:paraId="62ED258E" w14:textId="77777777" w:rsidR="008236B0" w:rsidRPr="003D74AC" w:rsidRDefault="008236B0" w:rsidP="008236B0">
      <w:pPr>
        <w:numPr>
          <w:ilvl w:val="0"/>
          <w:numId w:val="16"/>
        </w:numPr>
        <w:spacing w:before="100" w:beforeAutospacing="1" w:after="100" w:afterAutospacing="1"/>
        <w:rPr>
          <w:color w:val="000000" w:themeColor="text1"/>
          <w:sz w:val="22"/>
          <w:szCs w:val="22"/>
        </w:rPr>
      </w:pPr>
      <w:r w:rsidRPr="003D74AC">
        <w:rPr>
          <w:color w:val="000000" w:themeColor="text1"/>
          <w:sz w:val="22"/>
          <w:szCs w:val="22"/>
        </w:rPr>
        <w:t>By endogenous MS state classification</w:t>
      </w:r>
    </w:p>
    <w:p w14:paraId="3EC69C2B" w14:textId="77777777" w:rsidR="008236B0" w:rsidRPr="003D74AC" w:rsidRDefault="008236B0" w:rsidP="008236B0">
      <w:pPr>
        <w:numPr>
          <w:ilvl w:val="0"/>
          <w:numId w:val="16"/>
        </w:numPr>
        <w:spacing w:before="100" w:beforeAutospacing="1" w:after="100" w:afterAutospacing="1"/>
        <w:rPr>
          <w:color w:val="000000" w:themeColor="text1"/>
          <w:sz w:val="22"/>
          <w:szCs w:val="22"/>
        </w:rPr>
      </w:pPr>
      <w:r w:rsidRPr="003D74AC">
        <w:rPr>
          <w:color w:val="000000" w:themeColor="text1"/>
          <w:sz w:val="22"/>
          <w:szCs w:val="22"/>
        </w:rPr>
        <w:t>By filtered probability partitions</w:t>
      </w:r>
    </w:p>
    <w:p w14:paraId="19ECC33F" w14:textId="6EF56360" w:rsidR="008236B0" w:rsidRPr="003D74AC" w:rsidRDefault="008236B0" w:rsidP="008236B0">
      <w:pPr>
        <w:spacing w:before="100" w:beforeAutospacing="1" w:after="100" w:afterAutospacing="1"/>
        <w:rPr>
          <w:color w:val="000000" w:themeColor="text1"/>
          <w:sz w:val="22"/>
          <w:szCs w:val="22"/>
        </w:rPr>
      </w:pPr>
      <w:r w:rsidRPr="003D74AC">
        <w:rPr>
          <w:color w:val="000000" w:themeColor="text1"/>
          <w:sz w:val="22"/>
          <w:szCs w:val="22"/>
        </w:rPr>
        <w:t>This allows tail-shape comparison across regimes.</w:t>
      </w:r>
    </w:p>
    <w:p w14:paraId="2B0AFA17" w14:textId="77777777" w:rsidR="008236B0" w:rsidRPr="003D74AC" w:rsidRDefault="008236B0" w:rsidP="008236B0">
      <w:pPr>
        <w:spacing w:before="100" w:beforeAutospacing="1" w:after="100" w:afterAutospacing="1"/>
        <w:outlineLvl w:val="2"/>
        <w:rPr>
          <w:b/>
          <w:bCs/>
          <w:color w:val="000000" w:themeColor="text1"/>
          <w:sz w:val="22"/>
          <w:szCs w:val="22"/>
        </w:rPr>
      </w:pPr>
      <w:r w:rsidRPr="003D74AC">
        <w:rPr>
          <w:b/>
          <w:bCs/>
          <w:color w:val="000000" w:themeColor="text1"/>
          <w:sz w:val="22"/>
          <w:szCs w:val="22"/>
        </w:rPr>
        <w:t>Bootstrap Inference</w:t>
      </w:r>
    </w:p>
    <w:p w14:paraId="5F2912A7" w14:textId="77777777" w:rsidR="008236B0" w:rsidRPr="003D74AC" w:rsidRDefault="008236B0" w:rsidP="00FC1240">
      <w:pPr>
        <w:spacing w:before="100" w:beforeAutospacing="1" w:after="100" w:afterAutospacing="1"/>
        <w:jc w:val="both"/>
        <w:rPr>
          <w:color w:val="000000" w:themeColor="text1"/>
          <w:sz w:val="22"/>
          <w:szCs w:val="22"/>
        </w:rPr>
      </w:pPr>
      <w:r w:rsidRPr="003D74AC">
        <w:rPr>
          <w:color w:val="000000" w:themeColor="text1"/>
          <w:sz w:val="22"/>
          <w:szCs w:val="22"/>
        </w:rPr>
        <w:t>Regime-specific tail indices are estimated via maximum likelihood.</w:t>
      </w:r>
      <w:r w:rsidRPr="003D74AC">
        <w:rPr>
          <w:color w:val="000000" w:themeColor="text1"/>
          <w:sz w:val="22"/>
          <w:szCs w:val="22"/>
        </w:rPr>
        <w:br/>
        <w:t>Statistical inference is conducted using bootstrap resampling to obtain confidence intervals for:</w:t>
      </w:r>
    </w:p>
    <w:p w14:paraId="45BD89C1" w14:textId="04A416C3" w:rsidR="008236B0" w:rsidRPr="003D74AC" w:rsidRDefault="008236B0" w:rsidP="00FC1240">
      <w:pPr>
        <w:jc w:val="both"/>
        <w:rPr>
          <w:color w:val="000000" w:themeColor="text1"/>
          <w:sz w:val="22"/>
          <w:szCs w:val="22"/>
        </w:rPr>
      </w:pPr>
      <m:oMathPara>
        <m:oMath>
          <m:r>
            <m:rPr>
              <m:sty m:val="p"/>
            </m:rPr>
            <w:rPr>
              <w:rFonts w:ascii="Cambria Math" w:hAnsi="Cambria Math"/>
              <w:color w:val="000000" w:themeColor="text1"/>
              <w:sz w:val="22"/>
              <w:szCs w:val="22"/>
            </w:rPr>
            <m:t>Δ</m:t>
          </m:r>
          <m:r>
            <w:rPr>
              <w:rFonts w:ascii="Cambria Math" w:hAnsi="Cambria Math"/>
              <w:color w:val="000000" w:themeColor="text1"/>
              <w:sz w:val="22"/>
              <w:szCs w:val="22"/>
            </w:rPr>
            <m:t>ξ=</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ξ</m:t>
              </m:r>
            </m:e>
            <m:sub>
              <m:r>
                <m:rPr>
                  <m:nor/>
                </m:rPr>
                <w:rPr>
                  <w:color w:val="000000" w:themeColor="text1"/>
                  <w:sz w:val="22"/>
                  <w:szCs w:val="22"/>
                </w:rPr>
                <m:t>high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ξ</m:t>
              </m:r>
            </m:e>
            <m:sub>
              <m:r>
                <m:rPr>
                  <m:nor/>
                </m:rPr>
                <w:rPr>
                  <w:color w:val="000000" w:themeColor="text1"/>
                  <w:sz w:val="22"/>
                  <w:szCs w:val="22"/>
                </w:rPr>
                <m:t>low</m:t>
              </m:r>
            </m:sub>
          </m:sSub>
        </m:oMath>
      </m:oMathPara>
    </w:p>
    <w:p w14:paraId="10DFA35B" w14:textId="57235DBE" w:rsidR="008236B0" w:rsidRPr="003D74AC" w:rsidRDefault="008236B0" w:rsidP="00FC1240">
      <w:pPr>
        <w:spacing w:before="100" w:beforeAutospacing="1" w:after="100" w:afterAutospacing="1"/>
        <w:jc w:val="both"/>
        <w:rPr>
          <w:color w:val="000000" w:themeColor="text1"/>
          <w:sz w:val="22"/>
          <w:szCs w:val="22"/>
        </w:rPr>
      </w:pPr>
      <w:r w:rsidRPr="003D74AC">
        <w:rPr>
          <w:color w:val="000000" w:themeColor="text1"/>
          <w:sz w:val="22"/>
          <w:szCs w:val="22"/>
        </w:rPr>
        <w:lastRenderedPageBreak/>
        <w:t>Equality of tail indices across regimes is tested using bootstrap-based two-sided p-values.</w:t>
      </w:r>
    </w:p>
    <w:p w14:paraId="6E8A84B1" w14:textId="77777777" w:rsidR="008236B0" w:rsidRPr="003D74AC" w:rsidRDefault="008236B0" w:rsidP="00FC1240">
      <w:pPr>
        <w:spacing w:before="100" w:beforeAutospacing="1" w:after="100" w:afterAutospacing="1"/>
        <w:jc w:val="both"/>
        <w:outlineLvl w:val="1"/>
        <w:rPr>
          <w:b/>
          <w:bCs/>
          <w:color w:val="000000" w:themeColor="text1"/>
          <w:sz w:val="22"/>
          <w:szCs w:val="22"/>
        </w:rPr>
      </w:pPr>
      <w:r w:rsidRPr="003D74AC">
        <w:rPr>
          <w:b/>
          <w:bCs/>
          <w:color w:val="000000" w:themeColor="text1"/>
          <w:sz w:val="22"/>
          <w:szCs w:val="22"/>
        </w:rPr>
        <w:t>3.4 Regime-Weighted Predictive Mixture Density</w:t>
      </w:r>
    </w:p>
    <w:p w14:paraId="27D63285" w14:textId="6DC4AFE7" w:rsidR="00063CCB" w:rsidRPr="003D74AC" w:rsidRDefault="00063CCB" w:rsidP="00FC1240">
      <w:pPr>
        <w:spacing w:before="100" w:beforeAutospacing="1" w:after="100" w:afterAutospacing="1"/>
        <w:jc w:val="both"/>
        <w:outlineLvl w:val="1"/>
        <w:rPr>
          <w:b/>
          <w:bCs/>
          <w:color w:val="000000" w:themeColor="text1"/>
          <w:sz w:val="22"/>
          <w:szCs w:val="22"/>
        </w:rPr>
      </w:pPr>
      <w:r w:rsidRPr="003D74AC">
        <w:rPr>
          <w:sz w:val="22"/>
          <w:szCs w:val="22"/>
        </w:rPr>
        <w:t>The predictive density follows a regime-weighted mixture representation as in Gray (1996).</w:t>
      </w:r>
    </w:p>
    <w:p w14:paraId="5CDE0357" w14:textId="77777777" w:rsidR="008236B0" w:rsidRPr="003D74AC" w:rsidRDefault="008236B0" w:rsidP="00FC1240">
      <w:pPr>
        <w:jc w:val="both"/>
        <w:rPr>
          <w:color w:val="000000" w:themeColor="text1"/>
          <w:sz w:val="22"/>
          <w:szCs w:val="22"/>
        </w:rPr>
      </w:pPr>
      <m:oMathPara>
        <m:oMath>
          <m:r>
            <w:rPr>
              <w:rFonts w:ascii="Cambria Math" w:hAnsi="Cambria Math"/>
              <w:color w:val="000000" w:themeColor="text1"/>
              <w:sz w:val="22"/>
              <w:szCs w:val="22"/>
            </w:rPr>
            <m:t>f(</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r</m:t>
              </m:r>
            </m:e>
            <m:sub>
              <m:r>
                <w:rPr>
                  <w:rFonts w:ascii="Cambria Math" w:hAnsi="Cambria Math"/>
                  <w:color w:val="000000" w:themeColor="text1"/>
                  <w:sz w:val="22"/>
                  <w:szCs w:val="22"/>
                </w:rPr>
                <m:t>t+1</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m:rPr>
                  <m:scr m:val="script"/>
                </m:rPr>
                <w:rPr>
                  <w:rFonts w:ascii="Cambria Math" w:hAnsi="Cambria Math"/>
                  <w:color w:val="000000" w:themeColor="text1"/>
                  <w:sz w:val="22"/>
                  <w:szCs w:val="22"/>
                </w:rPr>
                <m:t>F</m:t>
              </m:r>
            </m:e>
            <m:sub>
              <m:r>
                <w:rPr>
                  <w:rFonts w:ascii="Cambria Math" w:hAnsi="Cambria Math"/>
                  <w:color w:val="000000" w:themeColor="text1"/>
                  <w:sz w:val="22"/>
                  <w:szCs w:val="22"/>
                </w:rPr>
                <m:t>t</m:t>
              </m:r>
            </m:sub>
          </m:sSub>
          <m:r>
            <w:rPr>
              <w:rFonts w:ascii="Cambria Math" w:hAnsi="Cambria Math"/>
              <w:color w:val="000000" w:themeColor="text1"/>
              <w:sz w:val="22"/>
              <w:szCs w:val="22"/>
            </w:rPr>
            <m:t>)=(1-</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t</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f</m:t>
              </m:r>
            </m:e>
            <m:sub>
              <m:r>
                <w:rPr>
                  <w:rFonts w:ascii="Cambria Math" w:hAnsi="Cambria Math"/>
                  <w:color w:val="000000" w:themeColor="text1"/>
                  <w:sz w:val="22"/>
                  <w:szCs w:val="22"/>
                </w:rPr>
                <m:t>1</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r</m:t>
              </m:r>
            </m:e>
            <m:sub>
              <m:r>
                <w:rPr>
                  <w:rFonts w:ascii="Cambria Math" w:hAnsi="Cambria Math"/>
                  <w:color w:val="000000" w:themeColor="text1"/>
                  <w:sz w:val="22"/>
                  <w:szCs w:val="22"/>
                </w:rPr>
                <m:t>t+1</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t</m:t>
              </m:r>
            </m:sub>
          </m:s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f</m:t>
              </m:r>
            </m:e>
            <m:sub>
              <m:r>
                <w:rPr>
                  <w:rFonts w:ascii="Cambria Math" w:hAnsi="Cambria Math"/>
                  <w:color w:val="000000" w:themeColor="text1"/>
                  <w:sz w:val="22"/>
                  <w:szCs w:val="22"/>
                </w:rPr>
                <m:t>2</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r</m:t>
              </m:r>
            </m:e>
            <m:sub>
              <m:r>
                <w:rPr>
                  <w:rFonts w:ascii="Cambria Math" w:hAnsi="Cambria Math"/>
                  <w:color w:val="000000" w:themeColor="text1"/>
                  <w:sz w:val="22"/>
                  <w:szCs w:val="22"/>
                </w:rPr>
                <m:t>t+1</m:t>
              </m:r>
            </m:sub>
          </m:sSub>
          <m:r>
            <w:rPr>
              <w:rFonts w:ascii="Cambria Math" w:hAnsi="Cambria Math"/>
              <w:color w:val="000000" w:themeColor="text1"/>
              <w:sz w:val="22"/>
              <w:szCs w:val="22"/>
            </w:rPr>
            <m:t>)</m:t>
          </m:r>
          <m:r>
            <m:rPr>
              <m:sty m:val="p"/>
            </m:rPr>
            <w:rPr>
              <w:rFonts w:ascii="Cambria Math" w:hAnsi="Cambria Math"/>
              <w:color w:val="000000" w:themeColor="text1"/>
              <w:sz w:val="22"/>
              <w:szCs w:val="22"/>
            </w:rPr>
            <w:br/>
          </m:r>
        </m:oMath>
      </m:oMathPara>
    </w:p>
    <w:p w14:paraId="4C330F59" w14:textId="77777777" w:rsidR="008236B0" w:rsidRPr="003D74AC" w:rsidRDefault="008236B0" w:rsidP="00FC1240">
      <w:pPr>
        <w:spacing w:before="100" w:beforeAutospacing="1" w:after="100" w:afterAutospacing="1"/>
        <w:jc w:val="both"/>
        <w:rPr>
          <w:color w:val="000000" w:themeColor="text1"/>
          <w:sz w:val="22"/>
          <w:szCs w:val="22"/>
        </w:rPr>
      </w:pPr>
      <w:r w:rsidRPr="003D74AC">
        <w:rPr>
          <w:color w:val="000000" w:themeColor="text1"/>
          <w:sz w:val="22"/>
          <w:szCs w:val="22"/>
        </w:rPr>
        <w:t>where:</w:t>
      </w:r>
    </w:p>
    <w:p w14:paraId="5DE0B501" w14:textId="77777777" w:rsidR="008236B0" w:rsidRPr="003D74AC" w:rsidRDefault="00000000" w:rsidP="00FC1240">
      <w:pPr>
        <w:numPr>
          <w:ilvl w:val="0"/>
          <w:numId w:val="17"/>
        </w:numPr>
        <w:spacing w:before="100" w:beforeAutospacing="1" w:after="100" w:afterAutospacing="1"/>
        <w:jc w:val="both"/>
        <w:rPr>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t</m:t>
            </m:r>
          </m:sub>
        </m:sSub>
        <m:r>
          <w:rPr>
            <w:rFonts w:ascii="Cambria Math" w:hAnsi="Cambria Math"/>
            <w:color w:val="000000" w:themeColor="text1"/>
            <w:sz w:val="22"/>
            <w:szCs w:val="22"/>
          </w:rPr>
          <m:t>=P(</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m:t>
            </m:r>
          </m:sub>
        </m:sSub>
        <m:r>
          <w:rPr>
            <w:rFonts w:ascii="Cambria Math" w:hAnsi="Cambria Math"/>
            <w:color w:val="000000" w:themeColor="text1"/>
            <w:sz w:val="22"/>
            <w:szCs w:val="22"/>
          </w:rPr>
          <m:t>=2∣</m:t>
        </m:r>
        <m:sSub>
          <m:sSubPr>
            <m:ctrlPr>
              <w:rPr>
                <w:rFonts w:ascii="Cambria Math" w:hAnsi="Cambria Math"/>
                <w:color w:val="000000" w:themeColor="text1"/>
                <w:sz w:val="22"/>
                <w:szCs w:val="22"/>
              </w:rPr>
            </m:ctrlPr>
          </m:sSubPr>
          <m:e>
            <m:r>
              <m:rPr>
                <m:scr m:val="script"/>
              </m:rPr>
              <w:rPr>
                <w:rFonts w:ascii="Cambria Math" w:hAnsi="Cambria Math"/>
                <w:color w:val="000000" w:themeColor="text1"/>
                <w:sz w:val="22"/>
                <w:szCs w:val="22"/>
              </w:rPr>
              <m:t>F</m:t>
            </m:r>
          </m:e>
          <m:sub>
            <m:r>
              <w:rPr>
                <w:rFonts w:ascii="Cambria Math" w:hAnsi="Cambria Math"/>
                <w:color w:val="000000" w:themeColor="text1"/>
                <w:sz w:val="22"/>
                <w:szCs w:val="22"/>
              </w:rPr>
              <m:t>t</m:t>
            </m:r>
          </m:sub>
        </m:sSub>
        <m:r>
          <w:rPr>
            <w:rFonts w:ascii="Cambria Math" w:hAnsi="Cambria Math"/>
            <w:color w:val="000000" w:themeColor="text1"/>
            <w:sz w:val="22"/>
            <w:szCs w:val="22"/>
          </w:rPr>
          <m:t>)</m:t>
        </m:r>
      </m:oMath>
    </w:p>
    <w:p w14:paraId="108CC1E1" w14:textId="77777777" w:rsidR="008236B0" w:rsidRPr="003D74AC" w:rsidRDefault="00000000" w:rsidP="00FC1240">
      <w:pPr>
        <w:numPr>
          <w:ilvl w:val="0"/>
          <w:numId w:val="17"/>
        </w:numPr>
        <w:spacing w:before="100" w:beforeAutospacing="1" w:after="100" w:afterAutospacing="1"/>
        <w:jc w:val="both"/>
        <w:rPr>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f</m:t>
            </m:r>
          </m:e>
          <m:sub>
            <m:r>
              <w:rPr>
                <w:rFonts w:ascii="Cambria Math" w:hAnsi="Cambria Math"/>
                <w:color w:val="000000" w:themeColor="text1"/>
                <w:sz w:val="22"/>
                <w:szCs w:val="22"/>
              </w:rPr>
              <m:t>1</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f</m:t>
            </m:r>
          </m:e>
          <m:sub>
            <m:r>
              <w:rPr>
                <w:rFonts w:ascii="Cambria Math" w:hAnsi="Cambria Math"/>
                <w:color w:val="000000" w:themeColor="text1"/>
                <w:sz w:val="22"/>
                <w:szCs w:val="22"/>
              </w:rPr>
              <m:t>2</m:t>
            </m:r>
          </m:sub>
        </m:sSub>
      </m:oMath>
      <w:r w:rsidR="008236B0" w:rsidRPr="003D74AC">
        <w:rPr>
          <w:color w:val="000000" w:themeColor="text1"/>
          <w:sz w:val="22"/>
          <w:szCs w:val="22"/>
        </w:rPr>
        <w:t>are regime-specific conditional Student-t densities</w:t>
      </w:r>
    </w:p>
    <w:p w14:paraId="0F093BC9" w14:textId="78D33BA1" w:rsidR="001F0C87" w:rsidRPr="003D74AC" w:rsidRDefault="006B60F7" w:rsidP="00FC1240">
      <w:pPr>
        <w:spacing w:before="100" w:beforeAutospacing="1" w:after="100" w:afterAutospacing="1"/>
        <w:jc w:val="both"/>
        <w:rPr>
          <w:color w:val="000000" w:themeColor="text1"/>
          <w:sz w:val="22"/>
          <w:szCs w:val="22"/>
        </w:rPr>
      </w:pPr>
      <w:proofErr w:type="spellStart"/>
      <w:r w:rsidRPr="003D74AC">
        <w:rPr>
          <w:sz w:val="22"/>
          <w:szCs w:val="22"/>
        </w:rPr>
        <w:t>VaR</w:t>
      </w:r>
      <w:proofErr w:type="spellEnd"/>
      <w:r w:rsidRPr="003D74AC">
        <w:rPr>
          <w:sz w:val="22"/>
          <w:szCs w:val="22"/>
        </w:rPr>
        <w:t xml:space="preserve"> and Expected Shortfall (ES) are computed directly from the mixture distribution via numerical integration or quantile inversion, consistent with the coherent risk measure framework of </w:t>
      </w:r>
      <w:proofErr w:type="spellStart"/>
      <w:r w:rsidRPr="003D74AC">
        <w:rPr>
          <w:sz w:val="22"/>
          <w:szCs w:val="22"/>
        </w:rPr>
        <w:t>Artzner</w:t>
      </w:r>
      <w:proofErr w:type="spellEnd"/>
      <w:r w:rsidRPr="003D74AC">
        <w:rPr>
          <w:sz w:val="22"/>
          <w:szCs w:val="22"/>
        </w:rPr>
        <w:t xml:space="preserve"> et al. (1999).</w:t>
      </w:r>
      <w:r w:rsidR="00BA59CB" w:rsidRPr="003D74AC">
        <w:rPr>
          <w:color w:val="000000" w:themeColor="text1"/>
          <w:sz w:val="22"/>
          <w:szCs w:val="22"/>
        </w:rPr>
        <w:t xml:space="preserve"> </w:t>
      </w:r>
      <w:r w:rsidR="008236B0" w:rsidRPr="003D74AC">
        <w:rPr>
          <w:color w:val="000000" w:themeColor="text1"/>
          <w:sz w:val="22"/>
          <w:szCs w:val="22"/>
        </w:rPr>
        <w:t>This specification produces a probabilistic regime-switching forecast without hard state classification or ad hoc volatility scaling.</w:t>
      </w:r>
    </w:p>
    <w:p w14:paraId="0CC65ACE" w14:textId="77777777" w:rsidR="007B2D23" w:rsidRPr="003D74AC" w:rsidRDefault="007B2D23" w:rsidP="00FC1240">
      <w:pPr>
        <w:spacing w:before="100" w:beforeAutospacing="1" w:after="100" w:afterAutospacing="1"/>
        <w:jc w:val="both"/>
        <w:rPr>
          <w:color w:val="000000" w:themeColor="text1"/>
          <w:sz w:val="22"/>
          <w:szCs w:val="22"/>
        </w:rPr>
      </w:pPr>
    </w:p>
    <w:p w14:paraId="4F00F4A6" w14:textId="77777777" w:rsidR="00310DA9" w:rsidRPr="003D74AC" w:rsidRDefault="00310DA9" w:rsidP="00FC1240">
      <w:pPr>
        <w:pStyle w:val="Heading2"/>
        <w:jc w:val="both"/>
        <w:rPr>
          <w:rFonts w:ascii="Times New Roman" w:hAnsi="Times New Roman" w:cs="Times New Roman"/>
          <w:color w:val="000000" w:themeColor="text1"/>
          <w:sz w:val="22"/>
          <w:szCs w:val="22"/>
        </w:rPr>
      </w:pPr>
      <w:r w:rsidRPr="003D74AC">
        <w:rPr>
          <w:rFonts w:ascii="Times New Roman" w:hAnsi="Times New Roman" w:cs="Times New Roman"/>
          <w:color w:val="000000" w:themeColor="text1"/>
          <w:sz w:val="22"/>
          <w:szCs w:val="22"/>
        </w:rPr>
        <w:t>4. Results</w:t>
      </w:r>
    </w:p>
    <w:p w14:paraId="72B659F2" w14:textId="77777777" w:rsidR="00310DA9" w:rsidRPr="003D74AC" w:rsidRDefault="00310DA9" w:rsidP="00FC1240">
      <w:pPr>
        <w:pStyle w:val="Heading3"/>
        <w:jc w:val="both"/>
        <w:rPr>
          <w:rFonts w:ascii="Times New Roman" w:hAnsi="Times New Roman" w:cs="Times New Roman"/>
          <w:b w:val="0"/>
          <w:bCs w:val="0"/>
          <w:color w:val="000000" w:themeColor="text1"/>
          <w:sz w:val="22"/>
          <w:szCs w:val="22"/>
        </w:rPr>
      </w:pPr>
      <w:r w:rsidRPr="003D74AC">
        <w:rPr>
          <w:rFonts w:ascii="Times New Roman" w:hAnsi="Times New Roman" w:cs="Times New Roman"/>
          <w:b w:val="0"/>
          <w:bCs w:val="0"/>
          <w:color w:val="000000" w:themeColor="text1"/>
          <w:sz w:val="22"/>
          <w:szCs w:val="22"/>
        </w:rPr>
        <w:t xml:space="preserve">4.1 </w:t>
      </w:r>
      <w:proofErr w:type="spellStart"/>
      <w:r w:rsidRPr="003D74AC">
        <w:rPr>
          <w:rFonts w:ascii="Times New Roman" w:hAnsi="Times New Roman" w:cs="Times New Roman"/>
          <w:b w:val="0"/>
          <w:bCs w:val="0"/>
          <w:color w:val="000000" w:themeColor="text1"/>
          <w:sz w:val="22"/>
          <w:szCs w:val="22"/>
        </w:rPr>
        <w:t>VaR</w:t>
      </w:r>
      <w:proofErr w:type="spellEnd"/>
      <w:r w:rsidRPr="003D74AC">
        <w:rPr>
          <w:rFonts w:ascii="Times New Roman" w:hAnsi="Times New Roman" w:cs="Times New Roman"/>
          <w:b w:val="0"/>
          <w:bCs w:val="0"/>
          <w:color w:val="000000" w:themeColor="text1"/>
          <w:sz w:val="22"/>
          <w:szCs w:val="22"/>
        </w:rPr>
        <w:t xml:space="preserve"> failure under stress (regime-conditional miscalibration)</w:t>
      </w:r>
    </w:p>
    <w:p w14:paraId="7CE2B4D9" w14:textId="7EBA1582" w:rsidR="005C2141" w:rsidRPr="003D74AC" w:rsidRDefault="00310DA9" w:rsidP="00FC1240">
      <w:pPr>
        <w:pStyle w:val="NormalWeb"/>
        <w:jc w:val="both"/>
        <w:rPr>
          <w:color w:val="000000" w:themeColor="text1"/>
          <w:sz w:val="22"/>
          <w:szCs w:val="22"/>
        </w:rPr>
      </w:pPr>
      <w:r w:rsidRPr="003D74AC">
        <w:rPr>
          <w:color w:val="000000" w:themeColor="text1"/>
          <w:sz w:val="22"/>
          <w:szCs w:val="22"/>
        </w:rPr>
        <w:t xml:space="preserve">Rolling Student-t GARCH(1,1) produces nominally calibrated </w:t>
      </w:r>
      <w:proofErr w:type="spellStart"/>
      <w:r w:rsidRPr="003D74AC">
        <w:rPr>
          <w:color w:val="000000" w:themeColor="text1"/>
          <w:sz w:val="22"/>
          <w:szCs w:val="22"/>
        </w:rPr>
        <w:t>VaR</w:t>
      </w:r>
      <w:proofErr w:type="spellEnd"/>
      <w:r w:rsidRPr="003D74AC">
        <w:rPr>
          <w:color w:val="000000" w:themeColor="text1"/>
          <w:sz w:val="22"/>
          <w:szCs w:val="22"/>
        </w:rPr>
        <w:t xml:space="preserve"> in low-volatility periods but fails sharply in stress regimes. Grouping out-of-sample violations by exogenous VIX quantiles shows strong regime dependence: in </w:t>
      </w:r>
      <w:r w:rsidRPr="003D74AC">
        <w:rPr>
          <w:rStyle w:val="Strong"/>
          <w:b w:val="0"/>
          <w:bCs w:val="0"/>
          <w:color w:val="000000" w:themeColor="text1"/>
          <w:sz w:val="22"/>
          <w:szCs w:val="22"/>
        </w:rPr>
        <w:t>VIX-high</w:t>
      </w:r>
      <w:r w:rsidRPr="003D74AC">
        <w:rPr>
          <w:color w:val="000000" w:themeColor="text1"/>
          <w:sz w:val="22"/>
          <w:szCs w:val="22"/>
        </w:rPr>
        <w:t xml:space="preserve"> periods, </w:t>
      </w:r>
      <w:r w:rsidRPr="003D74AC">
        <w:rPr>
          <w:rStyle w:val="Strong"/>
          <w:b w:val="0"/>
          <w:bCs w:val="0"/>
          <w:color w:val="000000" w:themeColor="text1"/>
          <w:sz w:val="22"/>
          <w:szCs w:val="22"/>
        </w:rPr>
        <w:t>VaR95 violation rates rise to 11.84%</w:t>
      </w:r>
      <w:r w:rsidRPr="003D74AC">
        <w:rPr>
          <w:color w:val="000000" w:themeColor="text1"/>
          <w:sz w:val="22"/>
          <w:szCs w:val="22"/>
        </w:rPr>
        <w:t xml:space="preserve"> under the baseline model (vs 5% nominal), and </w:t>
      </w:r>
      <w:r w:rsidRPr="003D74AC">
        <w:rPr>
          <w:rStyle w:val="Strong"/>
          <w:b w:val="0"/>
          <w:bCs w:val="0"/>
          <w:color w:val="000000" w:themeColor="text1"/>
          <w:sz w:val="22"/>
          <w:szCs w:val="22"/>
        </w:rPr>
        <w:t>VaR99 violations rise to 3.67%</w:t>
      </w:r>
      <w:r w:rsidRPr="003D74AC">
        <w:rPr>
          <w:color w:val="000000" w:themeColor="text1"/>
          <w:sz w:val="22"/>
          <w:szCs w:val="22"/>
        </w:rPr>
        <w:t xml:space="preserve"> (vs 1% nominal). In contrast, low-VIX periods are close to nominal coverage. Standard UC/CC </w:t>
      </w:r>
      <w:proofErr w:type="spellStart"/>
      <w:r w:rsidRPr="003D74AC">
        <w:rPr>
          <w:color w:val="000000" w:themeColor="text1"/>
          <w:sz w:val="22"/>
          <w:szCs w:val="22"/>
        </w:rPr>
        <w:t>backtests</w:t>
      </w:r>
      <w:proofErr w:type="spellEnd"/>
      <w:r w:rsidRPr="003D74AC">
        <w:rPr>
          <w:color w:val="000000" w:themeColor="text1"/>
          <w:sz w:val="22"/>
          <w:szCs w:val="22"/>
        </w:rPr>
        <w:t xml:space="preserve"> reject correct coverage primarily because of the stress-regime under-coverage, rather than uniform miscalibration across time.</w:t>
      </w:r>
    </w:p>
    <w:p w14:paraId="53C1E567" w14:textId="7C29C600" w:rsidR="005C2141" w:rsidRPr="003D74AC" w:rsidRDefault="005C2141" w:rsidP="00FC1240">
      <w:pPr>
        <w:pStyle w:val="NormalWeb"/>
        <w:jc w:val="both"/>
        <w:rPr>
          <w:color w:val="000000" w:themeColor="text1"/>
          <w:sz w:val="22"/>
          <w:szCs w:val="22"/>
        </w:rPr>
      </w:pPr>
      <w:r w:rsidRPr="003D74AC">
        <w:rPr>
          <w:sz w:val="22"/>
          <w:szCs w:val="22"/>
        </w:rPr>
        <w:t>Importantly, the baseline model already incorporates substantial volatility persistence (α+β≈0.993) and heavy-tailed innovations (ν≈6–8). Since scale dynamics and constant tail thickness are already embedded, the residual miscalibration in stress periods cannot be attributed to volatility clustering alone. The evidence is therefore consistent with regime-dependent shifts in tail behaviour rather than simple variance amplification.</w:t>
      </w:r>
    </w:p>
    <w:p w14:paraId="429A224A" w14:textId="62B6408E" w:rsidR="00F67573" w:rsidRPr="003D74AC" w:rsidRDefault="007B2D23" w:rsidP="00802984">
      <w:pPr>
        <w:pStyle w:val="NormalWeb"/>
        <w:jc w:val="center"/>
        <w:rPr>
          <w:color w:val="000000" w:themeColor="text1"/>
          <w:sz w:val="22"/>
          <w:szCs w:val="22"/>
        </w:rPr>
      </w:pPr>
      <w:r w:rsidRPr="003D74AC">
        <w:rPr>
          <w:noProof/>
          <w:color w:val="000000" w:themeColor="text1"/>
          <w:sz w:val="22"/>
          <w:szCs w:val="22"/>
        </w:rPr>
        <w:lastRenderedPageBreak/>
        <w:drawing>
          <wp:inline distT="0" distB="0" distL="0" distR="0" wp14:anchorId="6F7B362A" wp14:editId="795322D4">
            <wp:extent cx="4613563" cy="2288094"/>
            <wp:effectExtent l="0" t="0" r="0" b="0"/>
            <wp:docPr id="338852999" name="Picture 18"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3364" name="Picture 18" descr="A graph showing a graph of a graph&#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3142" cy="2337480"/>
                    </a:xfrm>
                    <a:prstGeom prst="rect">
                      <a:avLst/>
                    </a:prstGeom>
                    <a:noFill/>
                    <a:ln>
                      <a:noFill/>
                    </a:ln>
                  </pic:spPr>
                </pic:pic>
              </a:graphicData>
            </a:graphic>
          </wp:inline>
        </w:drawing>
      </w:r>
    </w:p>
    <w:p w14:paraId="73E3FDA9" w14:textId="2EC02630" w:rsidR="00F67573" w:rsidRPr="003D74AC" w:rsidRDefault="00F67573" w:rsidP="00EC0BA5">
      <w:pPr>
        <w:jc w:val="both"/>
        <w:rPr>
          <w:color w:val="000000" w:themeColor="text1"/>
          <w:sz w:val="22"/>
          <w:szCs w:val="22"/>
        </w:rPr>
      </w:pPr>
      <w:r w:rsidRPr="003D74AC">
        <w:rPr>
          <w:b/>
          <w:bCs/>
          <w:color w:val="000000" w:themeColor="text1"/>
          <w:sz w:val="22"/>
          <w:szCs w:val="22"/>
        </w:rPr>
        <w:t>Figure</w:t>
      </w:r>
      <w:r w:rsidR="00CB451D" w:rsidRPr="003D74AC">
        <w:rPr>
          <w:b/>
          <w:bCs/>
          <w:color w:val="000000" w:themeColor="text1"/>
          <w:sz w:val="22"/>
          <w:szCs w:val="22"/>
        </w:rPr>
        <w:t>1:</w:t>
      </w:r>
      <w:r w:rsidRPr="003D74AC">
        <w:rPr>
          <w:color w:val="000000" w:themeColor="text1"/>
          <w:sz w:val="22"/>
          <w:szCs w:val="22"/>
        </w:rPr>
        <w:t xml:space="preserve"> Regime Timeline (VIX background + ms_p2). Background shading shows VIX-quantile regimes (low/mid/high), while the dashed curve reports the MS-GARCH filtered probability of the high-volatility state (</w:t>
      </w:r>
      <m:oMath>
        <m:r>
          <w:rPr>
            <w:rFonts w:ascii="Cambria Math" w:hAnsi="Cambria Math"/>
            <w:color w:val="000000" w:themeColor="text1"/>
            <w:sz w:val="22"/>
            <w:szCs w:val="22"/>
          </w:rPr>
          <m:t>ms</m:t>
        </m:r>
        <m:r>
          <m:rPr>
            <m:sty m:val="p"/>
          </m:rPr>
          <w:rPr>
            <w:rFonts w:ascii="Cambria Math" w:hAnsi="Cambria Math"/>
            <w:color w:val="000000" w:themeColor="text1"/>
            <w:sz w:val="22"/>
            <w:szCs w:val="22"/>
          </w:rPr>
          <m:t>_</m:t>
        </m:r>
        <m:r>
          <w:rPr>
            <w:rFonts w:ascii="Cambria Math" w:hAnsi="Cambria Math"/>
            <w:color w:val="000000" w:themeColor="text1"/>
            <w:sz w:val="22"/>
            <w:szCs w:val="22"/>
          </w:rPr>
          <m:t>p2</m:t>
        </m:r>
      </m:oMath>
      <w:r w:rsidRPr="003D74AC">
        <w:rPr>
          <w:color w:val="000000" w:themeColor="text1"/>
          <w:sz w:val="22"/>
          <w:szCs w:val="22"/>
        </w:rPr>
        <w:t>). Co-movement validates the stress proxy, while mismatches highlight that the latent Markov state is inferred from return dynamics rather than directly mirroring VIX.</w:t>
      </w:r>
    </w:p>
    <w:p w14:paraId="7C59CBF7" w14:textId="180D8B1B" w:rsidR="00F56569" w:rsidRPr="003D74AC" w:rsidRDefault="00310DA9" w:rsidP="00EC0BA5">
      <w:pPr>
        <w:pStyle w:val="NormalWeb"/>
        <w:jc w:val="both"/>
        <w:rPr>
          <w:color w:val="000000" w:themeColor="text1"/>
          <w:sz w:val="22"/>
          <w:szCs w:val="22"/>
        </w:rPr>
      </w:pPr>
      <w:r w:rsidRPr="003D74AC">
        <w:rPr>
          <w:color w:val="000000" w:themeColor="text1"/>
          <w:sz w:val="22"/>
          <w:szCs w:val="22"/>
        </w:rPr>
        <w:t xml:space="preserve">VIX-based regimes co-move strongly with the MS-GARCH filtered high-volatility probability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t</m:t>
            </m:r>
          </m:sub>
        </m:sSub>
      </m:oMath>
      <w:r w:rsidRPr="003D74AC">
        <w:rPr>
          <w:color w:val="000000" w:themeColor="text1"/>
          <w:sz w:val="22"/>
          <w:szCs w:val="22"/>
        </w:rPr>
        <w:t xml:space="preserve">, validating the economic interpretation of the latent state. However, the series are not identical: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t</m:t>
            </m:r>
          </m:sub>
        </m:sSub>
      </m:oMath>
      <w:r w:rsidRPr="003D74AC">
        <w:rPr>
          <w:color w:val="000000" w:themeColor="text1"/>
          <w:sz w:val="22"/>
          <w:szCs w:val="22"/>
        </w:rPr>
        <w:t>is inferred from return dynamics and reflects persistence/clustering beyond what is mechanically implied by VIX.</w:t>
      </w:r>
    </w:p>
    <w:p w14:paraId="3684D4F2" w14:textId="0DEE5BC1" w:rsidR="00D06591" w:rsidRPr="003D74AC" w:rsidRDefault="00F55C84" w:rsidP="00EC0BA5">
      <w:pPr>
        <w:jc w:val="both"/>
        <w:rPr>
          <w:color w:val="000000" w:themeColor="text1"/>
          <w:sz w:val="22"/>
          <w:szCs w:val="22"/>
        </w:rPr>
      </w:pPr>
      <w:r w:rsidRPr="003D74AC">
        <w:rPr>
          <w:noProof/>
          <w:color w:val="000000" w:themeColor="text1"/>
          <w:sz w:val="22"/>
          <w:szCs w:val="22"/>
        </w:rPr>
        <w:drawing>
          <wp:inline distT="0" distB="0" distL="0" distR="0" wp14:anchorId="720BAA90" wp14:editId="291B0DD5">
            <wp:extent cx="2743200" cy="1355088"/>
            <wp:effectExtent l="0" t="0" r="0" b="4445"/>
            <wp:docPr id="1456399088" name="Picture 13" descr="A graph with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29578" name="Picture 13" descr="A graph with blue and orang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4510" cy="1424893"/>
                    </a:xfrm>
                    <a:prstGeom prst="rect">
                      <a:avLst/>
                    </a:prstGeom>
                    <a:noFill/>
                    <a:ln>
                      <a:noFill/>
                    </a:ln>
                  </pic:spPr>
                </pic:pic>
              </a:graphicData>
            </a:graphic>
          </wp:inline>
        </w:drawing>
      </w:r>
      <w:r w:rsidR="007B2D23" w:rsidRPr="003D74AC">
        <w:rPr>
          <w:noProof/>
          <w:color w:val="000000" w:themeColor="text1"/>
          <w:sz w:val="22"/>
          <w:szCs w:val="22"/>
        </w:rPr>
        <w:drawing>
          <wp:inline distT="0" distB="0" distL="0" distR="0" wp14:anchorId="489F242C" wp14:editId="25509273">
            <wp:extent cx="2743200" cy="1355087"/>
            <wp:effectExtent l="0" t="0" r="0" b="4445"/>
            <wp:docPr id="592473421" name="Picture 12" descr="A graph with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02077" name="Picture 12" descr="A graph with blue and orange squar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4789" cy="1370691"/>
                    </a:xfrm>
                    <a:prstGeom prst="rect">
                      <a:avLst/>
                    </a:prstGeom>
                    <a:noFill/>
                    <a:ln>
                      <a:noFill/>
                    </a:ln>
                  </pic:spPr>
                </pic:pic>
              </a:graphicData>
            </a:graphic>
          </wp:inline>
        </w:drawing>
      </w:r>
    </w:p>
    <w:p w14:paraId="7921FA01" w14:textId="664A8ECC" w:rsidR="00281807" w:rsidRPr="003D74AC" w:rsidRDefault="007B2D23" w:rsidP="00EC0BA5">
      <w:pPr>
        <w:pStyle w:val="Heading3"/>
        <w:jc w:val="both"/>
        <w:rPr>
          <w:rFonts w:ascii="Times New Roman" w:hAnsi="Times New Roman" w:cs="Times New Roman"/>
          <w:b w:val="0"/>
          <w:bCs w:val="0"/>
          <w:color w:val="000000" w:themeColor="text1"/>
          <w:sz w:val="22"/>
          <w:szCs w:val="22"/>
        </w:rPr>
      </w:pPr>
      <w:r w:rsidRPr="003D74AC">
        <w:rPr>
          <w:rFonts w:ascii="Times New Roman" w:hAnsi="Times New Roman" w:cs="Times New Roman"/>
          <w:color w:val="000000" w:themeColor="text1"/>
          <w:sz w:val="22"/>
          <w:szCs w:val="22"/>
        </w:rPr>
        <w:t>figure 2:</w:t>
      </w:r>
      <w:r w:rsidRPr="003D74AC">
        <w:rPr>
          <w:rFonts w:ascii="Times New Roman" w:hAnsi="Times New Roman" w:cs="Times New Roman"/>
          <w:b w:val="0"/>
          <w:bCs w:val="0"/>
          <w:color w:val="000000" w:themeColor="text1"/>
          <w:sz w:val="22"/>
          <w:szCs w:val="22"/>
        </w:rPr>
        <w:t xml:space="preserve"> </w:t>
      </w:r>
      <w:proofErr w:type="spellStart"/>
      <w:r w:rsidRPr="003D74AC">
        <w:rPr>
          <w:rFonts w:ascii="Times New Roman" w:hAnsi="Times New Roman" w:cs="Times New Roman"/>
          <w:b w:val="0"/>
          <w:bCs w:val="0"/>
          <w:color w:val="000000" w:themeColor="text1"/>
          <w:sz w:val="22"/>
          <w:szCs w:val="22"/>
        </w:rPr>
        <w:t>Backtest</w:t>
      </w:r>
      <w:proofErr w:type="spellEnd"/>
      <w:r w:rsidRPr="003D74AC">
        <w:rPr>
          <w:rFonts w:ascii="Times New Roman" w:hAnsi="Times New Roman" w:cs="Times New Roman"/>
          <w:b w:val="0"/>
          <w:bCs w:val="0"/>
          <w:color w:val="000000" w:themeColor="text1"/>
          <w:sz w:val="22"/>
          <w:szCs w:val="22"/>
        </w:rPr>
        <w:t xml:space="preserve"> Violations by VIX Regime</w:t>
      </w:r>
      <w:r w:rsidR="00281807" w:rsidRPr="003D74AC">
        <w:rPr>
          <w:rFonts w:ascii="Times New Roman" w:hAnsi="Times New Roman" w:cs="Times New Roman"/>
          <w:b w:val="0"/>
          <w:bCs w:val="0"/>
          <w:color w:val="000000" w:themeColor="text1"/>
          <w:sz w:val="22"/>
          <w:szCs w:val="22"/>
        </w:rPr>
        <w:t xml:space="preserve">. The bars summarizes the core </w:t>
      </w:r>
      <w:proofErr w:type="spellStart"/>
      <w:r w:rsidR="00281807" w:rsidRPr="003D74AC">
        <w:rPr>
          <w:rFonts w:ascii="Times New Roman" w:hAnsi="Times New Roman" w:cs="Times New Roman"/>
          <w:b w:val="0"/>
          <w:bCs w:val="0"/>
          <w:color w:val="000000" w:themeColor="text1"/>
          <w:sz w:val="22"/>
          <w:szCs w:val="22"/>
        </w:rPr>
        <w:t>backtest</w:t>
      </w:r>
      <w:proofErr w:type="spellEnd"/>
      <w:r w:rsidR="00281807" w:rsidRPr="003D74AC">
        <w:rPr>
          <w:rFonts w:ascii="Times New Roman" w:hAnsi="Times New Roman" w:cs="Times New Roman"/>
          <w:b w:val="0"/>
          <w:bCs w:val="0"/>
          <w:color w:val="000000" w:themeColor="text1"/>
          <w:sz w:val="22"/>
          <w:szCs w:val="22"/>
        </w:rPr>
        <w:t xml:space="preserve"> result: violation rates are near nominal in low/mid regimes and markedly above nominal in high regimes, confirming that </w:t>
      </w:r>
      <w:proofErr w:type="spellStart"/>
      <w:r w:rsidR="00281807" w:rsidRPr="003D74AC">
        <w:rPr>
          <w:rFonts w:ascii="Times New Roman" w:hAnsi="Times New Roman" w:cs="Times New Roman"/>
          <w:b w:val="0"/>
          <w:bCs w:val="0"/>
          <w:color w:val="000000" w:themeColor="text1"/>
          <w:sz w:val="22"/>
          <w:szCs w:val="22"/>
        </w:rPr>
        <w:t>VaR</w:t>
      </w:r>
      <w:proofErr w:type="spellEnd"/>
      <w:r w:rsidR="00281807" w:rsidRPr="003D74AC">
        <w:rPr>
          <w:rFonts w:ascii="Times New Roman" w:hAnsi="Times New Roman" w:cs="Times New Roman"/>
          <w:b w:val="0"/>
          <w:bCs w:val="0"/>
          <w:color w:val="000000" w:themeColor="text1"/>
          <w:sz w:val="22"/>
          <w:szCs w:val="22"/>
        </w:rPr>
        <w:t xml:space="preserve"> failure is concentrated in stress states.</w:t>
      </w:r>
    </w:p>
    <w:p w14:paraId="1B7EB0F9" w14:textId="77777777" w:rsidR="00281807" w:rsidRPr="003D74AC" w:rsidRDefault="00281807" w:rsidP="00EC0BA5">
      <w:pPr>
        <w:jc w:val="both"/>
        <w:rPr>
          <w:color w:val="000000" w:themeColor="text1"/>
          <w:sz w:val="22"/>
          <w:szCs w:val="22"/>
        </w:rPr>
      </w:pPr>
    </w:p>
    <w:p w14:paraId="5ED1071C" w14:textId="466738A9" w:rsidR="00697FF1" w:rsidRPr="003D74AC" w:rsidRDefault="00710DD6" w:rsidP="00EC0BA5">
      <w:pPr>
        <w:jc w:val="both"/>
        <w:rPr>
          <w:color w:val="000000" w:themeColor="text1"/>
          <w:sz w:val="22"/>
          <w:szCs w:val="22"/>
        </w:rPr>
      </w:pPr>
      <w:proofErr w:type="spellStart"/>
      <w:r w:rsidRPr="003D74AC">
        <w:rPr>
          <w:color w:val="000000" w:themeColor="text1"/>
          <w:sz w:val="22"/>
          <w:szCs w:val="22"/>
        </w:rPr>
        <w:t>Sepecifically</w:t>
      </w:r>
      <w:proofErr w:type="spellEnd"/>
      <w:r w:rsidRPr="003D74AC">
        <w:rPr>
          <w:color w:val="000000" w:themeColor="text1"/>
          <w:sz w:val="22"/>
          <w:szCs w:val="22"/>
        </w:rPr>
        <w:t>, i</w:t>
      </w:r>
      <w:r w:rsidR="007B2D23" w:rsidRPr="003D74AC">
        <w:rPr>
          <w:color w:val="000000" w:themeColor="text1"/>
          <w:sz w:val="22"/>
          <w:szCs w:val="22"/>
        </w:rPr>
        <w:t xml:space="preserve">n high regimes, violation rates far exceed nominal levels (VaR95 ≈ 10–12% vs 5%; VaR99 ≈ 3%+ vs 1%). The MS-mixture reduces violations relative to baseline but does not fully restore nominal coverage. </w:t>
      </w:r>
      <w:proofErr w:type="spellStart"/>
      <w:r w:rsidR="007B2D23" w:rsidRPr="003D74AC">
        <w:rPr>
          <w:color w:val="000000" w:themeColor="text1"/>
          <w:sz w:val="22"/>
          <w:szCs w:val="22"/>
        </w:rPr>
        <w:t>Backtests</w:t>
      </w:r>
      <w:proofErr w:type="spellEnd"/>
      <w:r w:rsidR="007B2D23" w:rsidRPr="003D74AC">
        <w:rPr>
          <w:color w:val="000000" w:themeColor="text1"/>
          <w:sz w:val="22"/>
          <w:szCs w:val="22"/>
        </w:rPr>
        <w:t xml:space="preserve"> show severe under-coverage in high-volatility regimes; regime-switching mixtures reduce but do not eliminate this under-coverage.</w:t>
      </w:r>
    </w:p>
    <w:p w14:paraId="172E5299" w14:textId="77777777" w:rsidR="00E86AE3" w:rsidRPr="003D74AC" w:rsidRDefault="00E86AE3" w:rsidP="00EC0BA5">
      <w:pPr>
        <w:pStyle w:val="Heading3"/>
        <w:jc w:val="both"/>
        <w:rPr>
          <w:rFonts w:ascii="Times New Roman" w:hAnsi="Times New Roman" w:cs="Times New Roman"/>
          <w:b w:val="0"/>
          <w:bCs w:val="0"/>
          <w:color w:val="000000" w:themeColor="text1"/>
          <w:sz w:val="22"/>
          <w:szCs w:val="22"/>
        </w:rPr>
      </w:pPr>
    </w:p>
    <w:p w14:paraId="1210EFF3" w14:textId="42782B9F" w:rsidR="00310DA9" w:rsidRPr="003D74AC" w:rsidRDefault="00310DA9" w:rsidP="00EC0BA5">
      <w:pPr>
        <w:pStyle w:val="Heading3"/>
        <w:jc w:val="both"/>
        <w:rPr>
          <w:rFonts w:ascii="Times New Roman" w:hAnsi="Times New Roman" w:cs="Times New Roman"/>
          <w:b w:val="0"/>
          <w:bCs w:val="0"/>
          <w:color w:val="000000" w:themeColor="text1"/>
          <w:sz w:val="22"/>
          <w:szCs w:val="22"/>
        </w:rPr>
      </w:pPr>
      <w:r w:rsidRPr="003D74AC">
        <w:rPr>
          <w:rFonts w:ascii="Times New Roman" w:hAnsi="Times New Roman" w:cs="Times New Roman"/>
          <w:b w:val="0"/>
          <w:bCs w:val="0"/>
          <w:color w:val="000000" w:themeColor="text1"/>
          <w:sz w:val="22"/>
          <w:szCs w:val="22"/>
        </w:rPr>
        <w:t>4.2 Evidence of tail shift (POT–GPD)</w:t>
      </w:r>
    </w:p>
    <w:p w14:paraId="6A36CC6D" w14:textId="77777777" w:rsidR="00852DCF" w:rsidRPr="003D74AC" w:rsidRDefault="00852DCF" w:rsidP="00EC0BA5">
      <w:pPr>
        <w:pStyle w:val="NormalWeb"/>
        <w:jc w:val="both"/>
        <w:rPr>
          <w:sz w:val="22"/>
          <w:szCs w:val="22"/>
        </w:rPr>
      </w:pPr>
      <w:r w:rsidRPr="003D74AC">
        <w:rPr>
          <w:sz w:val="22"/>
          <w:szCs w:val="22"/>
        </w:rPr>
        <w:t>To assess whether stress miscalibration reflects structural tail changes, tail thickness is estimated using a Peaks-over-Threshold (POT) framework applied to standardised losses.</w:t>
      </w:r>
    </w:p>
    <w:p w14:paraId="534D6CEE" w14:textId="77777777" w:rsidR="00852DCF" w:rsidRPr="003D74AC" w:rsidRDefault="00852DCF" w:rsidP="00664549">
      <w:pPr>
        <w:pStyle w:val="NormalWeb"/>
        <w:jc w:val="both"/>
        <w:rPr>
          <w:sz w:val="22"/>
          <w:szCs w:val="22"/>
        </w:rPr>
      </w:pPr>
      <w:r w:rsidRPr="003D74AC">
        <w:rPr>
          <w:sz w:val="22"/>
          <w:szCs w:val="22"/>
        </w:rPr>
        <w:lastRenderedPageBreak/>
        <w:t>Extreme-event frequencies increase markedly with stress intensity. Under VIX regimes, the probability of a standardised loss exceeding −3 rises from 0.28% in VIX-low to 1.90% in VIX-high regimes (approximately 6.7× higher). Conditioning on endogenous MS states yields even sharper separation. Sorting observations by filtered regime probability produces a monotonic gradient in tail frequency, with the highest quartile exhibiting substantially elevated extreme risk.</w:t>
      </w:r>
    </w:p>
    <w:p w14:paraId="5C58BF8D" w14:textId="77777777" w:rsidR="00852DCF" w:rsidRPr="003D74AC" w:rsidRDefault="00852DCF" w:rsidP="00664549">
      <w:pPr>
        <w:pStyle w:val="NormalWeb"/>
        <w:jc w:val="both"/>
        <w:rPr>
          <w:sz w:val="22"/>
          <w:szCs w:val="22"/>
        </w:rPr>
      </w:pPr>
      <w:r w:rsidRPr="003D74AC">
        <w:rPr>
          <w:sz w:val="22"/>
          <w:szCs w:val="22"/>
        </w:rPr>
        <w:t xml:space="preserve">Beyond frequency amplification, GPD tail-index estimates differ significantly across regimes. The estimated difference </w:t>
      </w:r>
      <w:proofErr w:type="spellStart"/>
      <w:r w:rsidRPr="003D74AC">
        <w:rPr>
          <w:sz w:val="22"/>
          <w:szCs w:val="22"/>
        </w:rPr>
        <w:t>Δξ</w:t>
      </w:r>
      <w:proofErr w:type="spellEnd"/>
      <w:r w:rsidRPr="003D74AC">
        <w:rPr>
          <w:sz w:val="22"/>
          <w:szCs w:val="22"/>
        </w:rPr>
        <w:t xml:space="preserve"> between high- and low-volatility states is statistically significant under bootstrap inference, supporting economically meaningful tail thickening in stress periods. While tranquil-state estimates are imprecise due to limited exceedances, inference based on regime differences remains statistically supported.</w:t>
      </w:r>
    </w:p>
    <w:p w14:paraId="53B95CF0" w14:textId="77777777" w:rsidR="00852DCF" w:rsidRPr="003D74AC" w:rsidRDefault="00852DCF" w:rsidP="00664549">
      <w:pPr>
        <w:pStyle w:val="NormalWeb"/>
        <w:jc w:val="both"/>
        <w:rPr>
          <w:sz w:val="22"/>
          <w:szCs w:val="22"/>
        </w:rPr>
      </w:pPr>
      <w:r w:rsidRPr="003D74AC">
        <w:rPr>
          <w:sz w:val="22"/>
          <w:szCs w:val="22"/>
        </w:rPr>
        <w:t>Taken together, these findings indicate that stress regimes are associated not only with higher conditional scale, but with structural changes in tail curvature.</w:t>
      </w:r>
    </w:p>
    <w:p w14:paraId="1E58C308" w14:textId="77777777" w:rsidR="00852DCF" w:rsidRPr="003D74AC" w:rsidRDefault="00852DCF" w:rsidP="00664549">
      <w:pPr>
        <w:jc w:val="both"/>
        <w:rPr>
          <w:sz w:val="22"/>
          <w:szCs w:val="22"/>
        </w:rPr>
      </w:pPr>
    </w:p>
    <w:p w14:paraId="3157AEA0" w14:textId="636EBE4D" w:rsidR="00C20220" w:rsidRPr="003D74AC" w:rsidRDefault="00C20220" w:rsidP="00664549">
      <w:pPr>
        <w:jc w:val="both"/>
        <w:rPr>
          <w:color w:val="000000" w:themeColor="text1"/>
          <w:sz w:val="22"/>
          <w:szCs w:val="22"/>
        </w:rPr>
      </w:pPr>
      <w:r w:rsidRPr="003D74AC">
        <w:rPr>
          <w:noProof/>
          <w:color w:val="000000" w:themeColor="text1"/>
          <w:sz w:val="22"/>
          <w:szCs w:val="22"/>
        </w:rPr>
        <w:drawing>
          <wp:inline distT="0" distB="0" distL="0" distR="0" wp14:anchorId="7D2C29F0" wp14:editId="0FB8CFBC">
            <wp:extent cx="2621280" cy="1294862"/>
            <wp:effectExtent l="0" t="0" r="0" b="635"/>
            <wp:docPr id="225963036" name="Picture 16" descr="A white background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49468" name="Picture 16" descr="A white background with blue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5061" cy="1326368"/>
                    </a:xfrm>
                    <a:prstGeom prst="rect">
                      <a:avLst/>
                    </a:prstGeom>
                    <a:noFill/>
                    <a:ln>
                      <a:noFill/>
                    </a:ln>
                  </pic:spPr>
                </pic:pic>
              </a:graphicData>
            </a:graphic>
          </wp:inline>
        </w:drawing>
      </w:r>
      <w:r w:rsidR="004546F1" w:rsidRPr="003D74AC">
        <w:rPr>
          <w:noProof/>
          <w:color w:val="000000" w:themeColor="text1"/>
          <w:sz w:val="22"/>
          <w:szCs w:val="22"/>
        </w:rPr>
        <w:drawing>
          <wp:inline distT="0" distB="0" distL="0" distR="0" wp14:anchorId="2A878B15" wp14:editId="1217022F">
            <wp:extent cx="2758440" cy="1209373"/>
            <wp:effectExtent l="0" t="0" r="0" b="0"/>
            <wp:docPr id="617056874" name="Picture 1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41484" name="Picture 17" descr="A graph with a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8554" cy="1218191"/>
                    </a:xfrm>
                    <a:prstGeom prst="rect">
                      <a:avLst/>
                    </a:prstGeom>
                    <a:noFill/>
                    <a:ln>
                      <a:noFill/>
                    </a:ln>
                  </pic:spPr>
                </pic:pic>
              </a:graphicData>
            </a:graphic>
          </wp:inline>
        </w:drawing>
      </w:r>
    </w:p>
    <w:p w14:paraId="39AB007B" w14:textId="77777777" w:rsidR="00C20220" w:rsidRPr="003D74AC" w:rsidRDefault="00C20220" w:rsidP="00664549">
      <w:pPr>
        <w:jc w:val="both"/>
        <w:rPr>
          <w:color w:val="000000" w:themeColor="text1"/>
          <w:sz w:val="22"/>
          <w:szCs w:val="22"/>
        </w:rPr>
      </w:pPr>
    </w:p>
    <w:p w14:paraId="67C6EA94" w14:textId="48553673" w:rsidR="00FC1240" w:rsidRPr="003D74AC" w:rsidRDefault="00C20220" w:rsidP="00664549">
      <w:pPr>
        <w:pStyle w:val="Heading3"/>
        <w:jc w:val="both"/>
        <w:rPr>
          <w:rFonts w:ascii="Times New Roman" w:hAnsi="Times New Roman" w:cs="Times New Roman"/>
          <w:b w:val="0"/>
          <w:bCs w:val="0"/>
          <w:color w:val="000000" w:themeColor="text1"/>
          <w:sz w:val="22"/>
          <w:szCs w:val="22"/>
        </w:rPr>
      </w:pPr>
      <w:r w:rsidRPr="003D74AC">
        <w:rPr>
          <w:rStyle w:val="Strong"/>
          <w:rFonts w:ascii="Times New Roman" w:hAnsi="Times New Roman" w:cs="Times New Roman"/>
          <w:color w:val="000000" w:themeColor="text1"/>
          <w:sz w:val="22"/>
          <w:szCs w:val="22"/>
        </w:rPr>
        <w:t>Figure 3</w:t>
      </w:r>
      <w:r w:rsidRPr="003D74AC">
        <w:rPr>
          <w:rFonts w:ascii="Times New Roman" w:hAnsi="Times New Roman" w:cs="Times New Roman"/>
          <w:b w:val="0"/>
          <w:bCs w:val="0"/>
          <w:color w:val="000000" w:themeColor="text1"/>
          <w:sz w:val="22"/>
          <w:szCs w:val="22"/>
        </w:rPr>
        <w:t xml:space="preserve"> Tail Shift (xi by regime). Figure reports bootstrap confidence intervals for the GPD tail index across VIX regimes and across MS-state probability bins. Under high VIX regimes, the estimated tail index is significantly positive (ξ ≈ 0.62, 95% CI [0.51, 0.83]), confirming economically meaningful heavy-tail </w:t>
      </w:r>
      <w:proofErr w:type="spellStart"/>
      <w:r w:rsidRPr="003D74AC">
        <w:rPr>
          <w:rFonts w:ascii="Times New Roman" w:hAnsi="Times New Roman" w:cs="Times New Roman"/>
          <w:b w:val="0"/>
          <w:bCs w:val="0"/>
          <w:color w:val="000000" w:themeColor="text1"/>
          <w:sz w:val="22"/>
          <w:szCs w:val="22"/>
        </w:rPr>
        <w:t>behavior</w:t>
      </w:r>
      <w:proofErr w:type="spellEnd"/>
      <w:r w:rsidRPr="003D74AC">
        <w:rPr>
          <w:rFonts w:ascii="Times New Roman" w:hAnsi="Times New Roman" w:cs="Times New Roman"/>
          <w:b w:val="0"/>
          <w:bCs w:val="0"/>
          <w:color w:val="000000" w:themeColor="text1"/>
          <w:sz w:val="22"/>
          <w:szCs w:val="22"/>
        </w:rPr>
        <w:t xml:space="preserve"> during stress. Mid regimes exhibit similar though slightly lower tail thickness. ms_p2 quartile results serve as robustness checks; wide confidence intervals reflect small-sample uncertainty in POT estimation.</w:t>
      </w:r>
    </w:p>
    <w:p w14:paraId="1B4C5221" w14:textId="77777777" w:rsidR="00FC1240" w:rsidRPr="003D74AC" w:rsidRDefault="00FC1240" w:rsidP="00664549">
      <w:pPr>
        <w:jc w:val="both"/>
        <w:rPr>
          <w:sz w:val="22"/>
          <w:szCs w:val="22"/>
        </w:rPr>
      </w:pPr>
    </w:p>
    <w:p w14:paraId="02F72D5A" w14:textId="77777777" w:rsidR="00310DA9" w:rsidRPr="003D74AC" w:rsidRDefault="00310DA9" w:rsidP="00664549">
      <w:pPr>
        <w:pStyle w:val="Heading3"/>
        <w:jc w:val="both"/>
        <w:rPr>
          <w:rFonts w:ascii="Times New Roman" w:hAnsi="Times New Roman" w:cs="Times New Roman"/>
          <w:b w:val="0"/>
          <w:bCs w:val="0"/>
          <w:color w:val="000000" w:themeColor="text1"/>
          <w:sz w:val="22"/>
          <w:szCs w:val="22"/>
        </w:rPr>
      </w:pPr>
      <w:r w:rsidRPr="003D74AC">
        <w:rPr>
          <w:rFonts w:ascii="Times New Roman" w:hAnsi="Times New Roman" w:cs="Times New Roman"/>
          <w:b w:val="0"/>
          <w:bCs w:val="0"/>
          <w:color w:val="000000" w:themeColor="text1"/>
          <w:sz w:val="22"/>
          <w:szCs w:val="22"/>
        </w:rPr>
        <w:t>4.3 Regime-mixture improves calibration (but extreme quantiles remain hard)</w:t>
      </w:r>
    </w:p>
    <w:p w14:paraId="12149AAA" w14:textId="77777777" w:rsidR="00852DCF" w:rsidRPr="003D74AC" w:rsidRDefault="00852DCF" w:rsidP="00664549">
      <w:pPr>
        <w:jc w:val="both"/>
        <w:rPr>
          <w:sz w:val="22"/>
          <w:szCs w:val="22"/>
        </w:rPr>
      </w:pPr>
    </w:p>
    <w:p w14:paraId="41CF5F92" w14:textId="52358850" w:rsidR="00852DCF" w:rsidRPr="003D74AC" w:rsidRDefault="00852DCF" w:rsidP="00664549">
      <w:pPr>
        <w:jc w:val="both"/>
        <w:rPr>
          <w:sz w:val="22"/>
          <w:szCs w:val="22"/>
        </w:rPr>
      </w:pPr>
      <w:r w:rsidRPr="003D74AC">
        <w:rPr>
          <w:sz w:val="22"/>
          <w:szCs w:val="22"/>
        </w:rPr>
        <w:t>To incorporate regime dependence directly into the predictive distribution, a probabilistic mixture density is constructed using filtered state probabilities:</w:t>
      </w:r>
    </w:p>
    <w:p w14:paraId="5A4FDBE7" w14:textId="77777777" w:rsidR="00036672" w:rsidRPr="003D74AC" w:rsidRDefault="00036672" w:rsidP="00664549">
      <w:pPr>
        <w:jc w:val="both"/>
        <w:rPr>
          <w:sz w:val="22"/>
          <w:szCs w:val="22"/>
        </w:rPr>
      </w:pPr>
    </w:p>
    <w:p w14:paraId="2A03F1BA" w14:textId="7345AFA2" w:rsidR="000D2E63" w:rsidRPr="003D74AC" w:rsidRDefault="00036672" w:rsidP="00664549">
      <w:pPr>
        <w:jc w:val="both"/>
        <w:rPr>
          <w:color w:val="000000" w:themeColor="text1"/>
          <w:sz w:val="22"/>
          <w:szCs w:val="22"/>
        </w:rPr>
      </w:pPr>
      <m:oMathPara>
        <m:oMath>
          <m:r>
            <w:rPr>
              <w:rFonts w:ascii="Cambria Math" w:hAnsi="Cambria Math"/>
              <w:color w:val="000000" w:themeColor="text1"/>
              <w:sz w:val="22"/>
              <w:szCs w:val="22"/>
            </w:rPr>
            <m:t>f</m:t>
          </m:r>
          <m:d>
            <m:dPr>
              <m:sepChr m:val="∣"/>
              <m:ctrlPr>
                <w:rPr>
                  <w:rFonts w:ascii="Cambria Math" w:hAnsi="Cambria Math"/>
                  <w:i/>
                  <w:color w:val="000000" w:themeColor="text1"/>
                  <w:sz w:val="22"/>
                  <w:szCs w:val="22"/>
                </w:rPr>
              </m:ctrlPr>
            </m:dPr>
            <m:e>
              <m:sSub>
                <m:sSubPr>
                  <m:ctrlPr>
                    <w:rPr>
                      <w:rFonts w:ascii="Cambria Math" w:hAnsi="Cambria Math"/>
                      <w:color w:val="000000" w:themeColor="text1"/>
                      <w:sz w:val="22"/>
                      <w:szCs w:val="22"/>
                    </w:rPr>
                  </m:ctrlPr>
                </m:sSubPr>
                <m:e>
                  <m:r>
                    <w:rPr>
                      <w:rFonts w:ascii="Cambria Math" w:hAnsi="Cambria Math"/>
                      <w:color w:val="000000" w:themeColor="text1"/>
                      <w:sz w:val="22"/>
                      <w:szCs w:val="22"/>
                    </w:rPr>
                    <m:t>r</m:t>
                  </m:r>
                </m:e>
                <m:sub>
                  <m:r>
                    <w:rPr>
                      <w:rFonts w:ascii="Cambria Math" w:hAnsi="Cambria Math"/>
                      <w:color w:val="000000" w:themeColor="text1"/>
                      <w:sz w:val="22"/>
                      <w:szCs w:val="22"/>
                    </w:rPr>
                    <m:t>t+1</m:t>
                  </m:r>
                </m:sub>
              </m:sSub>
            </m:e>
            <m:e>
              <m:sSub>
                <m:sSubPr>
                  <m:ctrlPr>
                    <w:rPr>
                      <w:rFonts w:ascii="Cambria Math" w:hAnsi="Cambria Math"/>
                      <w:color w:val="000000" w:themeColor="text1"/>
                      <w:sz w:val="22"/>
                      <w:szCs w:val="22"/>
                    </w:rPr>
                  </m:ctrlPr>
                </m:sSubPr>
                <m:e>
                  <m:r>
                    <m:rPr>
                      <m:scr m:val="script"/>
                    </m:rPr>
                    <w:rPr>
                      <w:rFonts w:ascii="Cambria Math" w:hAnsi="Cambria Math"/>
                      <w:color w:val="000000" w:themeColor="text1"/>
                      <w:sz w:val="22"/>
                      <w:szCs w:val="22"/>
                    </w:rPr>
                    <m:t>F</m:t>
                  </m:r>
                </m:e>
                <m:sub>
                  <m:r>
                    <w:rPr>
                      <w:rFonts w:ascii="Cambria Math" w:hAnsi="Cambria Math"/>
                      <w:color w:val="000000" w:themeColor="text1"/>
                      <w:sz w:val="22"/>
                      <w:szCs w:val="22"/>
                    </w:rPr>
                    <m:t>t</m:t>
                  </m:r>
                </m:sub>
              </m:sSub>
            </m:e>
          </m:d>
          <m:r>
            <w:rPr>
              <w:rFonts w:ascii="Cambria Math" w:hAnsi="Cambria Math"/>
              <w:color w:val="000000" w:themeColor="text1"/>
              <w:sz w:val="22"/>
              <w:szCs w:val="22"/>
            </w:rPr>
            <m:t>=</m:t>
          </m:r>
          <m:d>
            <m:dPr>
              <m:ctrlPr>
                <w:rPr>
                  <w:rFonts w:ascii="Cambria Math" w:hAnsi="Cambria Math"/>
                  <w:i/>
                  <w:color w:val="000000" w:themeColor="text1"/>
                  <w:sz w:val="22"/>
                  <w:szCs w:val="22"/>
                </w:rPr>
              </m:ctrlPr>
            </m:dPr>
            <m:e>
              <m:r>
                <w:rPr>
                  <w:rFonts w:ascii="Cambria Math" w:hAnsi="Cambria Math"/>
                  <w:color w:val="000000" w:themeColor="text1"/>
                  <w:sz w:val="22"/>
                  <w:szCs w:val="22"/>
                </w:rPr>
                <m:t>1-</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t</m:t>
                  </m:r>
                </m:sub>
              </m:sSub>
            </m:e>
          </m:d>
          <m:sSub>
            <m:sSubPr>
              <m:ctrlPr>
                <w:rPr>
                  <w:rFonts w:ascii="Cambria Math" w:hAnsi="Cambria Math"/>
                  <w:color w:val="000000" w:themeColor="text1"/>
                  <w:sz w:val="22"/>
                  <w:szCs w:val="22"/>
                </w:rPr>
              </m:ctrlPr>
            </m:sSubPr>
            <m:e>
              <m:r>
                <w:rPr>
                  <w:rFonts w:ascii="Cambria Math" w:hAnsi="Cambria Math"/>
                  <w:color w:val="000000" w:themeColor="text1"/>
                  <w:sz w:val="22"/>
                  <w:szCs w:val="22"/>
                </w:rPr>
                <m:t>f</m:t>
              </m:r>
            </m:e>
            <m:sub>
              <m:r>
                <w:rPr>
                  <w:rFonts w:ascii="Cambria Math" w:hAnsi="Cambria Math"/>
                  <w:color w:val="000000" w:themeColor="text1"/>
                  <w:sz w:val="22"/>
                  <w:szCs w:val="22"/>
                </w:rPr>
                <m:t>1</m:t>
              </m:r>
            </m:sub>
          </m:sSub>
          <m:d>
            <m:dPr>
              <m:ctrlPr>
                <w:rPr>
                  <w:rFonts w:ascii="Cambria Math" w:hAnsi="Cambria Math"/>
                  <w:i/>
                  <w:color w:val="000000" w:themeColor="text1"/>
                  <w:sz w:val="22"/>
                  <w:szCs w:val="22"/>
                </w:rPr>
              </m:ctrlPr>
            </m:dPr>
            <m:e>
              <m:r>
                <w:rPr>
                  <w:rFonts w:ascii="Cambria Math" w:hAnsi="Cambria Math"/>
                  <w:color w:val="000000" w:themeColor="text1"/>
                  <w:sz w:val="22"/>
                  <w:szCs w:val="22"/>
                </w:rPr>
                <m:t>r</m:t>
              </m:r>
            </m:e>
          </m:d>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t</m:t>
              </m:r>
            </m:sub>
          </m:s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f</m:t>
              </m:r>
            </m:e>
            <m:sub>
              <m:r>
                <w:rPr>
                  <w:rFonts w:ascii="Cambria Math" w:hAnsi="Cambria Math"/>
                  <w:color w:val="000000" w:themeColor="text1"/>
                  <w:sz w:val="22"/>
                  <w:szCs w:val="22"/>
                </w:rPr>
                <m:t>2</m:t>
              </m:r>
            </m:sub>
          </m:sSub>
          <m:d>
            <m:dPr>
              <m:ctrlPr>
                <w:rPr>
                  <w:rFonts w:ascii="Cambria Math" w:hAnsi="Cambria Math"/>
                  <w:i/>
                  <w:color w:val="000000" w:themeColor="text1"/>
                  <w:sz w:val="22"/>
                  <w:szCs w:val="22"/>
                </w:rPr>
              </m:ctrlPr>
            </m:dPr>
            <m:e>
              <m:r>
                <w:rPr>
                  <w:rFonts w:ascii="Cambria Math" w:hAnsi="Cambria Math"/>
                  <w:color w:val="000000" w:themeColor="text1"/>
                  <w:sz w:val="22"/>
                  <w:szCs w:val="22"/>
                </w:rPr>
                <m:t>r</m:t>
              </m:r>
            </m:e>
          </m:d>
          <m:r>
            <w:rPr>
              <w:rFonts w:ascii="Cambria Math" w:hAnsi="Cambria Math"/>
              <w:color w:val="000000" w:themeColor="text1"/>
              <w:sz w:val="22"/>
              <w:szCs w:val="22"/>
            </w:rPr>
            <m:t>,</m:t>
          </m:r>
          <m:r>
            <m:rPr>
              <m:sty m:val="p"/>
            </m:rPr>
            <w:rPr>
              <w:rFonts w:ascii="Cambria Math" w:hAnsi="Cambria Math"/>
              <w:color w:val="000000" w:themeColor="text1"/>
              <w:sz w:val="22"/>
              <w:szCs w:val="22"/>
            </w:rPr>
            <w:br/>
          </m:r>
        </m:oMath>
      </m:oMathPara>
    </w:p>
    <w:p w14:paraId="5FF9EDFA" w14:textId="77777777" w:rsidR="00036672" w:rsidRPr="003D74AC" w:rsidRDefault="00036672" w:rsidP="00664549">
      <w:pPr>
        <w:pStyle w:val="NormalWeb"/>
        <w:jc w:val="both"/>
        <w:rPr>
          <w:sz w:val="22"/>
          <w:szCs w:val="22"/>
        </w:rPr>
      </w:pPr>
      <w:r w:rsidRPr="003D74AC">
        <w:rPr>
          <w:sz w:val="22"/>
          <w:szCs w:val="22"/>
        </w:rPr>
        <w:t>This specification alters the full predictive shape rather than applying a mechanical volatility multiplier.</w:t>
      </w:r>
    </w:p>
    <w:p w14:paraId="122B6FA8" w14:textId="77777777" w:rsidR="00036672" w:rsidRPr="003D74AC" w:rsidRDefault="00036672" w:rsidP="00664549">
      <w:pPr>
        <w:pStyle w:val="NormalWeb"/>
        <w:jc w:val="both"/>
        <w:rPr>
          <w:sz w:val="22"/>
          <w:szCs w:val="22"/>
        </w:rPr>
      </w:pPr>
      <w:r w:rsidRPr="003D74AC">
        <w:rPr>
          <w:sz w:val="22"/>
          <w:szCs w:val="22"/>
        </w:rPr>
        <w:t>In VIX-high periods, VaR95 violations decline from 11.84% to 10.68% under the mixture specification, with a smaller reduction at the 99% level (3.67% to 3.25%). Improvements are more pronounced at moderate quantiles than in the far tail. These results suggest that regime-weighted predictive densities capture part of the stress-regime tail amplification but do not fully eliminate extreme under-coverage.</w:t>
      </w:r>
    </w:p>
    <w:p w14:paraId="27673FB9" w14:textId="77777777" w:rsidR="00036672" w:rsidRPr="003D74AC" w:rsidRDefault="00036672" w:rsidP="00036672">
      <w:pPr>
        <w:pStyle w:val="NormalWeb"/>
        <w:rPr>
          <w:sz w:val="22"/>
          <w:szCs w:val="22"/>
        </w:rPr>
      </w:pPr>
      <w:r w:rsidRPr="003D74AC">
        <w:rPr>
          <w:sz w:val="22"/>
          <w:szCs w:val="22"/>
        </w:rPr>
        <w:lastRenderedPageBreak/>
        <w:t>Residual miscalibration at the 99% level likely reflects data sparsity in the far tail and possible sub-regime dynamics within stress periods.</w:t>
      </w:r>
    </w:p>
    <w:p w14:paraId="3988D83B" w14:textId="77777777" w:rsidR="00036672" w:rsidRPr="003D74AC" w:rsidRDefault="00036672" w:rsidP="007C18A1">
      <w:pPr>
        <w:jc w:val="both"/>
        <w:rPr>
          <w:color w:val="000000" w:themeColor="text1"/>
          <w:sz w:val="22"/>
          <w:szCs w:val="22"/>
        </w:rPr>
      </w:pPr>
    </w:p>
    <w:p w14:paraId="3CF0AD8E" w14:textId="77777777" w:rsidR="00537896" w:rsidRPr="003D74AC" w:rsidRDefault="00744454" w:rsidP="00036672">
      <w:pPr>
        <w:rPr>
          <w:rStyle w:val="Strong"/>
          <w:b w:val="0"/>
          <w:bCs w:val="0"/>
          <w:color w:val="000000" w:themeColor="text1"/>
          <w:sz w:val="22"/>
          <w:szCs w:val="22"/>
        </w:rPr>
      </w:pPr>
      <w:r w:rsidRPr="003D74AC">
        <w:rPr>
          <w:noProof/>
          <w:sz w:val="22"/>
          <w:szCs w:val="22"/>
        </w:rPr>
        <w:drawing>
          <wp:inline distT="0" distB="0" distL="0" distR="0" wp14:anchorId="003F0571" wp14:editId="784826B7">
            <wp:extent cx="2677961" cy="1537854"/>
            <wp:effectExtent l="0" t="0" r="1905" b="0"/>
            <wp:docPr id="1253003488" name="Picture 14"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09900" name="Picture 14" descr="A graph of a normal distributio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2522" cy="1551959"/>
                    </a:xfrm>
                    <a:prstGeom prst="rect">
                      <a:avLst/>
                    </a:prstGeom>
                    <a:noFill/>
                    <a:ln>
                      <a:noFill/>
                    </a:ln>
                  </pic:spPr>
                </pic:pic>
              </a:graphicData>
            </a:graphic>
          </wp:inline>
        </w:drawing>
      </w:r>
      <w:r w:rsidR="00B6379C" w:rsidRPr="003D74AC">
        <w:rPr>
          <w:noProof/>
          <w:sz w:val="22"/>
          <w:szCs w:val="22"/>
        </w:rPr>
        <w:drawing>
          <wp:inline distT="0" distB="0" distL="0" distR="0" wp14:anchorId="31E64920" wp14:editId="37F14AE4">
            <wp:extent cx="2699037" cy="1528549"/>
            <wp:effectExtent l="0" t="0" r="6350" b="0"/>
            <wp:docPr id="665843194" name="Picture 15"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80968" name="Picture 15" descr="A graph of a normal distributio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5895" cy="1555086"/>
                    </a:xfrm>
                    <a:prstGeom prst="rect">
                      <a:avLst/>
                    </a:prstGeom>
                    <a:noFill/>
                    <a:ln>
                      <a:noFill/>
                    </a:ln>
                  </pic:spPr>
                </pic:pic>
              </a:graphicData>
            </a:graphic>
          </wp:inline>
        </w:drawing>
      </w:r>
    </w:p>
    <w:p w14:paraId="3D179DAB" w14:textId="783F0403" w:rsidR="008C5E69" w:rsidRPr="003D74AC" w:rsidRDefault="008C5E69" w:rsidP="00537896">
      <w:pPr>
        <w:rPr>
          <w:sz w:val="22"/>
          <w:szCs w:val="22"/>
        </w:rPr>
      </w:pPr>
      <w:r w:rsidRPr="003D74AC">
        <w:rPr>
          <w:rStyle w:val="Strong"/>
          <w:color w:val="000000" w:themeColor="text1"/>
          <w:sz w:val="22"/>
          <w:szCs w:val="22"/>
        </w:rPr>
        <w:t>Figure 4.</w:t>
      </w:r>
      <w:r w:rsidRPr="003D74AC">
        <w:rPr>
          <w:rStyle w:val="Strong"/>
          <w:b w:val="0"/>
          <w:bCs w:val="0"/>
          <w:color w:val="000000" w:themeColor="text1"/>
          <w:sz w:val="22"/>
          <w:szCs w:val="22"/>
        </w:rPr>
        <w:t xml:space="preserve"> Regime-switching predictive densities under high and low regime probabilities.</w:t>
      </w:r>
    </w:p>
    <w:p w14:paraId="4E0872B3" w14:textId="6D33C311" w:rsidR="008C5E69" w:rsidRPr="003D74AC" w:rsidRDefault="008C5E69" w:rsidP="00252702">
      <w:pPr>
        <w:pStyle w:val="NormalWeb"/>
        <w:jc w:val="both"/>
        <w:rPr>
          <w:color w:val="000000" w:themeColor="text1"/>
          <w:sz w:val="22"/>
          <w:szCs w:val="22"/>
        </w:rPr>
      </w:pPr>
      <w:r w:rsidRPr="003D74AC">
        <w:rPr>
          <w:color w:val="000000" w:themeColor="text1"/>
          <w:sz w:val="22"/>
          <w:szCs w:val="22"/>
        </w:rPr>
        <w:t xml:space="preserve">The figure plots the MS-GARCH mixture predictive density where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t</m:t>
            </m:r>
          </m:sub>
        </m:sSub>
      </m:oMath>
      <w:r w:rsidRPr="003D74AC">
        <w:rPr>
          <w:color w:val="000000" w:themeColor="text1"/>
          <w:sz w:val="22"/>
          <w:szCs w:val="22"/>
        </w:rPr>
        <w:t>is the filtered probability of the high-volatility state. The dashed curves denote the state-specific conditional densities, and vertical lines mark the implied VaR</w:t>
      </w:r>
      <m:oMath>
        <m:sSub>
          <m:sSubPr>
            <m:ctrlPr>
              <w:rPr>
                <w:rFonts w:ascii="Cambria Math" w:hAnsi="Cambria Math"/>
                <w:color w:val="000000" w:themeColor="text1"/>
                <w:sz w:val="22"/>
                <w:szCs w:val="22"/>
              </w:rPr>
            </m:ctrlPr>
          </m:sSubPr>
          <m:e/>
          <m:sub>
            <m:r>
              <w:rPr>
                <w:rFonts w:ascii="Cambria Math" w:hAnsi="Cambria Math"/>
                <w:color w:val="000000" w:themeColor="text1"/>
                <w:sz w:val="22"/>
                <w:szCs w:val="22"/>
              </w:rPr>
              <m:t>95</m:t>
            </m:r>
          </m:sub>
        </m:sSub>
      </m:oMath>
      <w:r w:rsidRPr="003D74AC">
        <w:rPr>
          <w:color w:val="000000" w:themeColor="text1"/>
          <w:sz w:val="22"/>
          <w:szCs w:val="22"/>
        </w:rPr>
        <w:t xml:space="preserve"> and VaR</w:t>
      </w:r>
      <m:oMath>
        <m:sSub>
          <m:sSubPr>
            <m:ctrlPr>
              <w:rPr>
                <w:rFonts w:ascii="Cambria Math" w:hAnsi="Cambria Math"/>
                <w:color w:val="000000" w:themeColor="text1"/>
                <w:sz w:val="22"/>
                <w:szCs w:val="22"/>
              </w:rPr>
            </m:ctrlPr>
          </m:sSubPr>
          <m:e/>
          <m:sub>
            <m:r>
              <w:rPr>
                <w:rFonts w:ascii="Cambria Math" w:hAnsi="Cambria Math"/>
                <w:color w:val="000000" w:themeColor="text1"/>
                <w:sz w:val="22"/>
                <w:szCs w:val="22"/>
              </w:rPr>
              <m:t>99</m:t>
            </m:r>
          </m:sub>
        </m:sSub>
      </m:oMath>
      <w:r w:rsidRPr="003D74AC">
        <w:rPr>
          <w:color w:val="000000" w:themeColor="text1"/>
          <w:sz w:val="22"/>
          <w:szCs w:val="22"/>
        </w:rPr>
        <w:t xml:space="preserve"> thresholds. The top panel corresponds to a high regime-probability date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t</m:t>
            </m:r>
          </m:sub>
        </m:sSub>
        <m:r>
          <w:rPr>
            <w:rFonts w:ascii="Cambria Math" w:hAnsi="Cambria Math"/>
            <w:color w:val="000000" w:themeColor="text1"/>
            <w:sz w:val="22"/>
            <w:szCs w:val="22"/>
          </w:rPr>
          <m:t>≈0.87</m:t>
        </m:r>
      </m:oMath>
      <w:r w:rsidRPr="003D74AC">
        <w:rPr>
          <w:color w:val="000000" w:themeColor="text1"/>
          <w:sz w:val="22"/>
          <w:szCs w:val="22"/>
        </w:rPr>
        <w:t>); the bottom panel to a low regime-probability date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t</m:t>
            </m:r>
          </m:sub>
        </m:sSub>
        <m:r>
          <w:rPr>
            <w:rFonts w:ascii="Cambria Math" w:hAnsi="Cambria Math"/>
            <w:color w:val="000000" w:themeColor="text1"/>
            <w:sz w:val="22"/>
            <w:szCs w:val="22"/>
          </w:rPr>
          <m:t>≈0.16</m:t>
        </m:r>
      </m:oMath>
      <w:r w:rsidRPr="003D74AC">
        <w:rPr>
          <w:color w:val="000000" w:themeColor="text1"/>
          <w:sz w:val="22"/>
          <w:szCs w:val="22"/>
        </w:rPr>
        <w:t>).</w:t>
      </w:r>
    </w:p>
    <w:p w14:paraId="2AFEF6BB" w14:textId="77777777" w:rsidR="008C5E69" w:rsidRPr="003D74AC" w:rsidRDefault="008C5E69" w:rsidP="00252702">
      <w:pPr>
        <w:pStyle w:val="NormalWeb"/>
        <w:jc w:val="both"/>
        <w:rPr>
          <w:color w:val="000000" w:themeColor="text1"/>
          <w:sz w:val="22"/>
          <w:szCs w:val="22"/>
        </w:rPr>
      </w:pPr>
      <w:r w:rsidRPr="003D74AC">
        <w:rPr>
          <w:color w:val="000000" w:themeColor="text1"/>
          <w:sz w:val="22"/>
          <w:szCs w:val="22"/>
        </w:rPr>
        <w:t xml:space="preserve">When the high-volatility state probability is elevated, the predictive distribution becomes wider and more left-skewed, with visibly thicker tails and lower peak density. </w:t>
      </w:r>
      <w:proofErr w:type="spellStart"/>
      <w:r w:rsidRPr="003D74AC">
        <w:rPr>
          <w:color w:val="000000" w:themeColor="text1"/>
          <w:sz w:val="22"/>
          <w:szCs w:val="22"/>
        </w:rPr>
        <w:t>VaR</w:t>
      </w:r>
      <w:proofErr w:type="spellEnd"/>
      <w:r w:rsidRPr="003D74AC">
        <w:rPr>
          <w:color w:val="000000" w:themeColor="text1"/>
          <w:sz w:val="22"/>
          <w:szCs w:val="22"/>
        </w:rPr>
        <w:t xml:space="preserve"> thresholds shift further into the left tail, indicating materially greater downside risk. When the high-volatility probability is low, the distribution concentrates around zero, tail mass declines, and </w:t>
      </w:r>
      <w:proofErr w:type="spellStart"/>
      <w:r w:rsidRPr="003D74AC">
        <w:rPr>
          <w:color w:val="000000" w:themeColor="text1"/>
          <w:sz w:val="22"/>
          <w:szCs w:val="22"/>
        </w:rPr>
        <w:t>VaR</w:t>
      </w:r>
      <w:proofErr w:type="spellEnd"/>
      <w:r w:rsidRPr="003D74AC">
        <w:rPr>
          <w:color w:val="000000" w:themeColor="text1"/>
          <w:sz w:val="22"/>
          <w:szCs w:val="22"/>
        </w:rPr>
        <w:t xml:space="preserve"> thresholds move closer to the </w:t>
      </w:r>
      <w:proofErr w:type="spellStart"/>
      <w:r w:rsidRPr="003D74AC">
        <w:rPr>
          <w:color w:val="000000" w:themeColor="text1"/>
          <w:sz w:val="22"/>
          <w:szCs w:val="22"/>
        </w:rPr>
        <w:t>center</w:t>
      </w:r>
      <w:proofErr w:type="spellEnd"/>
      <w:r w:rsidRPr="003D74AC">
        <w:rPr>
          <w:color w:val="000000" w:themeColor="text1"/>
          <w:sz w:val="22"/>
          <w:szCs w:val="22"/>
        </w:rPr>
        <w:t>.</w:t>
      </w:r>
    </w:p>
    <w:p w14:paraId="7DC7CB2D" w14:textId="456AA4BB" w:rsidR="00310DA9" w:rsidRPr="003D74AC" w:rsidRDefault="008C5E69" w:rsidP="00252702">
      <w:pPr>
        <w:pStyle w:val="NormalWeb"/>
        <w:jc w:val="both"/>
        <w:rPr>
          <w:color w:val="000000" w:themeColor="text1"/>
          <w:sz w:val="22"/>
          <w:szCs w:val="22"/>
        </w:rPr>
      </w:pPr>
      <w:r w:rsidRPr="003D74AC">
        <w:rPr>
          <w:color w:val="000000" w:themeColor="text1"/>
          <w:sz w:val="22"/>
          <w:szCs w:val="22"/>
        </w:rPr>
        <w:t xml:space="preserve">The figure illustrates that regime probabilities reshape the entire predictive distribution rather than merely scaling conditional variance. State-contingent </w:t>
      </w:r>
      <w:proofErr w:type="spellStart"/>
      <w:r w:rsidRPr="003D74AC">
        <w:rPr>
          <w:color w:val="000000" w:themeColor="text1"/>
          <w:sz w:val="22"/>
          <w:szCs w:val="22"/>
        </w:rPr>
        <w:t>VaR</w:t>
      </w:r>
      <w:proofErr w:type="spellEnd"/>
      <w:r w:rsidRPr="003D74AC">
        <w:rPr>
          <w:color w:val="000000" w:themeColor="text1"/>
          <w:sz w:val="22"/>
          <w:szCs w:val="22"/>
        </w:rPr>
        <w:t xml:space="preserve"> and ES emerge endogenously from probabilistic weighting of distinct regime densities, providing a structural mechanism for improved calibration during stress periods without uniformly inflating risk measures in tranquil states.</w:t>
      </w:r>
    </w:p>
    <w:p w14:paraId="74CA7801" w14:textId="77777777" w:rsidR="00310DA9" w:rsidRPr="003D74AC" w:rsidRDefault="00310DA9" w:rsidP="00252702">
      <w:pPr>
        <w:pStyle w:val="Heading3"/>
        <w:jc w:val="both"/>
        <w:rPr>
          <w:rFonts w:ascii="Times New Roman" w:hAnsi="Times New Roman" w:cs="Times New Roman"/>
          <w:b w:val="0"/>
          <w:bCs w:val="0"/>
          <w:color w:val="000000" w:themeColor="text1"/>
          <w:sz w:val="22"/>
          <w:szCs w:val="22"/>
        </w:rPr>
      </w:pPr>
      <w:r w:rsidRPr="003D74AC">
        <w:rPr>
          <w:rFonts w:ascii="Times New Roman" w:hAnsi="Times New Roman" w:cs="Times New Roman"/>
          <w:b w:val="0"/>
          <w:bCs w:val="0"/>
          <w:color w:val="000000" w:themeColor="text1"/>
          <w:sz w:val="22"/>
          <w:szCs w:val="22"/>
        </w:rPr>
        <w:t>4.4 Transition dynamics (event study evidence)</w:t>
      </w:r>
    </w:p>
    <w:p w14:paraId="373BFC0E" w14:textId="77777777" w:rsidR="00DA560B" w:rsidRPr="003D74AC" w:rsidRDefault="00DA560B" w:rsidP="00252702">
      <w:pPr>
        <w:pStyle w:val="NormalWeb"/>
        <w:jc w:val="both"/>
        <w:rPr>
          <w:sz w:val="22"/>
          <w:szCs w:val="22"/>
        </w:rPr>
      </w:pPr>
      <w:r w:rsidRPr="003D74AC">
        <w:rPr>
          <w:sz w:val="22"/>
          <w:szCs w:val="22"/>
        </w:rPr>
        <w:t>Event-study analysis of low-to-high regime transitions reveals two distinct dynamics. Across both STRICT (n=19) and RELAXED (n=25) definitions, predicted volatility exhibits an immediate upward level shift at τ=0 (mean σ rising from approximately 0.007–0.008 pre-event to 0.012–0.014 post-event) and remains elevated for several days. In contrast, extreme losses spike sharply at τ=0 (≈0.28–0.32) before reverting quickly.</w:t>
      </w:r>
    </w:p>
    <w:p w14:paraId="6A6055DA" w14:textId="56EE0EE6" w:rsidR="00465AAF" w:rsidRPr="003D74AC" w:rsidRDefault="00DA560B" w:rsidP="00252702">
      <w:pPr>
        <w:pStyle w:val="NormalWeb"/>
        <w:jc w:val="both"/>
        <w:rPr>
          <w:color w:val="000000" w:themeColor="text1"/>
          <w:sz w:val="22"/>
          <w:szCs w:val="22"/>
        </w:rPr>
      </w:pPr>
      <w:r w:rsidRPr="003D74AC">
        <w:rPr>
          <w:sz w:val="22"/>
          <w:szCs w:val="22"/>
        </w:rPr>
        <w:t xml:space="preserve">Logistic regression confirms that volatility regime is the dominant predictor of next-period extreme events: relative to VIX-low, VIX-high increases the odds by approximately 6.9× (OR 6.92, 95% CI [3.17, 15.14]). Policy-shock indicators are not statistically significant. Static classification models perform poorly due to severe class </w:t>
      </w:r>
    </w:p>
    <w:p w14:paraId="4C63FA8D" w14:textId="0170D170" w:rsidR="0030659B" w:rsidRPr="003D74AC" w:rsidRDefault="00EA7A5A" w:rsidP="002F477B">
      <w:pPr>
        <w:jc w:val="center"/>
        <w:rPr>
          <w:sz w:val="22"/>
          <w:szCs w:val="22"/>
        </w:rPr>
      </w:pPr>
      <w:r w:rsidRPr="003D74AC">
        <w:rPr>
          <w:noProof/>
          <w:sz w:val="22"/>
          <w:szCs w:val="22"/>
        </w:rPr>
        <w:lastRenderedPageBreak/>
        <w:drawing>
          <wp:inline distT="0" distB="0" distL="0" distR="0" wp14:anchorId="2B0E2DB7" wp14:editId="65C99548">
            <wp:extent cx="2641600" cy="1574565"/>
            <wp:effectExtent l="0" t="0" r="0" b="635"/>
            <wp:docPr id="1322558345" name="Picture 8"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32761" name="Picture 8" descr="A graph of a line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1857" cy="1610482"/>
                    </a:xfrm>
                    <a:prstGeom prst="rect">
                      <a:avLst/>
                    </a:prstGeom>
                    <a:noFill/>
                    <a:ln>
                      <a:noFill/>
                    </a:ln>
                  </pic:spPr>
                </pic:pic>
              </a:graphicData>
            </a:graphic>
          </wp:inline>
        </w:drawing>
      </w:r>
      <w:r w:rsidR="001658E0" w:rsidRPr="003D74AC">
        <w:rPr>
          <w:noProof/>
          <w:sz w:val="22"/>
          <w:szCs w:val="22"/>
        </w:rPr>
        <w:drawing>
          <wp:inline distT="0" distB="0" distL="0" distR="0" wp14:anchorId="2B03C6CE" wp14:editId="1811505F">
            <wp:extent cx="2641600" cy="1574565"/>
            <wp:effectExtent l="0" t="0" r="0" b="635"/>
            <wp:docPr id="1553826786" name="Picture 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0522" name="Picture 9" descr="A graph of a funct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3924" cy="1581911"/>
                    </a:xfrm>
                    <a:prstGeom prst="rect">
                      <a:avLst/>
                    </a:prstGeom>
                    <a:noFill/>
                    <a:ln>
                      <a:noFill/>
                    </a:ln>
                  </pic:spPr>
                </pic:pic>
              </a:graphicData>
            </a:graphic>
          </wp:inline>
        </w:drawing>
      </w:r>
    </w:p>
    <w:p w14:paraId="2C8B6391" w14:textId="77777777" w:rsidR="00770108" w:rsidRPr="003D74AC" w:rsidRDefault="00770108" w:rsidP="00A57B57">
      <w:pPr>
        <w:pStyle w:val="NormalWeb"/>
        <w:jc w:val="both"/>
        <w:rPr>
          <w:color w:val="000000" w:themeColor="text1"/>
          <w:sz w:val="22"/>
          <w:szCs w:val="22"/>
        </w:rPr>
      </w:pPr>
      <w:r w:rsidRPr="003D74AC">
        <w:rPr>
          <w:rStyle w:val="Strong"/>
          <w:color w:val="000000" w:themeColor="text1"/>
          <w:sz w:val="22"/>
          <w:szCs w:val="22"/>
        </w:rPr>
        <w:t>Figure 5.</w:t>
      </w:r>
      <w:r w:rsidRPr="003D74AC">
        <w:rPr>
          <w:color w:val="000000" w:themeColor="text1"/>
          <w:sz w:val="22"/>
          <w:szCs w:val="22"/>
        </w:rPr>
        <w:t xml:space="preserve"> Event study of low-to-high volatility regime transitions under STRICT (n=19) and RELAXED (n=25) definitions. Event time τ </w:t>
      </w:r>
      <w:r w:rsidRPr="003D74AC">
        <w:rPr>
          <w:rFonts w:ascii="Cambria Math" w:hAnsi="Cambria Math" w:cs="Cambria Math"/>
          <w:color w:val="000000" w:themeColor="text1"/>
          <w:sz w:val="22"/>
          <w:szCs w:val="22"/>
        </w:rPr>
        <w:t>∈</w:t>
      </w:r>
      <w:r w:rsidRPr="003D74AC">
        <w:rPr>
          <w:color w:val="000000" w:themeColor="text1"/>
          <w:sz w:val="22"/>
          <w:szCs w:val="22"/>
        </w:rPr>
        <w:t xml:space="preserve"> [−10, +10] trading days is </w:t>
      </w:r>
      <w:proofErr w:type="spellStart"/>
      <w:r w:rsidRPr="003D74AC">
        <w:rPr>
          <w:color w:val="000000" w:themeColor="text1"/>
          <w:sz w:val="22"/>
          <w:szCs w:val="22"/>
        </w:rPr>
        <w:t>centered</w:t>
      </w:r>
      <w:proofErr w:type="spellEnd"/>
      <w:r w:rsidRPr="003D74AC">
        <w:rPr>
          <w:color w:val="000000" w:themeColor="text1"/>
          <w:sz w:val="22"/>
          <w:szCs w:val="22"/>
        </w:rPr>
        <w:t xml:space="preserve"> at the transition date (τ = 0). The solid line shows average out-of-sample predicted volatility, the dashed line the frequency of extreme standardized returns (z &lt; −3), and the dotted line the average POT–GPD tail index ξ.</w:t>
      </w:r>
    </w:p>
    <w:p w14:paraId="7A77891D" w14:textId="77777777" w:rsidR="00770108" w:rsidRPr="003D74AC" w:rsidRDefault="00770108" w:rsidP="00A57B57">
      <w:pPr>
        <w:pStyle w:val="NormalWeb"/>
        <w:jc w:val="both"/>
        <w:rPr>
          <w:color w:val="000000" w:themeColor="text1"/>
          <w:sz w:val="22"/>
          <w:szCs w:val="22"/>
        </w:rPr>
      </w:pPr>
      <w:r w:rsidRPr="003D74AC">
        <w:rPr>
          <w:color w:val="000000" w:themeColor="text1"/>
          <w:sz w:val="22"/>
          <w:szCs w:val="22"/>
        </w:rPr>
        <w:t>Extreme negative returns are sharply concentrated at τ = 0, with the exceedance frequency spiking at the transition and reverting rapidly thereafter. In contrast, predicted volatility increases at the transition and remains elevated for several subsequent days, indicating that regime entry reflects a persistent shift in conditional variance rather than a transitory shock. The tail index ξ does not exhibit a comparable discontinuity within the short event window, consistent either with gradual tail adjustment or limited precision of short-horizon POT estimation. The same qualitative pattern holds under both STRICT and RELAXED definitions, supporting the interpretation of low-to-high switches as structural volatility regime changes rather than isolated extreme events.</w:t>
      </w:r>
    </w:p>
    <w:p w14:paraId="773756AD" w14:textId="77777777" w:rsidR="000243B6" w:rsidRPr="00C914A0" w:rsidRDefault="000243B6" w:rsidP="00C914A0">
      <w:pPr>
        <w:pStyle w:val="Heading1"/>
        <w:jc w:val="both"/>
        <w:rPr>
          <w:rFonts w:ascii="Times New Roman" w:hAnsi="Times New Roman" w:cs="Times New Roman"/>
          <w:color w:val="000000" w:themeColor="text1"/>
          <w:sz w:val="22"/>
          <w:szCs w:val="22"/>
        </w:rPr>
      </w:pPr>
      <w:r w:rsidRPr="00C914A0">
        <w:rPr>
          <w:rFonts w:ascii="Times New Roman" w:hAnsi="Times New Roman" w:cs="Times New Roman"/>
          <w:color w:val="000000" w:themeColor="text1"/>
          <w:sz w:val="22"/>
          <w:szCs w:val="22"/>
        </w:rPr>
        <w:t>5. Discussion and Limitations</w:t>
      </w:r>
    </w:p>
    <w:p w14:paraId="21051E17" w14:textId="77777777" w:rsidR="000243B6" w:rsidRDefault="000243B6" w:rsidP="00C914A0">
      <w:pPr>
        <w:pStyle w:val="Heading2"/>
        <w:jc w:val="both"/>
        <w:rPr>
          <w:rFonts w:ascii="Times New Roman" w:hAnsi="Times New Roman" w:cs="Times New Roman"/>
          <w:color w:val="000000" w:themeColor="text1"/>
          <w:sz w:val="22"/>
          <w:szCs w:val="22"/>
        </w:rPr>
      </w:pPr>
      <w:r w:rsidRPr="00C914A0">
        <w:rPr>
          <w:rFonts w:ascii="Times New Roman" w:hAnsi="Times New Roman" w:cs="Times New Roman"/>
          <w:color w:val="000000" w:themeColor="text1"/>
          <w:sz w:val="22"/>
          <w:szCs w:val="22"/>
        </w:rPr>
        <w:t>5.1 Interpretation</w:t>
      </w:r>
    </w:p>
    <w:p w14:paraId="4916C1D8" w14:textId="77777777" w:rsidR="00F42075" w:rsidRDefault="00F42075" w:rsidP="00E14B98">
      <w:pPr>
        <w:pStyle w:val="NormalWeb"/>
        <w:jc w:val="both"/>
      </w:pPr>
      <w:r>
        <w:t>The results collectively point toward a regime-dependent distributional mechanism. Although the baseline Student-t GARCH model incorporates volatility persistence and heavy tails, stress-regime miscalibration persists, indicating that constant tail thickness is insufficient.</w:t>
      </w:r>
    </w:p>
    <w:p w14:paraId="0917531A" w14:textId="77777777" w:rsidR="00F42075" w:rsidRDefault="00F42075" w:rsidP="00E14B98">
      <w:pPr>
        <w:pStyle w:val="NormalWeb"/>
        <w:jc w:val="both"/>
      </w:pPr>
      <w:r>
        <w:t>Diagnostic evidence shows that exceedances relative to predicted volatility increase systematically in high-volatility states, even after controlling for scale effects. This supports a distributional interpretation: stress regimes involve shifts in tail curvature rather than merely higher conditional variance.</w:t>
      </w:r>
    </w:p>
    <w:p w14:paraId="5EDBBD26" w14:textId="77777777" w:rsidR="00F42075" w:rsidRDefault="00F42075" w:rsidP="00E14B98">
      <w:pPr>
        <w:pStyle w:val="NormalWeb"/>
        <w:jc w:val="both"/>
      </w:pPr>
      <w:r>
        <w:t>A single-state specification imposes constant tail shape across market conditions. When the underlying data-generating process exhibits regime-dependent curvature in the survival function, no single Student-t distribution can simultaneously match calm and stress tails. Regime-weighted mixture densities partially address this structural limitation by allowing predictive shape to vary with filtered state probabilities.</w:t>
      </w:r>
    </w:p>
    <w:p w14:paraId="5EAEBD20" w14:textId="0B1729C3" w:rsidR="00985678" w:rsidRPr="00F42075" w:rsidRDefault="00F42075" w:rsidP="00E14B98">
      <w:pPr>
        <w:pStyle w:val="NormalWeb"/>
        <w:jc w:val="both"/>
      </w:pPr>
      <w:r>
        <w:lastRenderedPageBreak/>
        <w:t>These findings have implications for risk measurement and capital allocation under the physical measure. Extensions to risk-neutral pricing frameworks remain outside the present scope.</w:t>
      </w:r>
    </w:p>
    <w:p w14:paraId="11C5F8FE" w14:textId="1ABFF004" w:rsidR="006F732D" w:rsidRPr="006F732D" w:rsidRDefault="000243B6" w:rsidP="00E14B98">
      <w:pPr>
        <w:pStyle w:val="Heading2"/>
        <w:jc w:val="both"/>
        <w:rPr>
          <w:rFonts w:ascii="Times New Roman" w:hAnsi="Times New Roman" w:cs="Times New Roman" w:hint="eastAsia"/>
          <w:color w:val="000000" w:themeColor="text1"/>
          <w:sz w:val="22"/>
          <w:szCs w:val="22"/>
        </w:rPr>
      </w:pPr>
      <w:r w:rsidRPr="003340B1">
        <w:rPr>
          <w:rFonts w:ascii="Times New Roman" w:hAnsi="Times New Roman" w:cs="Times New Roman"/>
          <w:color w:val="000000" w:themeColor="text1"/>
          <w:sz w:val="22"/>
          <w:szCs w:val="22"/>
        </w:rPr>
        <w:t>5.2 Limitations</w:t>
      </w:r>
    </w:p>
    <w:p w14:paraId="0EBF98D3" w14:textId="77777777" w:rsidR="00371405" w:rsidRDefault="00371405" w:rsidP="00E14B98">
      <w:pPr>
        <w:pStyle w:val="NormalWeb"/>
        <w:jc w:val="both"/>
      </w:pPr>
      <w:r>
        <w:t>The limited improvement at the 99% level reflects both data and structural constraints. Tail-event frequency in the out-of-sample period is low (approximately 0.37%), which restricts statistical power and renders extreme quantile estimation susceptible to small-sample bias. Estimation in the far tail is inherently unstable, particularly under rolling-window procedures where parameter estimates may fluctuate in the presence of sparse information.</w:t>
      </w:r>
    </w:p>
    <w:p w14:paraId="67567F69" w14:textId="77777777" w:rsidR="00371405" w:rsidRDefault="00371405" w:rsidP="00E14B98">
      <w:pPr>
        <w:pStyle w:val="NormalWeb"/>
        <w:jc w:val="both"/>
      </w:pPr>
      <w:r>
        <w:t>Beyond sampling limitations, the imposed two-state structure may be overly coarse to capture finer sub-regime dynamics within stress periods, such as distinctions between moderate turbulence and crisis episodes. A richer state specification could potentially accommodate additional curvature in the extreme tail.</w:t>
      </w:r>
    </w:p>
    <w:p w14:paraId="7C62D826" w14:textId="77777777" w:rsidR="00371405" w:rsidRDefault="00371405" w:rsidP="00E14B98">
      <w:pPr>
        <w:pStyle w:val="NormalWeb"/>
        <w:jc w:val="both"/>
      </w:pPr>
      <w:r>
        <w:t>Finally, attempts to model rare events using direct classification methods perform poorly due to severe class imbalance and limited predictive signal. This underscores the broader difficulty of modelling far-tail behaviour and supports the structural distributional approach adopted in this study.</w:t>
      </w:r>
    </w:p>
    <w:p w14:paraId="05BE9595" w14:textId="77777777" w:rsidR="00EA7A5A" w:rsidRPr="003340B1" w:rsidRDefault="00EA7A5A" w:rsidP="003340B1">
      <w:pPr>
        <w:jc w:val="both"/>
        <w:rPr>
          <w:color w:val="000000" w:themeColor="text1"/>
          <w:sz w:val="22"/>
          <w:szCs w:val="22"/>
        </w:rPr>
      </w:pPr>
    </w:p>
    <w:p w14:paraId="6FB1D3B1" w14:textId="77777777" w:rsidR="00465AAF" w:rsidRPr="003340B1" w:rsidRDefault="00465AAF" w:rsidP="003340B1">
      <w:pPr>
        <w:jc w:val="both"/>
        <w:rPr>
          <w:color w:val="000000" w:themeColor="text1"/>
          <w:sz w:val="22"/>
          <w:szCs w:val="22"/>
        </w:rPr>
      </w:pPr>
    </w:p>
    <w:p w14:paraId="3C2A9D9D" w14:textId="77777777" w:rsidR="00465AAF" w:rsidRPr="003340B1" w:rsidRDefault="00465AAF" w:rsidP="003340B1">
      <w:pPr>
        <w:jc w:val="both"/>
        <w:rPr>
          <w:color w:val="000000" w:themeColor="text1"/>
          <w:sz w:val="22"/>
          <w:szCs w:val="22"/>
        </w:rPr>
      </w:pPr>
    </w:p>
    <w:p w14:paraId="348AA1F8" w14:textId="77777777" w:rsidR="00465AAF" w:rsidRDefault="00465AAF" w:rsidP="00654242"/>
    <w:p w14:paraId="4C4275AD" w14:textId="77777777" w:rsidR="00CC2681" w:rsidRDefault="00CC2681" w:rsidP="00654242"/>
    <w:p w14:paraId="75441BB3" w14:textId="77777777" w:rsidR="00CC2681" w:rsidRDefault="00CC2681" w:rsidP="00654242"/>
    <w:p w14:paraId="62A35375" w14:textId="77777777" w:rsidR="00CC2681" w:rsidRDefault="00CC2681" w:rsidP="00654242"/>
    <w:p w14:paraId="6B246749" w14:textId="77777777" w:rsidR="00CC2681" w:rsidRDefault="00CC2681" w:rsidP="00654242"/>
    <w:p w14:paraId="5660194E" w14:textId="77777777" w:rsidR="00CC2681" w:rsidRDefault="00CC2681" w:rsidP="00654242"/>
    <w:p w14:paraId="02EC4CD1" w14:textId="77777777" w:rsidR="00CC2681" w:rsidRDefault="00CC2681" w:rsidP="00654242"/>
    <w:p w14:paraId="6DD00E0E" w14:textId="77777777" w:rsidR="006529A0" w:rsidRDefault="006529A0" w:rsidP="00654242"/>
    <w:p w14:paraId="729354B3" w14:textId="77777777" w:rsidR="006529A0" w:rsidRDefault="006529A0" w:rsidP="00654242"/>
    <w:p w14:paraId="448292F1" w14:textId="77777777" w:rsidR="006529A0" w:rsidRDefault="006529A0" w:rsidP="00654242"/>
    <w:p w14:paraId="08B17132" w14:textId="77777777" w:rsidR="003C77E3" w:rsidRDefault="003C77E3" w:rsidP="00654242"/>
    <w:p w14:paraId="1548F6B1" w14:textId="77777777" w:rsidR="003C77E3" w:rsidRDefault="003C77E3" w:rsidP="00654242"/>
    <w:p w14:paraId="6840650A" w14:textId="77777777" w:rsidR="003C77E3" w:rsidRDefault="003C77E3" w:rsidP="00654242"/>
    <w:p w14:paraId="56A1F0F5" w14:textId="77777777" w:rsidR="003C77E3" w:rsidRDefault="003C77E3" w:rsidP="00654242"/>
    <w:p w14:paraId="7A9653A1" w14:textId="77777777" w:rsidR="003C77E3" w:rsidRDefault="003C77E3" w:rsidP="00654242"/>
    <w:p w14:paraId="220E4A7F" w14:textId="77777777" w:rsidR="003C77E3" w:rsidRDefault="003C77E3" w:rsidP="00654242"/>
    <w:p w14:paraId="2E04C227" w14:textId="77777777" w:rsidR="003C77E3" w:rsidRDefault="003C77E3" w:rsidP="00654242"/>
    <w:p w14:paraId="18F26925" w14:textId="77777777" w:rsidR="003C77E3" w:rsidRDefault="003C77E3" w:rsidP="00654242"/>
    <w:p w14:paraId="0C36F087" w14:textId="77777777" w:rsidR="003C77E3" w:rsidRDefault="003C77E3" w:rsidP="00654242"/>
    <w:p w14:paraId="5F9EC255" w14:textId="77777777" w:rsidR="006529A0" w:rsidRDefault="006529A0" w:rsidP="00654242"/>
    <w:p w14:paraId="4B246023" w14:textId="77777777" w:rsidR="006529A0" w:rsidRPr="00295B63" w:rsidRDefault="006529A0" w:rsidP="00295B63">
      <w:pPr>
        <w:rPr>
          <w:sz w:val="22"/>
          <w:szCs w:val="22"/>
        </w:rPr>
      </w:pPr>
    </w:p>
    <w:p w14:paraId="75848936" w14:textId="5A99F103" w:rsidR="00CC2681" w:rsidRPr="00295B63" w:rsidRDefault="00CC2681" w:rsidP="00295B63">
      <w:pPr>
        <w:rPr>
          <w:sz w:val="22"/>
          <w:szCs w:val="22"/>
        </w:rPr>
      </w:pPr>
      <w:r w:rsidRPr="00295B63">
        <w:rPr>
          <w:sz w:val="22"/>
          <w:szCs w:val="22"/>
        </w:rPr>
        <w:lastRenderedPageBreak/>
        <w:t xml:space="preserve">Reference: </w:t>
      </w:r>
    </w:p>
    <w:p w14:paraId="2D3857B6" w14:textId="77777777" w:rsidR="00637A1E" w:rsidRPr="00295B63" w:rsidRDefault="00637B1D" w:rsidP="00295B63">
      <w:pPr>
        <w:pStyle w:val="NormalWeb"/>
        <w:numPr>
          <w:ilvl w:val="0"/>
          <w:numId w:val="17"/>
        </w:numPr>
        <w:spacing w:before="0" w:beforeAutospacing="0" w:after="240" w:afterAutospacing="0"/>
        <w:rPr>
          <w:sz w:val="22"/>
          <w:szCs w:val="22"/>
        </w:rPr>
      </w:pPr>
      <w:r w:rsidRPr="00295B63">
        <w:rPr>
          <w:sz w:val="22"/>
          <w:szCs w:val="22"/>
        </w:rPr>
        <w:t xml:space="preserve">Angelidis, T., </w:t>
      </w:r>
      <w:proofErr w:type="spellStart"/>
      <w:r w:rsidRPr="00295B63">
        <w:rPr>
          <w:sz w:val="22"/>
          <w:szCs w:val="22"/>
        </w:rPr>
        <w:t>Benos</w:t>
      </w:r>
      <w:proofErr w:type="spellEnd"/>
      <w:r w:rsidRPr="00295B63">
        <w:rPr>
          <w:sz w:val="22"/>
          <w:szCs w:val="22"/>
        </w:rPr>
        <w:t xml:space="preserve">, A. and </w:t>
      </w:r>
      <w:proofErr w:type="spellStart"/>
      <w:r w:rsidRPr="00295B63">
        <w:rPr>
          <w:sz w:val="22"/>
          <w:szCs w:val="22"/>
        </w:rPr>
        <w:t>Degiannakis</w:t>
      </w:r>
      <w:proofErr w:type="spellEnd"/>
      <w:r w:rsidRPr="00295B63">
        <w:rPr>
          <w:sz w:val="22"/>
          <w:szCs w:val="22"/>
        </w:rPr>
        <w:t xml:space="preserve">, S. (2004). The use of GARCH models in </w:t>
      </w:r>
      <w:proofErr w:type="spellStart"/>
      <w:r w:rsidRPr="00295B63">
        <w:rPr>
          <w:sz w:val="22"/>
          <w:szCs w:val="22"/>
        </w:rPr>
        <w:t>VaR</w:t>
      </w:r>
      <w:proofErr w:type="spellEnd"/>
      <w:r w:rsidRPr="00295B63">
        <w:rPr>
          <w:sz w:val="22"/>
          <w:szCs w:val="22"/>
        </w:rPr>
        <w:t xml:space="preserve"> estimation. </w:t>
      </w:r>
      <w:r w:rsidRPr="00295B63">
        <w:rPr>
          <w:i/>
          <w:iCs/>
          <w:sz w:val="22"/>
          <w:szCs w:val="22"/>
        </w:rPr>
        <w:t>Statistical Methodology</w:t>
      </w:r>
      <w:r w:rsidRPr="00295B63">
        <w:rPr>
          <w:sz w:val="22"/>
          <w:szCs w:val="22"/>
        </w:rPr>
        <w:t xml:space="preserve">, [online] 1(1-2), pp.105–128. </w:t>
      </w:r>
      <w:proofErr w:type="spellStart"/>
      <w:r w:rsidRPr="00295B63">
        <w:rPr>
          <w:sz w:val="22"/>
          <w:szCs w:val="22"/>
        </w:rPr>
        <w:t>doi:https</w:t>
      </w:r>
      <w:proofErr w:type="spellEnd"/>
      <w:r w:rsidRPr="00295B63">
        <w:rPr>
          <w:sz w:val="22"/>
          <w:szCs w:val="22"/>
        </w:rPr>
        <w:t>://doi.org/10.1016/j.stamet.2004.08.004.</w:t>
      </w:r>
    </w:p>
    <w:p w14:paraId="332839FB" w14:textId="77777777" w:rsidR="00637A1E" w:rsidRPr="00295B63" w:rsidRDefault="00637B1D" w:rsidP="00295B63">
      <w:pPr>
        <w:pStyle w:val="NormalWeb"/>
        <w:numPr>
          <w:ilvl w:val="0"/>
          <w:numId w:val="17"/>
        </w:numPr>
        <w:spacing w:before="0" w:beforeAutospacing="0" w:after="240" w:afterAutospacing="0"/>
        <w:rPr>
          <w:sz w:val="22"/>
          <w:szCs w:val="22"/>
        </w:rPr>
      </w:pPr>
      <w:proofErr w:type="spellStart"/>
      <w:r w:rsidRPr="00295B63">
        <w:rPr>
          <w:sz w:val="22"/>
          <w:szCs w:val="22"/>
        </w:rPr>
        <w:t>Artzner</w:t>
      </w:r>
      <w:proofErr w:type="spellEnd"/>
      <w:r w:rsidRPr="00295B63">
        <w:rPr>
          <w:sz w:val="22"/>
          <w:szCs w:val="22"/>
        </w:rPr>
        <w:t xml:space="preserve">, P., </w:t>
      </w:r>
      <w:proofErr w:type="spellStart"/>
      <w:r w:rsidRPr="00295B63">
        <w:rPr>
          <w:sz w:val="22"/>
          <w:szCs w:val="22"/>
        </w:rPr>
        <w:t>Delbaen</w:t>
      </w:r>
      <w:proofErr w:type="spellEnd"/>
      <w:r w:rsidRPr="00295B63">
        <w:rPr>
          <w:sz w:val="22"/>
          <w:szCs w:val="22"/>
        </w:rPr>
        <w:t xml:space="preserve">, F., Eber, J.M. and Heath, D. (1999) ‘Coherent measures of risk’, </w:t>
      </w:r>
      <w:r w:rsidRPr="00295B63">
        <w:rPr>
          <w:rStyle w:val="Emphasis"/>
          <w:sz w:val="22"/>
          <w:szCs w:val="22"/>
        </w:rPr>
        <w:t>Mathematical Finance</w:t>
      </w:r>
      <w:r w:rsidRPr="00295B63">
        <w:rPr>
          <w:sz w:val="22"/>
          <w:szCs w:val="22"/>
        </w:rPr>
        <w:t>, 9(3), pp. 203–228.</w:t>
      </w:r>
      <w:r w:rsidRPr="00295B63">
        <w:rPr>
          <w:sz w:val="22"/>
          <w:szCs w:val="22"/>
        </w:rPr>
        <w:br/>
      </w:r>
      <w:hyperlink r:id="rId15" w:tgtFrame="_new" w:history="1">
        <w:r w:rsidRPr="00295B63">
          <w:rPr>
            <w:rStyle w:val="Hyperlink"/>
            <w:sz w:val="22"/>
            <w:szCs w:val="22"/>
          </w:rPr>
          <w:t>https://doi.org/10.1111/1467-9965.00068</w:t>
        </w:r>
      </w:hyperlink>
    </w:p>
    <w:p w14:paraId="3382C328" w14:textId="7A04058B" w:rsidR="00CF7D85" w:rsidRPr="00295B63" w:rsidRDefault="00637B1D" w:rsidP="00295B63">
      <w:pPr>
        <w:pStyle w:val="NormalWeb"/>
        <w:numPr>
          <w:ilvl w:val="0"/>
          <w:numId w:val="17"/>
        </w:numPr>
        <w:spacing w:before="0" w:beforeAutospacing="0" w:after="240" w:afterAutospacing="0"/>
        <w:rPr>
          <w:sz w:val="22"/>
          <w:szCs w:val="22"/>
        </w:rPr>
      </w:pPr>
      <w:r w:rsidRPr="00295B63">
        <w:rPr>
          <w:sz w:val="22"/>
          <w:szCs w:val="22"/>
        </w:rPr>
        <w:t xml:space="preserve">Bollerslev, T. (1986). Generalized autoregressive conditional heteroskedasticity. </w:t>
      </w:r>
      <w:r w:rsidRPr="00295B63">
        <w:rPr>
          <w:i/>
          <w:iCs/>
          <w:sz w:val="22"/>
          <w:szCs w:val="22"/>
        </w:rPr>
        <w:t>Journal of Econometrics</w:t>
      </w:r>
      <w:r w:rsidRPr="00295B63">
        <w:rPr>
          <w:sz w:val="22"/>
          <w:szCs w:val="22"/>
        </w:rPr>
        <w:t>, 31(3), 307–327.</w:t>
      </w:r>
      <w:r w:rsidRPr="00295B63">
        <w:rPr>
          <w:sz w:val="22"/>
          <w:szCs w:val="22"/>
        </w:rPr>
        <w:br/>
      </w:r>
      <w:hyperlink r:id="rId16" w:history="1">
        <w:r w:rsidR="00CF7D85" w:rsidRPr="00295B63">
          <w:rPr>
            <w:rStyle w:val="Hyperlink"/>
            <w:sz w:val="22"/>
            <w:szCs w:val="22"/>
          </w:rPr>
          <w:t>https://doi.org/10.1016/0304-4076(86)90063-1</w:t>
        </w:r>
      </w:hyperlink>
    </w:p>
    <w:p w14:paraId="4E6A9EAF" w14:textId="77777777" w:rsidR="00B17948" w:rsidRPr="00295B63" w:rsidRDefault="00637B1D" w:rsidP="00295B63">
      <w:pPr>
        <w:pStyle w:val="NormalWeb"/>
        <w:numPr>
          <w:ilvl w:val="0"/>
          <w:numId w:val="17"/>
        </w:numPr>
        <w:spacing w:before="0" w:beforeAutospacing="0" w:after="240" w:afterAutospacing="0"/>
        <w:rPr>
          <w:sz w:val="22"/>
          <w:szCs w:val="22"/>
        </w:rPr>
      </w:pPr>
      <w:r w:rsidRPr="00295B63">
        <w:rPr>
          <w:sz w:val="22"/>
          <w:szCs w:val="22"/>
        </w:rPr>
        <w:t xml:space="preserve">Bollerslev, T. (1987). A conditionally heteroskedastic time series model for speculative prices and rates of return. </w:t>
      </w:r>
      <w:r w:rsidRPr="00295B63">
        <w:rPr>
          <w:rStyle w:val="Emphasis"/>
          <w:sz w:val="22"/>
          <w:szCs w:val="22"/>
        </w:rPr>
        <w:t>Review of Economics and Statistics</w:t>
      </w:r>
      <w:r w:rsidRPr="00295B63">
        <w:rPr>
          <w:sz w:val="22"/>
          <w:szCs w:val="22"/>
        </w:rPr>
        <w:t>, 69(3), 542–547.</w:t>
      </w:r>
      <w:r w:rsidRPr="00295B63">
        <w:rPr>
          <w:sz w:val="22"/>
          <w:szCs w:val="22"/>
        </w:rPr>
        <w:br/>
      </w:r>
      <w:hyperlink r:id="rId17" w:tgtFrame="_new" w:history="1">
        <w:r w:rsidRPr="00295B63">
          <w:rPr>
            <w:rStyle w:val="Hyperlink"/>
            <w:sz w:val="22"/>
            <w:szCs w:val="22"/>
          </w:rPr>
          <w:t>https://doi.org/10.2307/1925546</w:t>
        </w:r>
      </w:hyperlink>
    </w:p>
    <w:p w14:paraId="78A6B273" w14:textId="77777777" w:rsidR="00B17948" w:rsidRPr="00295B63" w:rsidRDefault="00637B1D" w:rsidP="00295B63">
      <w:pPr>
        <w:pStyle w:val="NormalWeb"/>
        <w:numPr>
          <w:ilvl w:val="0"/>
          <w:numId w:val="17"/>
        </w:numPr>
        <w:spacing w:before="0" w:beforeAutospacing="0" w:after="240" w:afterAutospacing="0"/>
        <w:rPr>
          <w:sz w:val="22"/>
          <w:szCs w:val="22"/>
        </w:rPr>
      </w:pPr>
      <w:r w:rsidRPr="00295B63">
        <w:rPr>
          <w:sz w:val="22"/>
          <w:szCs w:val="22"/>
        </w:rPr>
        <w:t xml:space="preserve">Christoffersen, P. F. (1998). Evaluating interval forecasts. </w:t>
      </w:r>
      <w:r w:rsidRPr="00295B63">
        <w:rPr>
          <w:rStyle w:val="Emphasis"/>
          <w:sz w:val="22"/>
          <w:szCs w:val="22"/>
        </w:rPr>
        <w:t>International Economic Review</w:t>
      </w:r>
      <w:r w:rsidRPr="00295B63">
        <w:rPr>
          <w:sz w:val="22"/>
          <w:szCs w:val="22"/>
        </w:rPr>
        <w:t>, 39(4), 841–862.</w:t>
      </w:r>
      <w:r w:rsidRPr="00295B63">
        <w:rPr>
          <w:sz w:val="22"/>
          <w:szCs w:val="22"/>
        </w:rPr>
        <w:br/>
      </w:r>
      <w:hyperlink r:id="rId18" w:history="1">
        <w:r w:rsidRPr="00295B63">
          <w:rPr>
            <w:rStyle w:val="Hyperlink"/>
            <w:sz w:val="22"/>
            <w:szCs w:val="22"/>
          </w:rPr>
          <w:t>https://doi.org/10.2307/2527341</w:t>
        </w:r>
      </w:hyperlink>
    </w:p>
    <w:p w14:paraId="7D058CBF" w14:textId="77777777" w:rsidR="00B17948" w:rsidRPr="00295B63" w:rsidRDefault="00637B1D" w:rsidP="00295B63">
      <w:pPr>
        <w:pStyle w:val="NormalWeb"/>
        <w:numPr>
          <w:ilvl w:val="0"/>
          <w:numId w:val="17"/>
        </w:numPr>
        <w:spacing w:before="0" w:beforeAutospacing="0" w:after="240" w:afterAutospacing="0"/>
        <w:rPr>
          <w:sz w:val="22"/>
          <w:szCs w:val="22"/>
        </w:rPr>
      </w:pPr>
      <w:proofErr w:type="spellStart"/>
      <w:r w:rsidRPr="00295B63">
        <w:rPr>
          <w:sz w:val="22"/>
          <w:szCs w:val="22"/>
        </w:rPr>
        <w:t>Embrechts</w:t>
      </w:r>
      <w:proofErr w:type="spellEnd"/>
      <w:r w:rsidRPr="00295B63">
        <w:rPr>
          <w:sz w:val="22"/>
          <w:szCs w:val="22"/>
        </w:rPr>
        <w:t xml:space="preserve">, P., </w:t>
      </w:r>
      <w:proofErr w:type="spellStart"/>
      <w:r w:rsidRPr="00295B63">
        <w:rPr>
          <w:sz w:val="22"/>
          <w:szCs w:val="22"/>
        </w:rPr>
        <w:t>Klüppelberg</w:t>
      </w:r>
      <w:proofErr w:type="spellEnd"/>
      <w:r w:rsidRPr="00295B63">
        <w:rPr>
          <w:sz w:val="22"/>
          <w:szCs w:val="22"/>
        </w:rPr>
        <w:t xml:space="preserve">, C. and </w:t>
      </w:r>
      <w:proofErr w:type="spellStart"/>
      <w:r w:rsidRPr="00295B63">
        <w:rPr>
          <w:sz w:val="22"/>
          <w:szCs w:val="22"/>
        </w:rPr>
        <w:t>Mikosch</w:t>
      </w:r>
      <w:proofErr w:type="spellEnd"/>
      <w:r w:rsidRPr="00295B63">
        <w:rPr>
          <w:sz w:val="22"/>
          <w:szCs w:val="22"/>
        </w:rPr>
        <w:t xml:space="preserve">, T. (1997) </w:t>
      </w:r>
      <w:r w:rsidRPr="00295B63">
        <w:rPr>
          <w:rStyle w:val="Emphasis"/>
          <w:sz w:val="22"/>
          <w:szCs w:val="22"/>
        </w:rPr>
        <w:t>Modelling extremal events for insurance and finance</w:t>
      </w:r>
      <w:r w:rsidRPr="00295B63">
        <w:rPr>
          <w:sz w:val="22"/>
          <w:szCs w:val="22"/>
        </w:rPr>
        <w:t>. Berlin: Springer.</w:t>
      </w:r>
      <w:r w:rsidRPr="00295B63">
        <w:rPr>
          <w:sz w:val="22"/>
          <w:szCs w:val="22"/>
        </w:rPr>
        <w:br/>
      </w:r>
      <w:hyperlink r:id="rId19" w:tgtFrame="_new" w:history="1">
        <w:r w:rsidRPr="00295B63">
          <w:rPr>
            <w:rStyle w:val="Hyperlink"/>
            <w:sz w:val="22"/>
            <w:szCs w:val="22"/>
          </w:rPr>
          <w:t>https://doi.org/10.1007/978-3-642-33483-2</w:t>
        </w:r>
      </w:hyperlink>
    </w:p>
    <w:p w14:paraId="72D5C35A" w14:textId="77777777" w:rsidR="00C545D5" w:rsidRPr="00295B63" w:rsidRDefault="00637B1D" w:rsidP="00295B63">
      <w:pPr>
        <w:pStyle w:val="NormalWeb"/>
        <w:numPr>
          <w:ilvl w:val="0"/>
          <w:numId w:val="17"/>
        </w:numPr>
        <w:spacing w:before="0" w:beforeAutospacing="0" w:after="240" w:afterAutospacing="0"/>
        <w:rPr>
          <w:sz w:val="22"/>
          <w:szCs w:val="22"/>
        </w:rPr>
      </w:pPr>
      <w:r w:rsidRPr="00295B63">
        <w:rPr>
          <w:sz w:val="22"/>
          <w:szCs w:val="22"/>
        </w:rPr>
        <w:t xml:space="preserve">Engle, R. F. (1982). Autoregressive conditional heteroscedasticity with estimates of the variance of United Kingdom inflation. </w:t>
      </w:r>
      <w:proofErr w:type="spellStart"/>
      <w:r w:rsidRPr="00295B63">
        <w:rPr>
          <w:i/>
          <w:iCs/>
          <w:sz w:val="22"/>
          <w:szCs w:val="22"/>
        </w:rPr>
        <w:t>Econometrica</w:t>
      </w:r>
      <w:proofErr w:type="spellEnd"/>
      <w:r w:rsidRPr="00295B63">
        <w:rPr>
          <w:sz w:val="22"/>
          <w:szCs w:val="22"/>
        </w:rPr>
        <w:t>, 50(4), 987–1007.</w:t>
      </w:r>
      <w:r w:rsidRPr="00295B63">
        <w:rPr>
          <w:sz w:val="22"/>
          <w:szCs w:val="22"/>
        </w:rPr>
        <w:br/>
      </w:r>
      <w:hyperlink r:id="rId20" w:tgtFrame="_new" w:history="1">
        <w:r w:rsidRPr="00295B63">
          <w:rPr>
            <w:color w:val="0000FF"/>
            <w:sz w:val="22"/>
            <w:szCs w:val="22"/>
            <w:u w:val="single"/>
          </w:rPr>
          <w:t>https://doi.org/10.2307/1912773</w:t>
        </w:r>
      </w:hyperlink>
    </w:p>
    <w:p w14:paraId="3DADA848" w14:textId="77777777" w:rsidR="009A33D9" w:rsidRPr="00295B63" w:rsidRDefault="00637B1D" w:rsidP="00295B63">
      <w:pPr>
        <w:pStyle w:val="NormalWeb"/>
        <w:numPr>
          <w:ilvl w:val="0"/>
          <w:numId w:val="17"/>
        </w:numPr>
        <w:spacing w:before="0" w:beforeAutospacing="0" w:after="240" w:afterAutospacing="0"/>
        <w:rPr>
          <w:sz w:val="22"/>
          <w:szCs w:val="22"/>
        </w:rPr>
      </w:pPr>
      <w:r w:rsidRPr="00295B63">
        <w:rPr>
          <w:sz w:val="22"/>
          <w:szCs w:val="22"/>
        </w:rPr>
        <w:t>Gray, S.F. (1996) ‘</w:t>
      </w:r>
      <w:proofErr w:type="spellStart"/>
      <w:r w:rsidRPr="00295B63">
        <w:rPr>
          <w:sz w:val="22"/>
          <w:szCs w:val="22"/>
        </w:rPr>
        <w:t>Modeling</w:t>
      </w:r>
      <w:proofErr w:type="spellEnd"/>
      <w:r w:rsidRPr="00295B63">
        <w:rPr>
          <w:sz w:val="22"/>
          <w:szCs w:val="22"/>
        </w:rPr>
        <w:t xml:space="preserve"> the conditional distribution of interest rates as a regime-switching process’, </w:t>
      </w:r>
      <w:r w:rsidRPr="00295B63">
        <w:rPr>
          <w:rStyle w:val="Emphasis"/>
          <w:sz w:val="22"/>
          <w:szCs w:val="22"/>
        </w:rPr>
        <w:t>Journal of Financial Economics</w:t>
      </w:r>
      <w:r w:rsidRPr="00295B63">
        <w:rPr>
          <w:sz w:val="22"/>
          <w:szCs w:val="22"/>
        </w:rPr>
        <w:t>, 42(1), pp. 27–62.</w:t>
      </w:r>
      <w:r w:rsidRPr="00295B63">
        <w:rPr>
          <w:sz w:val="22"/>
          <w:szCs w:val="22"/>
        </w:rPr>
        <w:br/>
      </w:r>
      <w:hyperlink r:id="rId21" w:history="1">
        <w:r w:rsidRPr="00295B63">
          <w:rPr>
            <w:rStyle w:val="Hyperlink"/>
            <w:sz w:val="22"/>
            <w:szCs w:val="22"/>
          </w:rPr>
          <w:t>https://doi.org/10.1016/0304-405X(96)00875-6</w:t>
        </w:r>
      </w:hyperlink>
    </w:p>
    <w:p w14:paraId="332FBB00" w14:textId="77777777" w:rsidR="009324BC" w:rsidRPr="00295B63" w:rsidRDefault="00637B1D" w:rsidP="00295B63">
      <w:pPr>
        <w:pStyle w:val="NormalWeb"/>
        <w:numPr>
          <w:ilvl w:val="0"/>
          <w:numId w:val="17"/>
        </w:numPr>
        <w:spacing w:before="0" w:beforeAutospacing="0" w:after="240" w:afterAutospacing="0"/>
        <w:rPr>
          <w:sz w:val="22"/>
          <w:szCs w:val="22"/>
        </w:rPr>
      </w:pPr>
      <w:r w:rsidRPr="00295B63">
        <w:rPr>
          <w:sz w:val="22"/>
          <w:szCs w:val="22"/>
        </w:rPr>
        <w:t xml:space="preserve">Hamilton, J. D. (1989). A new approach to the economic analysis of nonstationary time series and the business cycle. </w:t>
      </w:r>
      <w:proofErr w:type="spellStart"/>
      <w:r w:rsidRPr="00295B63">
        <w:rPr>
          <w:rStyle w:val="Emphasis"/>
          <w:sz w:val="22"/>
          <w:szCs w:val="22"/>
        </w:rPr>
        <w:t>Econometrica</w:t>
      </w:r>
      <w:proofErr w:type="spellEnd"/>
      <w:r w:rsidRPr="00295B63">
        <w:rPr>
          <w:sz w:val="22"/>
          <w:szCs w:val="22"/>
        </w:rPr>
        <w:t>, 57(2), 357–384.</w:t>
      </w:r>
      <w:r w:rsidRPr="00295B63">
        <w:rPr>
          <w:sz w:val="22"/>
          <w:szCs w:val="22"/>
        </w:rPr>
        <w:br/>
      </w:r>
      <w:hyperlink r:id="rId22" w:tgtFrame="_new" w:history="1">
        <w:r w:rsidRPr="00295B63">
          <w:rPr>
            <w:rStyle w:val="Hyperlink"/>
            <w:sz w:val="22"/>
            <w:szCs w:val="22"/>
          </w:rPr>
          <w:t>https://doi.org/10.2307/1912559</w:t>
        </w:r>
      </w:hyperlink>
    </w:p>
    <w:p w14:paraId="626D8053" w14:textId="77777777" w:rsidR="00AB4454" w:rsidRPr="00295B63" w:rsidRDefault="00637B1D" w:rsidP="00295B63">
      <w:pPr>
        <w:pStyle w:val="NormalWeb"/>
        <w:numPr>
          <w:ilvl w:val="0"/>
          <w:numId w:val="17"/>
        </w:numPr>
        <w:spacing w:before="0" w:beforeAutospacing="0" w:after="240" w:afterAutospacing="0"/>
        <w:rPr>
          <w:sz w:val="22"/>
          <w:szCs w:val="22"/>
        </w:rPr>
      </w:pPr>
      <w:r w:rsidRPr="00295B63">
        <w:rPr>
          <w:sz w:val="22"/>
          <w:szCs w:val="22"/>
        </w:rPr>
        <w:t xml:space="preserve">Klaassen, F. (2002). Improving GARCH volatility forecasts with regime-switching GARCH. </w:t>
      </w:r>
      <w:r w:rsidRPr="00295B63">
        <w:rPr>
          <w:rStyle w:val="Emphasis"/>
          <w:sz w:val="22"/>
          <w:szCs w:val="22"/>
        </w:rPr>
        <w:t>Empirical Economics</w:t>
      </w:r>
      <w:r w:rsidRPr="00295B63">
        <w:rPr>
          <w:sz w:val="22"/>
          <w:szCs w:val="22"/>
        </w:rPr>
        <w:t>, 27(2), 363–394.</w:t>
      </w:r>
      <w:r w:rsidRPr="00295B63">
        <w:rPr>
          <w:sz w:val="22"/>
          <w:szCs w:val="22"/>
        </w:rPr>
        <w:br/>
      </w:r>
      <w:hyperlink r:id="rId23" w:history="1">
        <w:r w:rsidRPr="00295B63">
          <w:rPr>
            <w:rStyle w:val="Hyperlink"/>
            <w:sz w:val="22"/>
            <w:szCs w:val="22"/>
          </w:rPr>
          <w:t>https://doi.org/10.1007/s001810100100</w:t>
        </w:r>
      </w:hyperlink>
    </w:p>
    <w:p w14:paraId="79E96756" w14:textId="77777777" w:rsidR="00943486" w:rsidRPr="00295B63" w:rsidRDefault="00637B1D" w:rsidP="00295B63">
      <w:pPr>
        <w:pStyle w:val="NormalWeb"/>
        <w:numPr>
          <w:ilvl w:val="0"/>
          <w:numId w:val="17"/>
        </w:numPr>
        <w:spacing w:before="0" w:beforeAutospacing="0" w:after="240" w:afterAutospacing="0"/>
        <w:rPr>
          <w:sz w:val="22"/>
          <w:szCs w:val="22"/>
        </w:rPr>
      </w:pPr>
      <w:r w:rsidRPr="00295B63">
        <w:rPr>
          <w:sz w:val="22"/>
          <w:szCs w:val="22"/>
        </w:rPr>
        <w:t xml:space="preserve">Kupiec, P. H. (1995). Techniques for verifying the accuracy of risk measurement models. </w:t>
      </w:r>
      <w:r w:rsidRPr="00295B63">
        <w:rPr>
          <w:rStyle w:val="Emphasis"/>
          <w:sz w:val="22"/>
          <w:szCs w:val="22"/>
        </w:rPr>
        <w:t>Journal of Derivatives</w:t>
      </w:r>
      <w:r w:rsidRPr="00295B63">
        <w:rPr>
          <w:sz w:val="22"/>
          <w:szCs w:val="22"/>
        </w:rPr>
        <w:t>, 3(2), 73–84.</w:t>
      </w:r>
      <w:r w:rsidRPr="00295B63">
        <w:rPr>
          <w:sz w:val="22"/>
          <w:szCs w:val="22"/>
        </w:rPr>
        <w:br/>
      </w:r>
      <w:hyperlink r:id="rId24" w:tgtFrame="_new" w:history="1">
        <w:r w:rsidRPr="00295B63">
          <w:rPr>
            <w:rStyle w:val="Hyperlink"/>
            <w:sz w:val="22"/>
            <w:szCs w:val="22"/>
          </w:rPr>
          <w:t>https://doi.org/10.3905/jod.1995.407942</w:t>
        </w:r>
      </w:hyperlink>
    </w:p>
    <w:p w14:paraId="2D106417" w14:textId="274E1787" w:rsidR="00637B1D" w:rsidRPr="00295B63" w:rsidRDefault="00637B1D" w:rsidP="00295B63">
      <w:pPr>
        <w:pStyle w:val="NormalWeb"/>
        <w:numPr>
          <w:ilvl w:val="0"/>
          <w:numId w:val="17"/>
        </w:numPr>
        <w:spacing w:before="0" w:beforeAutospacing="0" w:after="240" w:afterAutospacing="0"/>
        <w:rPr>
          <w:sz w:val="22"/>
          <w:szCs w:val="22"/>
        </w:rPr>
      </w:pPr>
      <w:proofErr w:type="spellStart"/>
      <w:r w:rsidRPr="00295B63">
        <w:rPr>
          <w:sz w:val="22"/>
          <w:szCs w:val="22"/>
        </w:rPr>
        <w:t>Pickands</w:t>
      </w:r>
      <w:proofErr w:type="spellEnd"/>
      <w:r w:rsidRPr="00295B63">
        <w:rPr>
          <w:sz w:val="22"/>
          <w:szCs w:val="22"/>
        </w:rPr>
        <w:t xml:space="preserve">, J. (1975). Statistical inference using extreme order statistics. </w:t>
      </w:r>
      <w:r w:rsidRPr="00295B63">
        <w:rPr>
          <w:rStyle w:val="Emphasis"/>
          <w:sz w:val="22"/>
          <w:szCs w:val="22"/>
        </w:rPr>
        <w:t>Annals of Statistics</w:t>
      </w:r>
      <w:r w:rsidRPr="00295B63">
        <w:rPr>
          <w:sz w:val="22"/>
          <w:szCs w:val="22"/>
        </w:rPr>
        <w:t>, 3(1), 119–131.</w:t>
      </w:r>
      <w:r w:rsidRPr="00295B63">
        <w:rPr>
          <w:sz w:val="22"/>
          <w:szCs w:val="22"/>
        </w:rPr>
        <w:br/>
      </w:r>
      <w:hyperlink r:id="rId25" w:tgtFrame="_new" w:history="1">
        <w:r w:rsidRPr="00295B63">
          <w:rPr>
            <w:rStyle w:val="Hyperlink"/>
            <w:sz w:val="22"/>
            <w:szCs w:val="22"/>
          </w:rPr>
          <w:t>https://doi.org/10.1214/aos/1176343003</w:t>
        </w:r>
      </w:hyperlink>
    </w:p>
    <w:p w14:paraId="20A0764F" w14:textId="77777777" w:rsidR="00624C38" w:rsidRDefault="00624C38"/>
    <w:sectPr w:rsidR="00624C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932AE"/>
    <w:multiLevelType w:val="multilevel"/>
    <w:tmpl w:val="FF04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F6F4E"/>
    <w:multiLevelType w:val="multilevel"/>
    <w:tmpl w:val="ABD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E1927"/>
    <w:multiLevelType w:val="multilevel"/>
    <w:tmpl w:val="359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F2BD6"/>
    <w:multiLevelType w:val="multilevel"/>
    <w:tmpl w:val="FA06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A0131"/>
    <w:multiLevelType w:val="hybridMultilevel"/>
    <w:tmpl w:val="8E7805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AE346B8"/>
    <w:multiLevelType w:val="multilevel"/>
    <w:tmpl w:val="70E4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40AFB"/>
    <w:multiLevelType w:val="hybridMultilevel"/>
    <w:tmpl w:val="677A21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08F798E"/>
    <w:multiLevelType w:val="multilevel"/>
    <w:tmpl w:val="1FFC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A4053"/>
    <w:multiLevelType w:val="multilevel"/>
    <w:tmpl w:val="D5FC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72107C"/>
    <w:multiLevelType w:val="multilevel"/>
    <w:tmpl w:val="1974E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E72FC5"/>
    <w:multiLevelType w:val="multilevel"/>
    <w:tmpl w:val="B410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45457B"/>
    <w:multiLevelType w:val="multilevel"/>
    <w:tmpl w:val="69C0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EF18ED"/>
    <w:multiLevelType w:val="hybridMultilevel"/>
    <w:tmpl w:val="66B6EF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D1675FF"/>
    <w:multiLevelType w:val="hybridMultilevel"/>
    <w:tmpl w:val="D5A84AC8"/>
    <w:lvl w:ilvl="0" w:tplc="77EAB666">
      <w:start w:val="1"/>
      <w:numFmt w:val="decimal"/>
      <w:lvlText w:val="%1."/>
      <w:lvlJc w:val="left"/>
      <w:pPr>
        <w:ind w:left="720" w:hanging="360"/>
      </w:pPr>
      <w:rPr>
        <w:rFonts w:hint="default"/>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0482512">
    <w:abstractNumId w:val="8"/>
  </w:num>
  <w:num w:numId="2" w16cid:durableId="174536587">
    <w:abstractNumId w:val="6"/>
  </w:num>
  <w:num w:numId="3" w16cid:durableId="173346603">
    <w:abstractNumId w:val="5"/>
  </w:num>
  <w:num w:numId="4" w16cid:durableId="1792626688">
    <w:abstractNumId w:val="4"/>
  </w:num>
  <w:num w:numId="5" w16cid:durableId="358623525">
    <w:abstractNumId w:val="7"/>
  </w:num>
  <w:num w:numId="6" w16cid:durableId="1217819443">
    <w:abstractNumId w:val="3"/>
  </w:num>
  <w:num w:numId="7" w16cid:durableId="211617535">
    <w:abstractNumId w:val="2"/>
  </w:num>
  <w:num w:numId="8" w16cid:durableId="434444226">
    <w:abstractNumId w:val="1"/>
  </w:num>
  <w:num w:numId="9" w16cid:durableId="977107890">
    <w:abstractNumId w:val="0"/>
  </w:num>
  <w:num w:numId="10" w16cid:durableId="365522912">
    <w:abstractNumId w:val="11"/>
  </w:num>
  <w:num w:numId="11" w16cid:durableId="1278365817">
    <w:abstractNumId w:val="12"/>
  </w:num>
  <w:num w:numId="12" w16cid:durableId="824052619">
    <w:abstractNumId w:val="9"/>
  </w:num>
  <w:num w:numId="13" w16cid:durableId="342783612">
    <w:abstractNumId w:val="16"/>
  </w:num>
  <w:num w:numId="14" w16cid:durableId="40710957">
    <w:abstractNumId w:val="18"/>
  </w:num>
  <w:num w:numId="15" w16cid:durableId="547766600">
    <w:abstractNumId w:val="14"/>
  </w:num>
  <w:num w:numId="16" w16cid:durableId="1075318557">
    <w:abstractNumId w:val="20"/>
  </w:num>
  <w:num w:numId="17" w16cid:durableId="410927379">
    <w:abstractNumId w:val="17"/>
  </w:num>
  <w:num w:numId="18" w16cid:durableId="480317683">
    <w:abstractNumId w:val="10"/>
  </w:num>
  <w:num w:numId="19" w16cid:durableId="572860309">
    <w:abstractNumId w:val="19"/>
  </w:num>
  <w:num w:numId="20" w16cid:durableId="1571111691">
    <w:abstractNumId w:val="22"/>
  </w:num>
  <w:num w:numId="21" w16cid:durableId="1071269079">
    <w:abstractNumId w:val="21"/>
  </w:num>
  <w:num w:numId="22" w16cid:durableId="1385717157">
    <w:abstractNumId w:val="13"/>
  </w:num>
  <w:num w:numId="23" w16cid:durableId="671837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990"/>
    <w:rsid w:val="000243B6"/>
    <w:rsid w:val="00030FA4"/>
    <w:rsid w:val="00033AE3"/>
    <w:rsid w:val="00034616"/>
    <w:rsid w:val="00036672"/>
    <w:rsid w:val="00036D99"/>
    <w:rsid w:val="0006063C"/>
    <w:rsid w:val="00063CCB"/>
    <w:rsid w:val="00075451"/>
    <w:rsid w:val="00081604"/>
    <w:rsid w:val="000B33B1"/>
    <w:rsid w:val="000B6411"/>
    <w:rsid w:val="000C208D"/>
    <w:rsid w:val="000D2E63"/>
    <w:rsid w:val="000D73DF"/>
    <w:rsid w:val="000E2581"/>
    <w:rsid w:val="000E32FE"/>
    <w:rsid w:val="000F0D60"/>
    <w:rsid w:val="000F283B"/>
    <w:rsid w:val="0011209F"/>
    <w:rsid w:val="00114D7F"/>
    <w:rsid w:val="0012305E"/>
    <w:rsid w:val="0013153A"/>
    <w:rsid w:val="0015074B"/>
    <w:rsid w:val="00155C75"/>
    <w:rsid w:val="00160743"/>
    <w:rsid w:val="00163872"/>
    <w:rsid w:val="001658E0"/>
    <w:rsid w:val="00170967"/>
    <w:rsid w:val="00190612"/>
    <w:rsid w:val="001A1691"/>
    <w:rsid w:val="001A4D5C"/>
    <w:rsid w:val="001B2C48"/>
    <w:rsid w:val="001B5A21"/>
    <w:rsid w:val="001C1A71"/>
    <w:rsid w:val="001C1D18"/>
    <w:rsid w:val="001C63A5"/>
    <w:rsid w:val="001D5F41"/>
    <w:rsid w:val="001D7D1D"/>
    <w:rsid w:val="001E0347"/>
    <w:rsid w:val="001E0F1E"/>
    <w:rsid w:val="001E15D9"/>
    <w:rsid w:val="001F0C87"/>
    <w:rsid w:val="002016ED"/>
    <w:rsid w:val="0020684A"/>
    <w:rsid w:val="002120FE"/>
    <w:rsid w:val="00214014"/>
    <w:rsid w:val="002248EA"/>
    <w:rsid w:val="00226D3B"/>
    <w:rsid w:val="0024547B"/>
    <w:rsid w:val="0025124A"/>
    <w:rsid w:val="00252084"/>
    <w:rsid w:val="00252702"/>
    <w:rsid w:val="00257EC8"/>
    <w:rsid w:val="00272ADF"/>
    <w:rsid w:val="00272F43"/>
    <w:rsid w:val="002759AC"/>
    <w:rsid w:val="00281807"/>
    <w:rsid w:val="00295B63"/>
    <w:rsid w:val="0029639D"/>
    <w:rsid w:val="002B0F2D"/>
    <w:rsid w:val="002B6D74"/>
    <w:rsid w:val="002C0B02"/>
    <w:rsid w:val="002D1A93"/>
    <w:rsid w:val="002D1F1D"/>
    <w:rsid w:val="002D3211"/>
    <w:rsid w:val="002D43D2"/>
    <w:rsid w:val="002E4416"/>
    <w:rsid w:val="002F477B"/>
    <w:rsid w:val="0030381A"/>
    <w:rsid w:val="00306463"/>
    <w:rsid w:val="0030659B"/>
    <w:rsid w:val="00306E10"/>
    <w:rsid w:val="00310DA9"/>
    <w:rsid w:val="00326F90"/>
    <w:rsid w:val="003340B1"/>
    <w:rsid w:val="00343AE2"/>
    <w:rsid w:val="00366F00"/>
    <w:rsid w:val="00371405"/>
    <w:rsid w:val="00374187"/>
    <w:rsid w:val="00397180"/>
    <w:rsid w:val="003C77E3"/>
    <w:rsid w:val="003D42DE"/>
    <w:rsid w:val="003D74AC"/>
    <w:rsid w:val="00412D6E"/>
    <w:rsid w:val="00427B19"/>
    <w:rsid w:val="004416A5"/>
    <w:rsid w:val="00443291"/>
    <w:rsid w:val="004546F1"/>
    <w:rsid w:val="00456CCB"/>
    <w:rsid w:val="00460CED"/>
    <w:rsid w:val="00465AAF"/>
    <w:rsid w:val="00474AFC"/>
    <w:rsid w:val="00483E85"/>
    <w:rsid w:val="004A4593"/>
    <w:rsid w:val="004C4E25"/>
    <w:rsid w:val="004C54E0"/>
    <w:rsid w:val="004C60D3"/>
    <w:rsid w:val="004D5A50"/>
    <w:rsid w:val="004E543B"/>
    <w:rsid w:val="004E5593"/>
    <w:rsid w:val="004F40C1"/>
    <w:rsid w:val="00523CDF"/>
    <w:rsid w:val="005240B0"/>
    <w:rsid w:val="0052547F"/>
    <w:rsid w:val="00537896"/>
    <w:rsid w:val="00543873"/>
    <w:rsid w:val="00545AAD"/>
    <w:rsid w:val="005525CB"/>
    <w:rsid w:val="005714A4"/>
    <w:rsid w:val="0057676F"/>
    <w:rsid w:val="0057729A"/>
    <w:rsid w:val="00592928"/>
    <w:rsid w:val="005B029E"/>
    <w:rsid w:val="005B2545"/>
    <w:rsid w:val="005C2141"/>
    <w:rsid w:val="005D021E"/>
    <w:rsid w:val="005D1395"/>
    <w:rsid w:val="005D5A04"/>
    <w:rsid w:val="005E4225"/>
    <w:rsid w:val="005E5663"/>
    <w:rsid w:val="005F433B"/>
    <w:rsid w:val="005F4D8B"/>
    <w:rsid w:val="006060CA"/>
    <w:rsid w:val="00611D43"/>
    <w:rsid w:val="00624C38"/>
    <w:rsid w:val="00635256"/>
    <w:rsid w:val="00637A1E"/>
    <w:rsid w:val="00637B1D"/>
    <w:rsid w:val="00641FE6"/>
    <w:rsid w:val="006529A0"/>
    <w:rsid w:val="00654242"/>
    <w:rsid w:val="00664549"/>
    <w:rsid w:val="00665337"/>
    <w:rsid w:val="0068001B"/>
    <w:rsid w:val="00680B92"/>
    <w:rsid w:val="006844DB"/>
    <w:rsid w:val="00697FF1"/>
    <w:rsid w:val="006B025E"/>
    <w:rsid w:val="006B60F7"/>
    <w:rsid w:val="006C3486"/>
    <w:rsid w:val="006D11DB"/>
    <w:rsid w:val="006E276C"/>
    <w:rsid w:val="006E4842"/>
    <w:rsid w:val="006E6029"/>
    <w:rsid w:val="006F08CE"/>
    <w:rsid w:val="006F38DC"/>
    <w:rsid w:val="006F4AA5"/>
    <w:rsid w:val="006F659C"/>
    <w:rsid w:val="006F732D"/>
    <w:rsid w:val="006F7595"/>
    <w:rsid w:val="00700533"/>
    <w:rsid w:val="00701984"/>
    <w:rsid w:val="00710DD6"/>
    <w:rsid w:val="00736B7B"/>
    <w:rsid w:val="00736D44"/>
    <w:rsid w:val="00744454"/>
    <w:rsid w:val="00744D3D"/>
    <w:rsid w:val="00770108"/>
    <w:rsid w:val="00772299"/>
    <w:rsid w:val="00774BF4"/>
    <w:rsid w:val="00775AD8"/>
    <w:rsid w:val="00792B0F"/>
    <w:rsid w:val="007950EB"/>
    <w:rsid w:val="007B192C"/>
    <w:rsid w:val="007B2D23"/>
    <w:rsid w:val="007B3AAB"/>
    <w:rsid w:val="007C18A1"/>
    <w:rsid w:val="007C2960"/>
    <w:rsid w:val="007C43D0"/>
    <w:rsid w:val="007C50C6"/>
    <w:rsid w:val="007C6270"/>
    <w:rsid w:val="007D072F"/>
    <w:rsid w:val="007D47FC"/>
    <w:rsid w:val="00802984"/>
    <w:rsid w:val="00805221"/>
    <w:rsid w:val="00813F5B"/>
    <w:rsid w:val="00814A0B"/>
    <w:rsid w:val="008236B0"/>
    <w:rsid w:val="00825D5E"/>
    <w:rsid w:val="00852180"/>
    <w:rsid w:val="00852AD2"/>
    <w:rsid w:val="00852DCF"/>
    <w:rsid w:val="008628B0"/>
    <w:rsid w:val="00876817"/>
    <w:rsid w:val="00884549"/>
    <w:rsid w:val="0089351B"/>
    <w:rsid w:val="008B26A0"/>
    <w:rsid w:val="008C4C62"/>
    <w:rsid w:val="008C5E69"/>
    <w:rsid w:val="008F2083"/>
    <w:rsid w:val="008F6DAF"/>
    <w:rsid w:val="00900D84"/>
    <w:rsid w:val="00920355"/>
    <w:rsid w:val="00921191"/>
    <w:rsid w:val="00924D03"/>
    <w:rsid w:val="009324BC"/>
    <w:rsid w:val="00943486"/>
    <w:rsid w:val="00953535"/>
    <w:rsid w:val="009601E5"/>
    <w:rsid w:val="00984DB4"/>
    <w:rsid w:val="00985678"/>
    <w:rsid w:val="00985F02"/>
    <w:rsid w:val="00987EA5"/>
    <w:rsid w:val="009947DB"/>
    <w:rsid w:val="00995C05"/>
    <w:rsid w:val="009A33D9"/>
    <w:rsid w:val="009A561B"/>
    <w:rsid w:val="009A56CB"/>
    <w:rsid w:val="009B0AB4"/>
    <w:rsid w:val="009B31A9"/>
    <w:rsid w:val="009E1E0C"/>
    <w:rsid w:val="009F3824"/>
    <w:rsid w:val="009F5305"/>
    <w:rsid w:val="00A03427"/>
    <w:rsid w:val="00A436DF"/>
    <w:rsid w:val="00A46CF5"/>
    <w:rsid w:val="00A500D4"/>
    <w:rsid w:val="00A53393"/>
    <w:rsid w:val="00A57B57"/>
    <w:rsid w:val="00A64E49"/>
    <w:rsid w:val="00A77593"/>
    <w:rsid w:val="00A8770F"/>
    <w:rsid w:val="00A95450"/>
    <w:rsid w:val="00A963B8"/>
    <w:rsid w:val="00AA1D8D"/>
    <w:rsid w:val="00AA5DB1"/>
    <w:rsid w:val="00AA71EE"/>
    <w:rsid w:val="00AB3AB8"/>
    <w:rsid w:val="00AB4454"/>
    <w:rsid w:val="00AC69C2"/>
    <w:rsid w:val="00AD7007"/>
    <w:rsid w:val="00AF6499"/>
    <w:rsid w:val="00AF6F58"/>
    <w:rsid w:val="00B17948"/>
    <w:rsid w:val="00B24065"/>
    <w:rsid w:val="00B272B8"/>
    <w:rsid w:val="00B371A9"/>
    <w:rsid w:val="00B401BE"/>
    <w:rsid w:val="00B47730"/>
    <w:rsid w:val="00B52D62"/>
    <w:rsid w:val="00B6379C"/>
    <w:rsid w:val="00B72CA4"/>
    <w:rsid w:val="00B75E89"/>
    <w:rsid w:val="00B83D2F"/>
    <w:rsid w:val="00BA02CB"/>
    <w:rsid w:val="00BA59CB"/>
    <w:rsid w:val="00BA6C10"/>
    <w:rsid w:val="00BB63B7"/>
    <w:rsid w:val="00BF505D"/>
    <w:rsid w:val="00C01CC3"/>
    <w:rsid w:val="00C110F5"/>
    <w:rsid w:val="00C17825"/>
    <w:rsid w:val="00C20220"/>
    <w:rsid w:val="00C24C54"/>
    <w:rsid w:val="00C32DCC"/>
    <w:rsid w:val="00C335EB"/>
    <w:rsid w:val="00C33FA5"/>
    <w:rsid w:val="00C372F7"/>
    <w:rsid w:val="00C4120A"/>
    <w:rsid w:val="00C41EAB"/>
    <w:rsid w:val="00C43077"/>
    <w:rsid w:val="00C545D5"/>
    <w:rsid w:val="00C65800"/>
    <w:rsid w:val="00C8769E"/>
    <w:rsid w:val="00C914A0"/>
    <w:rsid w:val="00C946F3"/>
    <w:rsid w:val="00CA6C5D"/>
    <w:rsid w:val="00CA7E2C"/>
    <w:rsid w:val="00CB0664"/>
    <w:rsid w:val="00CB451D"/>
    <w:rsid w:val="00CB7EF3"/>
    <w:rsid w:val="00CC1831"/>
    <w:rsid w:val="00CC2681"/>
    <w:rsid w:val="00CD1891"/>
    <w:rsid w:val="00CD7DBA"/>
    <w:rsid w:val="00CE0BE9"/>
    <w:rsid w:val="00CF1A28"/>
    <w:rsid w:val="00CF7D85"/>
    <w:rsid w:val="00D02371"/>
    <w:rsid w:val="00D06591"/>
    <w:rsid w:val="00D06AA9"/>
    <w:rsid w:val="00D24722"/>
    <w:rsid w:val="00D31FF9"/>
    <w:rsid w:val="00D34C65"/>
    <w:rsid w:val="00D35575"/>
    <w:rsid w:val="00D40DB1"/>
    <w:rsid w:val="00D66F7C"/>
    <w:rsid w:val="00D70886"/>
    <w:rsid w:val="00D73807"/>
    <w:rsid w:val="00D80A2C"/>
    <w:rsid w:val="00D927AC"/>
    <w:rsid w:val="00D94ED8"/>
    <w:rsid w:val="00D96F02"/>
    <w:rsid w:val="00DA2E2A"/>
    <w:rsid w:val="00DA560B"/>
    <w:rsid w:val="00DB74A4"/>
    <w:rsid w:val="00DC6286"/>
    <w:rsid w:val="00DD3C55"/>
    <w:rsid w:val="00DF0325"/>
    <w:rsid w:val="00DF3809"/>
    <w:rsid w:val="00E11B49"/>
    <w:rsid w:val="00E12DE7"/>
    <w:rsid w:val="00E14B98"/>
    <w:rsid w:val="00E1546B"/>
    <w:rsid w:val="00E217CC"/>
    <w:rsid w:val="00E25CA3"/>
    <w:rsid w:val="00E357E9"/>
    <w:rsid w:val="00E3762F"/>
    <w:rsid w:val="00E60B16"/>
    <w:rsid w:val="00E64C3A"/>
    <w:rsid w:val="00E6563E"/>
    <w:rsid w:val="00E86AE3"/>
    <w:rsid w:val="00E91956"/>
    <w:rsid w:val="00EA1661"/>
    <w:rsid w:val="00EA7A5A"/>
    <w:rsid w:val="00EC0BA5"/>
    <w:rsid w:val="00ED4885"/>
    <w:rsid w:val="00F23207"/>
    <w:rsid w:val="00F25E5C"/>
    <w:rsid w:val="00F31242"/>
    <w:rsid w:val="00F369AC"/>
    <w:rsid w:val="00F40CBE"/>
    <w:rsid w:val="00F42075"/>
    <w:rsid w:val="00F47D7C"/>
    <w:rsid w:val="00F55C84"/>
    <w:rsid w:val="00F56569"/>
    <w:rsid w:val="00F567CC"/>
    <w:rsid w:val="00F67573"/>
    <w:rsid w:val="00F75B05"/>
    <w:rsid w:val="00FA53EE"/>
    <w:rsid w:val="00FB4A31"/>
    <w:rsid w:val="00FC1240"/>
    <w:rsid w:val="00FC4B4E"/>
    <w:rsid w:val="00FC693F"/>
    <w:rsid w:val="00FD69BC"/>
    <w:rsid w:val="00FE1F43"/>
    <w:rsid w:val="00FE5CEB"/>
    <w:rsid w:val="00FF49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356A5"/>
  <w14:defaultImageDpi w14:val="300"/>
  <w15:docId w15:val="{1E395F17-759A-264A-9EFE-1912D3F8B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371"/>
    <w:pPr>
      <w:spacing w:after="0" w:line="240" w:lineRule="auto"/>
    </w:pPr>
    <w:rPr>
      <w:rFonts w:ascii="Times New Roman" w:eastAsia="Times New Roman" w:hAnsi="Times New Roman" w:cs="Times New Roman"/>
      <w:sz w:val="24"/>
      <w:szCs w:val="24"/>
      <w:lang w:val="en-GB" w:eastAsia="zh-C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23CDF"/>
    <w:pPr>
      <w:spacing w:before="100" w:beforeAutospacing="1" w:after="100" w:afterAutospacing="1"/>
    </w:pPr>
  </w:style>
  <w:style w:type="character" w:customStyle="1" w:styleId="relative">
    <w:name w:val="relative"/>
    <w:basedOn w:val="DefaultParagraphFont"/>
    <w:rsid w:val="0020684A"/>
  </w:style>
  <w:style w:type="paragraph" w:customStyle="1" w:styleId="not-prose">
    <w:name w:val="not-prose"/>
    <w:basedOn w:val="Normal"/>
    <w:rsid w:val="0020684A"/>
    <w:pPr>
      <w:spacing w:before="100" w:beforeAutospacing="1" w:after="100" w:afterAutospacing="1"/>
    </w:pPr>
  </w:style>
  <w:style w:type="character" w:styleId="Hyperlink">
    <w:name w:val="Hyperlink"/>
    <w:basedOn w:val="DefaultParagraphFont"/>
    <w:uiPriority w:val="99"/>
    <w:unhideWhenUsed/>
    <w:rsid w:val="00AF6F58"/>
    <w:rPr>
      <w:color w:val="0000FF" w:themeColor="hyperlink"/>
      <w:u w:val="single"/>
    </w:rPr>
  </w:style>
  <w:style w:type="character" w:styleId="UnresolvedMention">
    <w:name w:val="Unresolved Mention"/>
    <w:basedOn w:val="DefaultParagraphFont"/>
    <w:uiPriority w:val="99"/>
    <w:semiHidden/>
    <w:unhideWhenUsed/>
    <w:rsid w:val="00AF6F58"/>
    <w:rPr>
      <w:color w:val="605E5C"/>
      <w:shd w:val="clear" w:color="auto" w:fill="E1DFDD"/>
    </w:rPr>
  </w:style>
  <w:style w:type="character" w:customStyle="1" w:styleId="mord">
    <w:name w:val="mord"/>
    <w:basedOn w:val="DefaultParagraphFont"/>
    <w:rsid w:val="00036672"/>
  </w:style>
  <w:style w:type="character" w:customStyle="1" w:styleId="mopen">
    <w:name w:val="mopen"/>
    <w:basedOn w:val="DefaultParagraphFont"/>
    <w:rsid w:val="00036672"/>
  </w:style>
  <w:style w:type="character" w:customStyle="1" w:styleId="mbin">
    <w:name w:val="mbin"/>
    <w:basedOn w:val="DefaultParagraphFont"/>
    <w:rsid w:val="00036672"/>
  </w:style>
  <w:style w:type="character" w:customStyle="1" w:styleId="vlist-s">
    <w:name w:val="vlist-s"/>
    <w:basedOn w:val="DefaultParagraphFont"/>
    <w:rsid w:val="00036672"/>
  </w:style>
  <w:style w:type="character" w:customStyle="1" w:styleId="mclose">
    <w:name w:val="mclose"/>
    <w:basedOn w:val="DefaultParagraphFont"/>
    <w:rsid w:val="00036672"/>
  </w:style>
  <w:style w:type="character" w:customStyle="1" w:styleId="mrel">
    <w:name w:val="mrel"/>
    <w:basedOn w:val="DefaultParagraphFont"/>
    <w:rsid w:val="00036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2307/252734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16/0304-405X(96)00875-6"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2307/1925546" TargetMode="External"/><Relationship Id="rId25" Type="http://schemas.openxmlformats.org/officeDocument/2006/relationships/hyperlink" Target="https://doi.org/10.1214/aos/1176343003" TargetMode="External"/><Relationship Id="rId2" Type="http://schemas.openxmlformats.org/officeDocument/2006/relationships/numbering" Target="numbering.xml"/><Relationship Id="rId16" Type="http://schemas.openxmlformats.org/officeDocument/2006/relationships/hyperlink" Target="https://doi.org/10.1016/0304-4076(86)90063-1" TargetMode="External"/><Relationship Id="rId20" Type="http://schemas.openxmlformats.org/officeDocument/2006/relationships/hyperlink" Target="https://doi.org/10.2307/191277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3905/jod.1995.407942" TargetMode="External"/><Relationship Id="rId5" Type="http://schemas.openxmlformats.org/officeDocument/2006/relationships/webSettings" Target="webSettings.xml"/><Relationship Id="rId15" Type="http://schemas.openxmlformats.org/officeDocument/2006/relationships/hyperlink" Target="https://doi.org/10.1111/1467-9965.00068" TargetMode="External"/><Relationship Id="rId23" Type="http://schemas.openxmlformats.org/officeDocument/2006/relationships/hyperlink" Target="https://doi.org/10.1007/s001810100100" TargetMode="External"/><Relationship Id="rId10" Type="http://schemas.openxmlformats.org/officeDocument/2006/relationships/image" Target="media/image5.png"/><Relationship Id="rId19" Type="http://schemas.openxmlformats.org/officeDocument/2006/relationships/hyperlink" Target="https://doi.org/10.1007/978-3-642-33483-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2307/1912559"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12</Pages>
  <Words>3653</Words>
  <Characters>20828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Xinyi Chang</cp:lastModifiedBy>
  <cp:revision>263</cp:revision>
  <dcterms:created xsi:type="dcterms:W3CDTF">2026-02-24T01:56:00Z</dcterms:created>
  <dcterms:modified xsi:type="dcterms:W3CDTF">2026-03-02T17:50:00Z</dcterms:modified>
  <cp:category/>
</cp:coreProperties>
</file>