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30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0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60"/>
      </w:pPr>
      <w:r>
        <w:rPr>
          <w:sz w:val="20"/>
        </w:rPr>
        <w:t xml:space="preserve">Figure 7: Annotation Examples in HJDataset. (a) and (b) show two examples for the labeling of main pages. The boxes </w:t>
      </w:r>
      <w:r>
        <w:rPr>
          <w:sz w:val="20"/>
        </w:rPr>
        <w:t xml:space="preserve">are colored differently to reflect the layout element categories. Illustrated in (c), the items in each index page row are </w:t>
      </w:r>
      <w:r>
        <w:rPr>
          <w:sz w:val="20"/>
        </w:rPr>
        <w:t xml:space="preserve">categorized as title blocks, and the annotations are denser. 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ind w:firstLine="360"/>
      </w:pPr>
      <w:r>
        <w:rPr>
          <w:sz w:val="20"/>
        </w:rPr>
        <w:t xml:space="preserve">tion over union (IOU) level (0.50:0.951 ,on the test data. In </w:t>
      </w:r>
      <w:r>
        <w:rPr>
          <w:sz w:val="20"/>
        </w:rPr>
        <w:t xml:space="preserve">general, the high mAP values indicate accurate detection of </w:t>
      </w:r>
      <w:r>
        <w:rPr>
          <w:sz w:val="20"/>
        </w:rPr>
        <w:t xml:space="preserve">the layout elements. The Faster R-CNN and Mask R-CNN </w:t>
      </w:r>
      <w:r>
        <w:rPr>
          <w:sz w:val="20"/>
        </w:rPr>
        <w:t xml:space="preserve">achieve comparable results, better than RetinaNet. Notice- </w:t>
      </w:r>
      <w:r>
        <w:rPr>
          <w:sz w:val="20"/>
        </w:rPr>
        <w:t xml:space="preserve">ably, the detections for small blocks like title are less pre- </w:t>
      </w:r>
      <w:r>
        <w:rPr>
          <w:sz w:val="20"/>
        </w:rPr>
        <w:t xml:space="preserve">cise, and the accuracy drops sharply for the title category. In </w:t>
      </w:r>
      <w:r>
        <w:rPr>
          <w:sz w:val="20"/>
        </w:rPr>
        <w:t xml:space="preserve">Figure 8,(a) and(b) illustrate the accurate prediction results </w:t>
      </w:r>
      <w:r>
        <w:rPr>
          <w:sz w:val="20"/>
        </w:rPr>
        <w:t xml:space="preserve">of the Faster R-CNN model. </w:t>
      </w:r>
    </w:p>
    <w:p>
      <w:pPr>
        <w:pStyle w:val="Heading1"/>
      </w:pPr>
      <w:r>
        <w:t>5.2.Pre-training for other datasets</w:t>
      </w:r>
    </w:p>
    <w:p>
      <w:pPr>
        <w:ind w:firstLine="360"/>
      </w:pPr>
      <w:r>
        <w:rPr>
          <w:sz w:val="20"/>
        </w:rPr>
        <w:t xml:space="preserve">We also examine how our dataset can help with a real- </w:t>
      </w:r>
      <w:r>
        <w:rPr>
          <w:sz w:val="20"/>
        </w:rPr>
        <w:t xml:space="preserve">world document digitization application. When digitizing </w:t>
      </w:r>
      <w:r>
        <w:rPr>
          <w:sz w:val="20"/>
        </w:rPr>
        <w:t xml:space="preserve">new publications, researchers usually do not generate large </w:t>
      </w:r>
      <w:r>
        <w:rPr>
          <w:sz w:val="20"/>
        </w:rPr>
        <w:t xml:space="preserve">scale ground truth data to train their layout analysis models. </w:t>
      </w:r>
      <w:r>
        <w:rPr>
          <w:sz w:val="20"/>
        </w:rPr>
        <w:t xml:space="preserve">If they are able to adapt our dataset, or models trained on </w:t>
      </w:r>
      <w:r>
        <w:rPr>
          <w:sz w:val="20"/>
        </w:rPr>
        <w:t xml:space="preserve">our dataset, to develop models on their data, they can build </w:t>
      </w:r>
      <w:r>
        <w:rPr>
          <w:sz w:val="20"/>
        </w:rPr>
        <w:t xml:space="preserve">their pipelines more efficiently and develop more accurate </w:t>
      </w:r>
      <w:r>
        <w:rPr>
          <w:sz w:val="20"/>
        </w:rPr>
        <w:t xml:space="preserve">models. To this end, ,we conduct two experiments. First we </w:t>
      </w:r>
      <w:r>
        <w:rPr>
          <w:sz w:val="20"/>
        </w:rPr>
        <w:t xml:space="preserve">examine how lavout analysis models trained on the main </w:t>
      </w:r>
      <w:r>
        <w:rPr>
          <w:sz w:val="20"/>
        </w:rPr>
        <w:t xml:space="preserve">pages can be used for understanding index pages. More- </w:t>
      </w:r>
      <w:r>
        <w:rPr>
          <w:sz w:val="20"/>
        </w:rPr>
        <w:t xml:space="preserve">over, ,we study how the pre-trained models perform on other </w:t>
      </w:r>
      <w:r>
        <w:rPr>
          <w:sz w:val="20"/>
        </w:rPr>
        <w:t xml:space="preserve">historical Japanese documents. </w:t>
      </w:r>
    </w:p>
    <w:p>
      <w:pPr>
        <w:ind w:firstLine="360"/>
      </w:pPr>
      <w:r>
        <w:rPr>
          <w:sz w:val="20"/>
        </w:rPr>
        <w:t xml:space="preserve">Table 4 compares the performance of five Faster R-CNN </w:t>
      </w:r>
      <w:r>
        <w:rPr>
          <w:sz w:val="20"/>
        </w:rPr>
        <w:t xml:space="preserve">models that are trained differently on index pages. If the </w:t>
      </w:r>
      <w:r>
        <w:rPr>
          <w:sz w:val="20"/>
        </w:rPr>
        <w:t xml:space="preserve">model loads pre-trained weights from HJDataset,it includes </w:t>
      </w:r>
      <w:r>
        <w:rPr>
          <w:sz w:val="20"/>
        </w:rPr>
        <w:t xml:space="preserve">information learned from main pages. Models trained over </w:t>
      </w:r>
    </w:p>
    <w:p>
      <w:pPr>
        <w:ind w:firstLine="360"/>
      </w:pPr>
      <w:r>
        <w:rPr>
          <w:sz w:val="20"/>
        </w:rPr>
        <w:t xml:space="preserve">*This </w:t>
      </w:r>
      <w:r>
        <w:rPr>
          <w:sz w:val="20"/>
        </w:rPr>
        <w:t xml:space="preserve">evaluating 1122 metric developed for the COCO competition (12) for </w:t>
      </w:r>
      <w:r>
        <w:rPr>
          <w:sz w:val="20"/>
        </w:rPr>
        <w:t xml:space="preserve">object detection quality. </w:t>
      </w:r>
    </w:p>
    <w:p>
      <w:pPr>
        <w:ind w:firstLine="360"/>
      </w:pPr>
      <w:r>
        <w:rPr>
          <w:sz w:val="20"/>
        </w:rPr>
        <w:t xml:space="preserve">all the training data can be viewed as the benchmarks, while </w:t>
      </w:r>
      <w:r>
        <w:rPr>
          <w:sz w:val="20"/>
        </w:rPr>
        <w:t xml:space="preserve">training with few samples (five in this case) are consid- </w:t>
      </w:r>
      <w:r>
        <w:rPr>
          <w:sz w:val="20"/>
        </w:rPr>
        <w:t xml:space="preserve">ered to mimic real-world scenarios. Given different train- </w:t>
      </w:r>
      <w:r>
        <w:rPr>
          <w:sz w:val="20"/>
        </w:rPr>
        <w:t xml:space="preserve">ing data, models pre-trained on HJDataset perform signifi- </w:t>
      </w:r>
      <w:r>
        <w:rPr>
          <w:sz w:val="20"/>
        </w:rPr>
        <w:t xml:space="preserve">cantly better than those initialized with COCO weights. In- </w:t>
      </w:r>
      <w:r>
        <w:rPr>
          <w:sz w:val="20"/>
        </w:rPr>
        <w:t xml:space="preserve">tuitively, models trained on more data perform better than </w:t>
      </w:r>
      <w:r>
        <w:rPr>
          <w:sz w:val="20"/>
        </w:rPr>
        <w:t xml:space="preserve">those with fewer samples. We also directly use the model </w:t>
      </w:r>
      <w:r>
        <w:rPr>
          <w:sz w:val="20"/>
        </w:rPr>
        <w:t xml:space="preserve">trained on main to predict index pages without fine- </w:t>
      </w:r>
      <w:r>
        <w:rPr>
          <w:sz w:val="20"/>
        </w:rPr>
        <w:t xml:space="preserve">tuning. The :low zero-shot prediction accuracy indicates the </w:t>
      </w:r>
      <w:r>
        <w:rPr>
          <w:sz w:val="20"/>
        </w:rPr>
        <w:t xml:space="preserve">dissimilarity between index and main pages. The large </w:t>
      </w:r>
      <w:r>
        <w:rPr>
          <w:sz w:val="20"/>
        </w:rPr>
        <w:t xml:space="preserve">increase in mAP from 0.344 to 0.471 after the model is </w:t>
      </w:r>
    </w:p>
    <w:p>
      <w:pPr>
        <w:ind w:firstLine="360"/>
      </w:pPr>
      <w:r>
        <w:rPr>
          <w:sz w:val="20"/>
        </w:rPr>
        <w:t xml:space="preserve">Table 3: Detection mAP @ IOU (0.50:0.95) of different </w:t>
      </w:r>
      <w:r>
        <w:rPr>
          <w:sz w:val="20"/>
        </w:rPr>
        <w:t xml:space="preserve">models for each category on the test set. All values are given </w:t>
      </w:r>
      <w:r>
        <w:rPr>
          <w:sz w:val="20"/>
        </w:rPr>
        <w:t xml:space="preserve">as percentages. </w:t>
      </w:r>
    </w:p>
    <w:p>
      <w:pPr>
        <w:ind w:firstLine="360"/>
      </w:pPr>
      <w:r>
        <w:rPr>
          <w:sz w:val="20"/>
        </w:rPr>
        <w:t xml:space="preserve">For training Mask R-CNN, the segmentation masks are the quadri- </w:t>
      </w:r>
      <w:r>
        <w:rPr>
          <w:sz w:val="20"/>
        </w:rPr>
        <w:t xml:space="preserve">lateral regions for each block. Compared to the rectangular bounding </w:t>
      </w:r>
      <w:r>
        <w:rPr>
          <w:sz w:val="20"/>
        </w:rPr>
        <w:t xml:space="preserve">boxes, they delineate the text region more accurately. 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