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LLMs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pPr>
        <w:ind w:firstLine="360"/>
      </w:pPr>
      <w:r>
        <w:rPr>
          <w:sz w:val="20"/>
        </w:rPr>
        <w:t xml:space="preserve">remarkable success of ChatGPT has generated substantial research interest in LLMs across academia and industry. </w:t>
      </w:r>
      <w:r>
        <w:rPr>
          <w:sz w:val="20"/>
        </w:rPr>
        <w:t xml:space="preserve">Subsequently, numerous LLMs have been introduced starting from text- -based LLMs 116, 17, 4, 181 to multimodal </w:t>
      </w:r>
      <w:r>
        <w:rPr>
          <w:sz w:val="20"/>
        </w:rPr>
        <w:t xml:space="preserve">LLMs 119, 20, 21, 22, 23). In this section, we review these recent advances in LLMs and discuss their connection to </w:t>
      </w:r>
      <w:r>
        <w:rPr>
          <w:sz w:val="20"/>
        </w:rPr>
        <w:t xml:space="preserve">and distinctions from our work. </w:t>
      </w:r>
    </w:p>
    <w:p>
      <w:pPr>
        <w:ind w:firstLine="360"/>
      </w:pPr>
      <w:r>
        <w:rPr>
          <w:sz w:val="20"/>
        </w:rPr>
        <w:t xml:space="preserve">Text-based LLMs. The introduction of the transformer model in 2017 (24) has been foundational for the pre -trained </w:t>
      </w:r>
      <w:r>
        <w:rPr>
          <w:sz w:val="20"/>
        </w:rPr>
        <w:t xml:space="preserve">models such as BERT 1251, GPT 1261, and T5 1271, each designed with specific pre-training objectives. The emergence </w:t>
      </w:r>
      <w:r>
        <w:rPr>
          <w:sz w:val="20"/>
        </w:rPr>
        <w:t xml:space="preserve">of ChatGPT and GPT-4 marked Ha notable shift, characterized bya substantial increase in both model parameters and </w:t>
      </w:r>
      <w:r>
        <w:rPr>
          <w:sz w:val="20"/>
        </w:rPr>
        <w:t xml:space="preserve">training data size. This enhancement has resulted in remarkable zero-shot generalization capabilities, allowing these </w:t>
      </w:r>
      <w:r>
        <w:rPr>
          <w:sz w:val="20"/>
        </w:rPr>
        <w:t xml:space="preserve">models to excel in tasks previously unseen. Such success of LLMs has prompted the development of additional  LLMs </w:t>
      </w:r>
      <w:r>
        <w:rPr>
          <w:sz w:val="20"/>
        </w:rPr>
        <w:t xml:space="preserve">such as OPT (28), BLOOM 118), PaLM 1171, and Llama (4). Particularly, Llama2 141 is an open-source LLM that </w:t>
      </w:r>
      <w:r>
        <w:rPr>
          <w:sz w:val="20"/>
        </w:rPr>
        <w:t xml:space="preserve">achieves comparable or better performance to both open and closed-sourced models, including ChatGPT, PaLM and </w:t>
      </w:r>
      <w:r>
        <w:rPr>
          <w:sz w:val="20"/>
        </w:rPr>
        <w:t xml:space="preserve">Falcon, with enhanced safety strategies. Llama2 employs the standard Transformer architecture with pre- -normalization </w:t>
      </w:r>
      <w:r>
        <w:rPr>
          <w:sz w:val="20"/>
        </w:rPr>
        <w:t xml:space="preserve">(28), SwiGLU activation function 1291, and rotary positional embeddings 1301. The pre-training data consists of two </w:t>
      </w:r>
      <w:r>
        <w:rPr>
          <w:sz w:val="20"/>
        </w:rPr>
        <w:t xml:space="preserve">trillion tokens from publicly available sources. </w:t>
      </w:r>
    </w:p>
    <w:p>
      <w:pPr>
        <w:ind w:firstLine="360"/>
      </w:pPr>
      <w:r>
        <w:rPr>
          <w:sz w:val="20"/>
        </w:rPr>
        <w:t xml:space="preserve">Despite the remarkable performance of LLMs, unimodal models aren't equipped to process multimodal input, and </w:t>
      </w:r>
      <w:r>
        <w:rPr>
          <w:sz w:val="20"/>
        </w:rPr>
        <w:t xml:space="preserve">multimodal LLMs rely on complex and memory intensive open-domain vision encoders. Our proposed model. DocLLM. </w:t>
      </w:r>
      <w:r>
        <w:rPr>
          <w:sz w:val="20"/>
        </w:rPr>
        <w:t xml:space="preserve">addresses these challenges by explicitly modeling spatial layouts and text semantics, enabling effective comprehension </w:t>
      </w:r>
      <w:r>
        <w:rPr>
          <w:sz w:val="20"/>
        </w:rPr>
        <w:t xml:space="preserve">of visual documents. Notably, DoCLLM offers an extension to the unimodal architecture by adding the spatial signal to </w:t>
      </w:r>
      <w:r>
        <w:rPr>
          <w:sz w:val="20"/>
        </w:rPr>
        <w:t xml:space="preserve">text semantics, avoiding the expensive vision encoder, resulting in a more compact model and efficient processing time. 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pPr>
        <w:pStyle w:val="Heading1"/>
      </w:pPr>
      <w:r>
        <w:t>LLM Architectures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pPr>
        <w:ind w:firstLine="360"/>
      </w:pPr>
      <w:r>
        <w:rPr>
          <w:sz w:val="20"/>
        </w:rPr>
        <w:t xml:space="preserve">Autoregressive Infilling. There are two main autoregressive infilling approaches: fill-in- -the- middle' (FIM) where a </w:t>
      </w:r>
      <w:r>
        <w:rPr>
          <w:sz w:val="20"/>
        </w:rPr>
        <w:t xml:space="preserve">single span is sampled, and blank infilling' with multiple spans. </w:t>
      </w:r>
    </w:p>
    <w:p>
      <w:pPr>
        <w:ind w:firstLine="360"/>
      </w:pPr>
      <w:r>
        <w:rPr>
          <w:sz w:val="20"/>
        </w:rPr>
        <w:t xml:space="preserve">OpenAI FIM approach 1361 uses the template (prefix, middle, suffix) to divide a document into three </w:t>
      </w:r>
      <w:r>
        <w:rPr>
          <w:sz w:val="20"/>
        </w:rPr>
        <w:t xml:space="preserve">segments. Next, these segments are reorganized into (prefix, suffix, midd1e), enabling the model to predict the </w:t>
      </w:r>
      <w:r>
        <w:rPr>
          <w:sz w:val="20"/>
        </w:rPr>
        <w:t xml:space="preserve">middle segment. This process relies on three special tokens, IPRE), ISUF1, and (MID), which structure :a document as: </w:t>
      </w:r>
      <w:r>
        <w:rPr>
          <w:sz w:val="20"/>
        </w:rPr>
        <w:t xml:space="preserve">TPRET prefix ISUFT suffix (MTD) middle. The (MIDI token denotes the start for prediction. while the other two special </w:t>
      </w:r>
      <w:r>
        <w:rPr>
          <w:sz w:val="20"/>
        </w:rPr>
        <w:t xml:space="preserve">tokens guide the model l on where to infill. This method demonstrates that autoregressive models can learn to infill text </w:t>
      </w:r>
      <w:r>
        <w:rPr>
          <w:sz w:val="20"/>
        </w:rPr>
        <w:t xml:space="preserve">where the middle part is missing. Fill-in Language Model (FiLM) 137jis a subsequent development that enables flexible </w:t>
      </w:r>
      <w:r>
        <w:rPr>
          <w:sz w:val="20"/>
        </w:rPr>
        <w:t xml:space="preserve">generation at arbitrary positions, unconstrained by a predefined generation order. In contrast. approaches like GLM </w:t>
      </w:r>
      <w:r>
        <w:rPr>
          <w:sz w:val="20"/>
        </w:rPr>
        <w:t xml:space="preserve">(15) sample multiple spans for infilling. For each blank to be infilled, ,a pair of special tokens is used: Tblank maski </w:t>
      </w:r>
      <w:r>
        <w:rPr>
          <w:sz w:val="20"/>
        </w:rPr>
        <w:t xml:space="preserve">and Istart, .to mm1. The multiple spans not only require special tokens but also global indicators to distinguish </w:t>
      </w:r>
      <w:r>
        <w:rPr>
          <w:sz w:val="20"/>
        </w:rPr>
        <w:t xml:space="preserve">which middle span the model should infill. This global indicator is implemented with 1D token positions, ensuring that </w:t>
      </w:r>
      <w:r>
        <w:rPr>
          <w:sz w:val="20"/>
        </w:rPr>
        <w:t xml:space="preserve">each pair of the two special tokens, i.e., Iblank maskl and Istart _to f1111, share the same positions. We adopt a </w:t>
      </w:r>
      <w:r>
        <w:rPr>
          <w:sz w:val="20"/>
        </w:rPr>
        <w:t xml:space="preserve">similar infilling object with the goal to prevent disconnected next-token predictions while avoiding breaking sparse </w:t>
      </w:r>
      <w:r>
        <w:rPr>
          <w:sz w:val="20"/>
        </w:rPr>
        <w:t xml:space="preserve">documents into very short segments, e.g., word pieces and/or phrase pieces. </w:t>
      </w:r>
    </w:p>
    <w:p>
      <w:pPr>
        <w:ind w:firstLine="360"/>
      </w:pPr>
      <w:r>
        <w:rPr>
          <w:sz w:val="20"/>
        </w:rPr>
        <w:t xml:space="preserve">Disentangled attention. Disentangled attention is introduced in the DeBERTa model (38), where token embeddings </w:t>
      </w:r>
      <w:r>
        <w:rPr>
          <w:sz w:val="20"/>
        </w:rPr>
        <w:t xml:space="preserve">and relative positional encodings were kept separate rather than summed together, and each used independently when </w:t>
      </w:r>
      <w:r>
        <w:rPr>
          <w:sz w:val="20"/>
        </w:rPr>
        <w:t xml:space="preserve">computing attention weights using disentangled matrices. The motivation behind this was to facilitate the learning of 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