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D2601A"/>
          <w:sz w:val="56"/>
          <w:szCs w:val="56"/>
        </w:rPr>
        <w:t xml:space="preserve">TEM</w:t>
      </w:r>
    </w:p>
    <w:p>
      <w:pPr>
        <w:spacing w:after="40"/>
      </w:pPr>
      <w:r>
        <w:rPr>
          <w:b/>
          <w:bCs/>
          <w:color w:val="222222"/>
          <w:sz w:val="28"/>
          <w:szCs w:val="28"/>
        </w:rPr>
        <w:t xml:space="preserve">Terminal Event Monitor</w:t>
      </w:r>
    </w:p>
    <w:p>
      <w:pPr>
        <w:spacing w:after="300"/>
      </w:pPr>
      <w:r>
        <w:rPr>
          <w:i/>
          <w:iCs/>
          <w:color w:val="595959"/>
          <w:sz w:val="22"/>
          <w:szCs w:val="22"/>
        </w:rPr>
        <w:t xml:space="preserve">Project Details, Architecture &amp; Build Roadmap</w:t>
      </w:r>
    </w:p>
    <w:p>
      <w:pPr>
        <w:pStyle w:val="Heading1"/>
        <w:pBdr>
          <w:bottom w:val="single" w:color="D2601A" w:sz="6" w:space="4"/>
        </w:pBdr>
        <w:spacing w:after="160" w:before="360"/>
      </w:pPr>
      <w:r>
        <w:rPr>
          <w:b/>
          <w:bCs/>
          <w:color w:val="D2601A"/>
          <w:sz w:val="30"/>
          <w:szCs w:val="30"/>
        </w:rPr>
        <w:t xml:space="preserve">1. Project Overview</w:t>
      </w:r>
    </w:p>
    <w:p>
      <w:pPr>
        <w:spacing w:after="120"/>
      </w:pPr>
      <w:r>
        <w:rPr>
          <w:color w:val="222222"/>
          <w:sz w:val="21"/>
          <w:szCs w:val="21"/>
        </w:rPr>
        <w:t xml:space="preserve">TEM (Terminal Event Monitor) is a Windows-first developer tool designed to make terminal error handling effortless for beginner and intermediate coders. When an error appears in the terminal, TEM automatically detects it, highlights the relevant block, and makes it instantly available to paste — or auto-delivers it directly — into the coding agent the developer is using, starting with VS Code Copilot Chat.</w:t>
      </w:r>
    </w:p>
    <w:p>
      <w:pPr>
        <w:spacing w:after="120"/>
      </w:pPr>
      <w:r>
        <w:rPr>
          <w:color w:val="222222"/>
          <w:sz w:val="21"/>
          <w:szCs w:val="21"/>
        </w:rPr>
        <w:t xml:space="preserve">The core goal is to remove the manual, error-prone step of scrolling through noisy terminal output, manually selecting an error, and pasting it into an AI coding assistant for help. TEM automates that entire loop.</w:t>
      </w:r>
    </w:p>
    <w:p>
      <w:pPr>
        <w:pStyle w:val="Heading2"/>
        <w:spacing w:after="120" w:before="280"/>
      </w:pPr>
      <w:r>
        <w:rPr>
          <w:b/>
          <w:bCs/>
          <w:color w:val="222222"/>
          <w:sz w:val="24"/>
          <w:szCs w:val="24"/>
        </w:rPr>
        <w:t xml:space="preserve">Distribution naming</w:t>
      </w:r>
    </w:p>
    <w:p>
      <w:pPr>
        <w:spacing w:after="100"/>
      </w:pPr>
      <w:r>
        <w:rPr>
          <w:b/>
          <w:bCs/>
          <w:color w:val="222222"/>
          <w:sz w:val="21"/>
          <w:szCs w:val="21"/>
        </w:rPr>
        <w:t xml:space="preserve">Brand / product name:  </w:t>
      </w:r>
      <w:r>
        <w:rPr>
          <w:color w:val="222222"/>
          <w:sz w:val="21"/>
          <w:szCs w:val="21"/>
        </w:rPr>
        <w:t xml:space="preserve">TEM (Terminal Event Monitor)</w:t>
      </w:r>
    </w:p>
    <w:p>
      <w:pPr>
        <w:spacing w:after="100"/>
      </w:pPr>
      <w:r>
        <w:rPr>
          <w:b/>
          <w:bCs/>
          <w:color w:val="222222"/>
          <w:sz w:val="21"/>
          <w:szCs w:val="21"/>
        </w:rPr>
        <w:t xml:space="preserve">PyPI package name:  </w:t>
      </w:r>
      <w:r>
        <w:rPr>
          <w:color w:val="222222"/>
          <w:sz w:val="21"/>
          <w:szCs w:val="21"/>
        </w:rPr>
        <w:t xml:space="preserve">tem-cli  (pip install tem-cli)</w:t>
      </w:r>
    </w:p>
    <w:p>
      <w:pPr>
        <w:spacing w:after="100"/>
      </w:pPr>
      <w:r>
        <w:rPr>
          <w:b/>
          <w:bCs/>
          <w:color w:val="222222"/>
          <w:sz w:val="21"/>
          <w:szCs w:val="21"/>
        </w:rPr>
        <w:t xml:space="preserve">CLI command:  </w:t>
      </w:r>
      <w:r>
        <w:rPr>
          <w:color w:val="222222"/>
          <w:sz w:val="21"/>
          <w:szCs w:val="21"/>
        </w:rPr>
        <w:t xml:space="preserve">tem  (aliased via console_scripts entry point)</w:t>
      </w:r>
    </w:p>
    <w:p>
      <w:pPr>
        <w:spacing w:after="100"/>
      </w:pPr>
      <w:r>
        <w:rPr>
          <w:b/>
          <w:bCs/>
          <w:color w:val="222222"/>
          <w:sz w:val="21"/>
          <w:szCs w:val="21"/>
        </w:rPr>
        <w:t xml:space="preserve">VS Code extension:  </w:t>
      </w:r>
      <w:r>
        <w:rPr>
          <w:color w:val="222222"/>
          <w:sz w:val="21"/>
          <w:szCs w:val="21"/>
        </w:rPr>
        <w:t xml:space="preserve">publisher.tem  (namespaced, no registry collision risk)</w:t>
      </w:r>
    </w:p>
    <w:p>
      <w:pPr>
        <w:spacing w:after="120"/>
      </w:pPr>
      <w:r>
        <w:rPr>
          <w:color w:val="222222"/>
          <w:sz w:val="21"/>
          <w:szCs w:val="21"/>
        </w:rPr>
        <w:t xml:space="preserve">Note: the bare name "tem" is already taken on both PyPI and npm by unrelated, largely inactive packages. "tem-cli" avoids that collision while keeping the user-facing command simply "tem".</w:t>
      </w:r>
    </w:p>
    <w:p>
      <w:pPr>
        <w:pStyle w:val="Heading1"/>
        <w:pBdr>
          <w:bottom w:val="single" w:color="D2601A" w:sz="6" w:space="4"/>
        </w:pBdr>
        <w:spacing w:after="160" w:before="360"/>
      </w:pPr>
      <w:r>
        <w:rPr>
          <w:b/>
          <w:bCs/>
          <w:color w:val="D2601A"/>
          <w:sz w:val="30"/>
          <w:szCs w:val="30"/>
        </w:rPr>
        <w:t xml:space="preserve">2. Core Architecture</w:t>
      </w:r>
    </w:p>
    <w:p>
      <w:pPr>
        <w:spacing w:after="120"/>
      </w:pPr>
      <w:r>
        <w:rPr>
          <w:color w:val="222222"/>
          <w:sz w:val="21"/>
          <w:szCs w:val="21"/>
        </w:rPr>
        <w:t xml:space="preserve">TEM is built as two coordinated components:</w:t>
      </w:r>
    </w:p>
    <w:p>
      <w:pPr>
        <w:pStyle w:val="ListParagraph"/>
        <w:numPr>
          <w:ilvl w:val="0"/>
          <w:numId w:val="2"/>
        </w:numPr>
        <w:spacing w:after="60"/>
      </w:pPr>
      <w:r>
        <w:rPr>
          <w:color w:val="222222"/>
          <w:sz w:val="21"/>
          <w:szCs w:val="21"/>
        </w:rPr>
        <w:t xml:space="preserve">A Python background service / CLI — capture, parsing, classification, and delivery logic.</w:t>
      </w:r>
    </w:p>
    <w:p>
      <w:pPr>
        <w:pStyle w:val="ListParagraph"/>
        <w:numPr>
          <w:ilvl w:val="0"/>
          <w:numId w:val="2"/>
        </w:numPr>
        <w:spacing w:after="60"/>
      </w:pPr>
      <w:r>
        <w:rPr>
          <w:color w:val="222222"/>
          <w:sz w:val="21"/>
          <w:szCs w:val="21"/>
        </w:rPr>
        <w:t xml:space="preserve">A companion VS Code extension (TypeScript) — receives parsed errors and injects them directly into Copilot Chat.</w:t>
      </w:r>
    </w:p>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D2601A" w:val="clear"/>
            <w:tcMar>
              <w:top w:type="dxa" w:w="100"/>
              <w:left w:type="dxa" w:w="120"/>
              <w:bottom w:type="dxa" w:w="100"/>
              <w:right w:type="dxa" w:w="120"/>
            </w:tcMar>
          </w:tcPr>
          <w:p>
            <w:r>
              <w:rPr>
                <w:b/>
                <w:bCs/>
                <w:color w:val="FFFFFF"/>
                <w:sz w:val="20"/>
                <w:szCs w:val="20"/>
              </w:rPr>
              <w:t xml:space="preserve">Component</w:t>
            </w:r>
          </w:p>
        </w:tc>
        <w:tc>
          <w:tcPr>
            <w:tcW w:type="dxa" w:w="6900"/>
            <w:shd w:fill="D2601A" w:val="clear"/>
            <w:tcMar>
              <w:top w:type="dxa" w:w="100"/>
              <w:left w:type="dxa" w:w="120"/>
              <w:bottom w:type="dxa" w:w="100"/>
              <w:right w:type="dxa" w:w="120"/>
            </w:tcMar>
          </w:tcPr>
          <w:p>
            <w:r>
              <w:rPr>
                <w:b/>
                <w:bCs/>
                <w:color w:val="FFFFFF"/>
                <w:sz w:val="20"/>
                <w:szCs w:val="20"/>
              </w:rPr>
              <w:t xml:space="preserve">Role</w:t>
            </w:r>
          </w:p>
        </w:tc>
      </w:tr>
      <w:tr>
        <w:tc>
          <w:tcPr>
            <w:tcW w:type="dxa" w:w="2600"/>
            <w:shd w:fill="FBEBDD" w:val="clear"/>
            <w:tcMar>
              <w:top w:type="dxa" w:w="100"/>
              <w:left w:type="dxa" w:w="120"/>
              <w:bottom w:type="dxa" w:w="100"/>
              <w:right w:type="dxa" w:w="120"/>
            </w:tcMar>
          </w:tcPr>
          <w:p>
            <w:r>
              <w:rPr>
                <w:b w:val="false"/>
                <w:bCs w:val="false"/>
                <w:color w:val="222222"/>
                <w:sz w:val="20"/>
                <w:szCs w:val="20"/>
              </w:rPr>
              <w:t xml:space="preserve">Trigger</w:t>
            </w:r>
          </w:p>
        </w:tc>
        <w:tc>
          <w:tcPr>
            <w:tcW w:type="dxa" w:w="6900"/>
            <w:shd w:fill="FBEBDD" w:val="clear"/>
            <w:tcMar>
              <w:top w:type="dxa" w:w="100"/>
              <w:left w:type="dxa" w:w="120"/>
              <w:bottom w:type="dxa" w:w="100"/>
              <w:right w:type="dxa" w:w="120"/>
            </w:tcMar>
          </w:tcPr>
          <w:p>
            <w:r>
              <w:rPr>
                <w:b w:val="false"/>
                <w:bCs w:val="false"/>
                <w:color w:val="222222"/>
                <w:sz w:val="20"/>
                <w:szCs w:val="20"/>
              </w:rPr>
              <w:t xml:space="preserve">Hotkey (Win+Alt+E) or "tem run &lt;command&gt;" wrapper invocation</w:t>
            </w:r>
          </w:p>
        </w:tc>
      </w:tr>
      <w:tr>
        <w:tc>
          <w:tcPr>
            <w:tcW w:type="dxa" w:w="2600"/>
            <w:tcMar>
              <w:top w:type="dxa" w:w="100"/>
              <w:left w:type="dxa" w:w="120"/>
              <w:bottom w:type="dxa" w:w="100"/>
              <w:right w:type="dxa" w:w="120"/>
            </w:tcMar>
          </w:tcPr>
          <w:p>
            <w:r>
              <w:rPr>
                <w:b w:val="false"/>
                <w:bCs w:val="false"/>
                <w:color w:val="222222"/>
                <w:sz w:val="20"/>
                <w:szCs w:val="20"/>
              </w:rPr>
              <w:t xml:space="preserve">Terminal Buffer Scraper</w:t>
            </w:r>
          </w:p>
        </w:tc>
        <w:tc>
          <w:tcPr>
            <w:tcW w:type="dxa" w:w="6900"/>
            <w:tcMar>
              <w:top w:type="dxa" w:w="100"/>
              <w:left w:type="dxa" w:w="120"/>
              <w:bottom w:type="dxa" w:w="100"/>
              <w:right w:type="dxa" w:w="120"/>
            </w:tcMar>
          </w:tcPr>
          <w:p>
            <w:r>
              <w:rPr>
                <w:b w:val="false"/>
                <w:bCs w:val="false"/>
                <w:color w:val="222222"/>
                <w:sz w:val="20"/>
                <w:szCs w:val="20"/>
              </w:rPr>
              <w:t xml:space="preserve">UI Automation (UIA) for silent buffer reads, or ConPTY pipe interception via subprocess wrapper</w:t>
            </w:r>
          </w:p>
        </w:tc>
      </w:tr>
      <w:tr>
        <w:tc>
          <w:tcPr>
            <w:tcW w:type="dxa" w:w="2600"/>
            <w:shd w:fill="FBEBDD" w:val="clear"/>
            <w:tcMar>
              <w:top w:type="dxa" w:w="100"/>
              <w:left w:type="dxa" w:w="120"/>
              <w:bottom w:type="dxa" w:w="100"/>
              <w:right w:type="dxa" w:w="120"/>
            </w:tcMar>
          </w:tcPr>
          <w:p>
            <w:r>
              <w:rPr>
                <w:b w:val="false"/>
                <w:bCs w:val="false"/>
                <w:color w:val="222222"/>
                <w:sz w:val="20"/>
                <w:szCs w:val="20"/>
              </w:rPr>
              <w:t xml:space="preserve">Regex / Parser Layer</w:t>
            </w:r>
          </w:p>
        </w:tc>
        <w:tc>
          <w:tcPr>
            <w:tcW w:type="dxa" w:w="6900"/>
            <w:shd w:fill="FBEBDD" w:val="clear"/>
            <w:tcMar>
              <w:top w:type="dxa" w:w="100"/>
              <w:left w:type="dxa" w:w="120"/>
              <w:bottom w:type="dxa" w:w="100"/>
              <w:right w:type="dxa" w:w="120"/>
            </w:tcMar>
          </w:tcPr>
          <w:p>
            <w:r>
              <w:rPr>
                <w:b w:val="false"/>
                <w:bCs w:val="false"/>
                <w:color w:val="222222"/>
                <w:sz w:val="20"/>
                <w:szCs w:val="20"/>
              </w:rPr>
              <w:t xml:space="preserve">Language-aware pattern matchers (Python, Node, Rust, MSBuild) with severity scoring and multi-line block grouping</w:t>
            </w:r>
          </w:p>
        </w:tc>
      </w:tr>
      <w:tr>
        <w:tc>
          <w:tcPr>
            <w:tcW w:type="dxa" w:w="2600"/>
            <w:tcMar>
              <w:top w:type="dxa" w:w="100"/>
              <w:left w:type="dxa" w:w="120"/>
              <w:bottom w:type="dxa" w:w="100"/>
              <w:right w:type="dxa" w:w="120"/>
            </w:tcMar>
          </w:tcPr>
          <w:p>
            <w:r>
              <w:rPr>
                <w:b w:val="false"/>
                <w:bCs w:val="false"/>
                <w:color w:val="222222"/>
                <w:sz w:val="20"/>
                <w:szCs w:val="20"/>
              </w:rPr>
              <w:t xml:space="preserve">Context Extractor</w:t>
            </w:r>
          </w:p>
        </w:tc>
        <w:tc>
          <w:tcPr>
            <w:tcW w:type="dxa" w:w="6900"/>
            <w:tcMar>
              <w:top w:type="dxa" w:w="100"/>
              <w:left w:type="dxa" w:w="120"/>
              <w:bottom w:type="dxa" w:w="100"/>
              <w:right w:type="dxa" w:w="120"/>
            </w:tcMar>
          </w:tcPr>
          <w:p>
            <w:r>
              <w:rPr>
                <w:b w:val="false"/>
                <w:bCs w:val="false"/>
                <w:color w:val="222222"/>
                <w:sz w:val="20"/>
                <w:szCs w:val="20"/>
              </w:rPr>
              <w:t xml:space="preserve">Attaches source file + line snippet from disk via linecache</w:t>
            </w:r>
          </w:p>
        </w:tc>
      </w:tr>
      <w:tr>
        <w:tc>
          <w:tcPr>
            <w:tcW w:type="dxa" w:w="2600"/>
            <w:shd w:fill="FBEBDD" w:val="clear"/>
            <w:tcMar>
              <w:top w:type="dxa" w:w="100"/>
              <w:left w:type="dxa" w:w="120"/>
              <w:bottom w:type="dxa" w:w="100"/>
              <w:right w:type="dxa" w:w="120"/>
            </w:tcMar>
          </w:tcPr>
          <w:p>
            <w:r>
              <w:rPr>
                <w:b w:val="false"/>
                <w:bCs w:val="false"/>
                <w:color w:val="222222"/>
                <w:sz w:val="20"/>
                <w:szCs w:val="20"/>
              </w:rPr>
              <w:t xml:space="preserve">Delivery Layer</w:t>
            </w:r>
          </w:p>
        </w:tc>
        <w:tc>
          <w:tcPr>
            <w:tcW w:type="dxa" w:w="6900"/>
            <w:shd w:fill="FBEBDD" w:val="clear"/>
            <w:tcMar>
              <w:top w:type="dxa" w:w="100"/>
              <w:left w:type="dxa" w:w="120"/>
              <w:bottom w:type="dxa" w:w="100"/>
              <w:right w:type="dxa" w:w="120"/>
            </w:tcMar>
          </w:tcPr>
          <w:p>
            <w:r>
              <w:rPr>
                <w:b w:val="false"/>
                <w:bCs w:val="false"/>
                <w:color w:val="222222"/>
                <w:sz w:val="20"/>
                <w:szCs w:val="20"/>
              </w:rPr>
              <w:t xml:space="preserve">Clipboard write + toast (fallback), or direct socket call to VS Code extension bridge</w:t>
            </w:r>
          </w:p>
        </w:tc>
      </w:tr>
      <w:tr>
        <w:tc>
          <w:tcPr>
            <w:tcW w:type="dxa" w:w="2600"/>
            <w:tcMar>
              <w:top w:type="dxa" w:w="100"/>
              <w:left w:type="dxa" w:w="120"/>
              <w:bottom w:type="dxa" w:w="100"/>
              <w:right w:type="dxa" w:w="120"/>
            </w:tcMar>
          </w:tcPr>
          <w:p>
            <w:r>
              <w:rPr>
                <w:b w:val="false"/>
                <w:bCs w:val="false"/>
                <w:color w:val="222222"/>
                <w:sz w:val="20"/>
                <w:szCs w:val="20"/>
              </w:rPr>
              <w:t xml:space="preserve">Target IDE</w:t>
            </w:r>
          </w:p>
        </w:tc>
        <w:tc>
          <w:tcPr>
            <w:tcW w:type="dxa" w:w="6900"/>
            <w:tcMar>
              <w:top w:type="dxa" w:w="100"/>
              <w:left w:type="dxa" w:w="120"/>
              <w:bottom w:type="dxa" w:w="100"/>
              <w:right w:type="dxa" w:w="120"/>
            </w:tcMar>
          </w:tcPr>
          <w:p>
            <w:r>
              <w:rPr>
                <w:b w:val="false"/>
                <w:bCs w:val="false"/>
                <w:color w:val="222222"/>
                <w:sz w:val="20"/>
                <w:szCs w:val="20"/>
              </w:rPr>
              <w:t xml:space="preserve">VS Code Copilot Chat via workbench.action.chat.open command</w:t>
            </w:r>
          </w:p>
        </w:tc>
      </w:tr>
    </w:tbl>
    <w:p>
      <w:pPr>
        <w:pStyle w:val="Heading1"/>
        <w:pBdr>
          <w:bottom w:val="single" w:color="D2601A" w:sz="6" w:space="4"/>
        </w:pBdr>
        <w:spacing w:after="160" w:before="360"/>
      </w:pPr>
      <w:r>
        <w:rPr>
          <w:b/>
          <w:bCs/>
          <w:color w:val="D2601A"/>
          <w:sz w:val="30"/>
          <w:szCs w:val="30"/>
        </w:rPr>
        <w:t xml:space="preserve">3. Repository Structure</w:t>
      </w:r>
    </w:p>
    <w:p>
      <w:pPr>
        <w:spacing w:after="20"/>
      </w:pPr>
      <w:r>
        <w:rPr>
          <w:rFonts w:ascii="Consolas" w:cs="Consolas" w:eastAsia="Consolas" w:hAnsi="Consolas"/>
          <w:color w:val="222222"/>
          <w:sz w:val="19"/>
          <w:szCs w:val="19"/>
        </w:rPr>
        <w:t xml:space="preserve">tem-cli/</w:t>
      </w:r>
    </w:p>
    <w:p>
      <w:pPr>
        <w:spacing w:after="20"/>
      </w:pPr>
      <w:r>
        <w:rPr>
          <w:rFonts w:ascii="Consolas" w:cs="Consolas" w:eastAsia="Consolas" w:hAnsi="Consolas"/>
          <w:color w:val="222222"/>
          <w:sz w:val="19"/>
          <w:szCs w:val="19"/>
        </w:rPr>
        <w:t xml:space="preserve">├── pyproject.toml</w:t>
      </w:r>
    </w:p>
    <w:p>
      <w:pPr>
        <w:spacing w:after="20"/>
      </w:pPr>
      <w:r>
        <w:rPr>
          <w:rFonts w:ascii="Consolas" w:cs="Consolas" w:eastAsia="Consolas" w:hAnsi="Consolas"/>
          <w:color w:val="222222"/>
          <w:sz w:val="19"/>
          <w:szCs w:val="19"/>
        </w:rPr>
        <w:t xml:space="preserve">├── README.md</w:t>
      </w:r>
    </w:p>
    <w:p>
      <w:pPr>
        <w:spacing w:after="20"/>
      </w:pPr>
      <w:r>
        <w:rPr>
          <w:rFonts w:ascii="Consolas" w:cs="Consolas" w:eastAsia="Consolas" w:hAnsi="Consolas"/>
          <w:color w:val="222222"/>
          <w:sz w:val="19"/>
          <w:szCs w:val="19"/>
        </w:rPr>
        <w:t xml:space="preserve">├── src/tem_cli/</w:t>
      </w:r>
    </w:p>
    <w:p>
      <w:pPr>
        <w:spacing w:after="20"/>
      </w:pPr>
      <w:r>
        <w:rPr>
          <w:rFonts w:ascii="Consolas" w:cs="Consolas" w:eastAsia="Consolas" w:hAnsi="Consolas"/>
          <w:color w:val="222222"/>
          <w:sz w:val="19"/>
          <w:szCs w:val="19"/>
        </w:rPr>
        <w:t xml:space="preserve">│   ├── main.py            (CLI entry point)</w:t>
      </w:r>
    </w:p>
    <w:p>
      <w:pPr>
        <w:spacing w:after="20"/>
      </w:pPr>
      <w:r>
        <w:rPr>
          <w:rFonts w:ascii="Consolas" w:cs="Consolas" w:eastAsia="Consolas" w:hAnsi="Consolas"/>
          <w:color w:val="222222"/>
          <w:sz w:val="19"/>
          <w:szCs w:val="19"/>
        </w:rPr>
        <w:t xml:space="preserve">│   ├── runner.py          (subprocess wrapper)</w:t>
      </w:r>
    </w:p>
    <w:p>
      <w:pPr>
        <w:spacing w:after="20"/>
      </w:pPr>
      <w:r>
        <w:rPr>
          <w:rFonts w:ascii="Consolas" w:cs="Consolas" w:eastAsia="Consolas" w:hAnsi="Consolas"/>
          <w:color w:val="222222"/>
          <w:sz w:val="19"/>
          <w:szCs w:val="19"/>
        </w:rPr>
        <w:t xml:space="preserve">│   ├── parsers/           (language-aware error detectors)</w:t>
      </w:r>
    </w:p>
    <w:p>
      <w:pPr>
        <w:spacing w:after="20"/>
      </w:pPr>
      <w:r>
        <w:rPr>
          <w:rFonts w:ascii="Consolas" w:cs="Consolas" w:eastAsia="Consolas" w:hAnsi="Consolas"/>
          <w:color w:val="222222"/>
          <w:sz w:val="19"/>
          <w:szCs w:val="19"/>
        </w:rPr>
        <w:t xml:space="preserve">│   ├── context/           (source snippet + Markdown formatter)</w:t>
      </w:r>
    </w:p>
    <w:p>
      <w:pPr>
        <w:spacing w:after="20"/>
      </w:pPr>
      <w:r>
        <w:rPr>
          <w:rFonts w:ascii="Consolas" w:cs="Consolas" w:eastAsia="Consolas" w:hAnsi="Consolas"/>
          <w:color w:val="222222"/>
          <w:sz w:val="19"/>
          <w:szCs w:val="19"/>
        </w:rPr>
        <w:t xml:space="preserve">│   ├── delivery/          (clipboard, bridge client, toast)</w:t>
      </w:r>
    </w:p>
    <w:p>
      <w:pPr>
        <w:spacing w:after="20"/>
      </w:pPr>
      <w:r>
        <w:rPr>
          <w:rFonts w:ascii="Consolas" w:cs="Consolas" w:eastAsia="Consolas" w:hAnsi="Consolas"/>
          <w:color w:val="222222"/>
          <w:sz w:val="19"/>
          <w:szCs w:val="19"/>
        </w:rPr>
        <w:t xml:space="preserve">│   ├── capture/           (v2: hotkey + UIA scraping)</w:t>
      </w:r>
    </w:p>
    <w:p>
      <w:pPr>
        <w:spacing w:after="20"/>
      </w:pPr>
      <w:r>
        <w:rPr>
          <w:rFonts w:ascii="Consolas" w:cs="Consolas" w:eastAsia="Consolas" w:hAnsi="Consolas"/>
          <w:color w:val="222222"/>
          <w:sz w:val="19"/>
          <w:szCs w:val="19"/>
        </w:rPr>
        <w:t xml:space="preserve">│   └── config.py</w:t>
      </w:r>
    </w:p>
    <w:p>
      <w:pPr>
        <w:spacing w:after="20"/>
      </w:pPr>
      <w:r>
        <w:rPr>
          <w:rFonts w:ascii="Consolas" w:cs="Consolas" w:eastAsia="Consolas" w:hAnsi="Consolas"/>
          <w:color w:val="222222"/>
          <w:sz w:val="19"/>
          <w:szCs w:val="19"/>
        </w:rPr>
        <w:t xml:space="preserve">├── tests/</w:t>
      </w:r>
    </w:p>
    <w:p>
      <w:pPr>
        <w:spacing w:after="20"/>
      </w:pPr>
      <w:r>
        <w:rPr>
          <w:rFonts w:ascii="Consolas" w:cs="Consolas" w:eastAsia="Consolas" w:hAnsi="Consolas"/>
          <w:color w:val="222222"/>
          <w:sz w:val="19"/>
          <w:szCs w:val="19"/>
        </w:rPr>
        <w:t xml:space="preserve">└── vscode-extension/      (companion .vsix, separate package)</w:t>
      </w:r>
    </w:p>
    <w:p>
      <w:pPr>
        <w:spacing w:after="200"/>
      </w:pPr>
    </w:p>
    <w:p>
      <w:pPr>
        <w:pStyle w:val="Heading1"/>
        <w:pBdr>
          <w:bottom w:val="single" w:color="D2601A" w:sz="6" w:space="4"/>
        </w:pBdr>
        <w:spacing w:after="160" w:before="360"/>
      </w:pPr>
      <w:r>
        <w:rPr>
          <w:b/>
          <w:bCs/>
          <w:color w:val="D2601A"/>
          <w:sz w:val="30"/>
          <w:szCs w:val="30"/>
        </w:rPr>
        <w:t xml:space="preserve">4. Key Technical Decisions</w:t>
      </w:r>
    </w:p>
    <w:p>
      <w:pPr>
        <w:spacing w:after="80" w:before="180"/>
      </w:pPr>
      <w:r>
        <w:rPr>
          <w:b/>
          <w:bCs/>
          <w:color w:val="D2601A"/>
          <w:sz w:val="21"/>
          <w:szCs w:val="21"/>
        </w:rPr>
        <w:t xml:space="preserve">Terminal capture strategy</w:t>
      </w:r>
    </w:p>
    <w:p>
      <w:pPr>
        <w:pStyle w:val="ListParagraph"/>
        <w:numPr>
          <w:ilvl w:val="0"/>
          <w:numId w:val="2"/>
        </w:numPr>
        <w:spacing w:after="60"/>
      </w:pPr>
      <w:r>
        <w:rPr>
          <w:color w:val="222222"/>
          <w:sz w:val="21"/>
          <w:szCs w:val="21"/>
        </w:rPr>
        <w:t xml:space="preserve">Log tailing / subprocess wrapper ("tem run &lt;command&gt;") — MVP approach, works across all shells with zero OS-level hooking.</w:t>
      </w:r>
    </w:p>
    <w:p>
      <w:pPr>
        <w:pStyle w:val="ListParagraph"/>
        <w:numPr>
          <w:ilvl w:val="0"/>
          <w:numId w:val="2"/>
        </w:numPr>
        <w:spacing w:after="60"/>
      </w:pPr>
      <w:r>
        <w:rPr>
          <w:color w:val="222222"/>
          <w:sz w:val="21"/>
          <w:szCs w:val="21"/>
        </w:rPr>
        <w:t xml:space="preserve">ConPTY pipe interception — TEM owns the pseudo-console, guarantees no missed output.</w:t>
      </w:r>
    </w:p>
    <w:p>
      <w:pPr>
        <w:pStyle w:val="ListParagraph"/>
        <w:numPr>
          <w:ilvl w:val="0"/>
          <w:numId w:val="2"/>
        </w:numPr>
        <w:spacing w:after="60"/>
      </w:pPr>
      <w:r>
        <w:rPr>
          <w:color w:val="222222"/>
          <w:sz w:val="21"/>
          <w:szCs w:val="21"/>
        </w:rPr>
        <w:t xml:space="preserve">UI Automation (UIA) — silent background scraping of Windows Terminal buffer for the global-hotkey flow (v2).</w:t>
      </w:r>
    </w:p>
    <w:p>
      <w:pPr>
        <w:spacing w:after="80" w:before="180"/>
      </w:pPr>
      <w:r>
        <w:rPr>
          <w:b/>
          <w:bCs/>
          <w:color w:val="D2601A"/>
          <w:sz w:val="21"/>
          <w:szCs w:val="21"/>
        </w:rPr>
        <w:t xml:space="preserve">Error classification</w:t>
      </w:r>
    </w:p>
    <w:p>
      <w:pPr>
        <w:pStyle w:val="ListParagraph"/>
        <w:numPr>
          <w:ilvl w:val="0"/>
          <w:numId w:val="2"/>
        </w:numPr>
        <w:spacing w:after="60"/>
      </w:pPr>
      <w:r>
        <w:rPr>
          <w:color w:val="222222"/>
          <w:sz w:val="21"/>
          <w:szCs w:val="21"/>
        </w:rPr>
        <w:t xml:space="preserve">Severity scoring (FATAL / WARNING / NOISE) rather than flat regex matching.</w:t>
      </w:r>
    </w:p>
    <w:p>
      <w:pPr>
        <w:pStyle w:val="ListParagraph"/>
        <w:numPr>
          <w:ilvl w:val="0"/>
          <w:numId w:val="2"/>
        </w:numPr>
        <w:spacing w:after="60"/>
      </w:pPr>
      <w:r>
        <w:rPr>
          <w:color w:val="222222"/>
          <w:sz w:val="21"/>
          <w:szCs w:val="21"/>
        </w:rPr>
        <w:t xml:space="preserve">Multi-line block grouping for tracebacks/stack traces/panics, not fixed line-count windows.</w:t>
      </w:r>
    </w:p>
    <w:p>
      <w:pPr>
        <w:pStyle w:val="ListParagraph"/>
        <w:numPr>
          <w:ilvl w:val="0"/>
          <w:numId w:val="2"/>
        </w:numPr>
        <w:spacing w:after="60"/>
      </w:pPr>
      <w:r>
        <w:rPr>
          <w:color w:val="222222"/>
          <w:sz w:val="21"/>
          <w:szCs w:val="21"/>
        </w:rPr>
        <w:t xml:space="preserve">Language-specific parser modules (Python, Node, Rust, MSBuild) for accuracy and easy extension.</w:t>
      </w:r>
    </w:p>
    <w:p>
      <w:pPr>
        <w:spacing w:after="80" w:before="180"/>
      </w:pPr>
      <w:r>
        <w:rPr>
          <w:b/>
          <w:bCs/>
          <w:color w:val="D2601A"/>
          <w:sz w:val="21"/>
          <w:szCs w:val="21"/>
        </w:rPr>
        <w:t xml:space="preserve">Delivery to Copilot</w:t>
      </w:r>
    </w:p>
    <w:p>
      <w:pPr>
        <w:pStyle w:val="ListParagraph"/>
        <w:numPr>
          <w:ilvl w:val="0"/>
          <w:numId w:val="2"/>
        </w:numPr>
        <w:spacing w:after="60"/>
      </w:pPr>
      <w:r>
        <w:rPr>
          <w:color w:val="222222"/>
          <w:sz w:val="21"/>
          <w:szCs w:val="21"/>
        </w:rPr>
        <w:t xml:space="preserve">Primary: VS Code extension using workbench.action.chat.open to inject directly into Copilot Chat.</w:t>
      </w:r>
    </w:p>
    <w:p>
      <w:pPr>
        <w:pStyle w:val="ListParagraph"/>
        <w:numPr>
          <w:ilvl w:val="0"/>
          <w:numId w:val="2"/>
        </w:numPr>
        <w:spacing w:after="60"/>
      </w:pPr>
      <w:r>
        <w:rPr>
          <w:color w:val="222222"/>
          <w:sz w:val="21"/>
          <w:szCs w:val="21"/>
        </w:rPr>
        <w:t xml:space="preserve">Fallback: clipboard write + simulated Ctrl+V for setups without the extension installed.</w:t>
      </w:r>
    </w:p>
    <w:p>
      <w:pPr>
        <w:pStyle w:val="Heading1"/>
        <w:pBdr>
          <w:bottom w:val="single" w:color="D2601A" w:sz="6" w:space="4"/>
        </w:pBdr>
        <w:spacing w:after="160" w:before="360"/>
      </w:pPr>
      <w:r>
        <w:rPr>
          <w:b/>
          <w:bCs/>
          <w:color w:val="D2601A"/>
          <w:sz w:val="30"/>
          <w:szCs w:val="30"/>
        </w:rPr>
        <w:t xml:space="preserve">5. Build Roadmap</w:t>
      </w:r>
    </w:p>
    <w:p>
      <w:pPr>
        <w:spacing w:after="120"/>
      </w:pPr>
      <w:r>
        <w:rPr>
          <w:color w:val="222222"/>
          <w:sz w:val="21"/>
          <w:szCs w:val="21"/>
        </w:rPr>
        <w:t xml:space="preserve">Phased build plan from MVP to full-featured release:</w:t>
      </w:r>
    </w:p>
    <w:p>
      <w:pPr>
        <w:spacing w:after="2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600"/>
        <w:gridCol w:w="1900"/>
      </w:tblGrid>
      <w:tr>
        <w:trPr>
          <w:tblHeader/>
        </w:trPr>
        <w:tc>
          <w:tcPr>
            <w:tcW w:type="dxa" w:w="1500"/>
            <w:shd w:fill="D2601A" w:val="clear"/>
            <w:tcMar>
              <w:top w:type="dxa" w:w="100"/>
              <w:left w:type="dxa" w:w="120"/>
              <w:bottom w:type="dxa" w:w="100"/>
              <w:right w:type="dxa" w:w="120"/>
            </w:tcMar>
          </w:tcPr>
          <w:p>
            <w:r>
              <w:rPr>
                <w:b/>
                <w:bCs/>
                <w:color w:val="FFFFFF"/>
                <w:sz w:val="20"/>
                <w:szCs w:val="20"/>
              </w:rPr>
              <w:t xml:space="preserve">Phase</w:t>
            </w:r>
          </w:p>
        </w:tc>
        <w:tc>
          <w:tcPr>
            <w:tcW w:type="dxa" w:w="2600"/>
            <w:shd w:fill="D2601A" w:val="clear"/>
            <w:tcMar>
              <w:top w:type="dxa" w:w="100"/>
              <w:left w:type="dxa" w:w="120"/>
              <w:bottom w:type="dxa" w:w="100"/>
              <w:right w:type="dxa" w:w="120"/>
            </w:tcMar>
          </w:tcPr>
          <w:p>
            <w:r>
              <w:rPr>
                <w:b/>
                <w:bCs/>
                <w:color w:val="FFFFFF"/>
                <w:sz w:val="20"/>
                <w:szCs w:val="20"/>
              </w:rPr>
              <w:t xml:space="preserve">Focus</w:t>
            </w:r>
          </w:p>
        </w:tc>
        <w:tc>
          <w:tcPr>
            <w:tcW w:type="dxa" w:w="3600"/>
            <w:shd w:fill="D2601A" w:val="clear"/>
            <w:tcMar>
              <w:top w:type="dxa" w:w="100"/>
              <w:left w:type="dxa" w:w="120"/>
              <w:bottom w:type="dxa" w:w="100"/>
              <w:right w:type="dxa" w:w="120"/>
            </w:tcMar>
          </w:tcPr>
          <w:p>
            <w:r>
              <w:rPr>
                <w:b/>
                <w:bCs/>
                <w:color w:val="FFFFFF"/>
                <w:sz w:val="20"/>
                <w:szCs w:val="20"/>
              </w:rPr>
              <w:t xml:space="preserve">Key Deliverables</w:t>
            </w:r>
          </w:p>
        </w:tc>
        <w:tc>
          <w:tcPr>
            <w:tcW w:type="dxa" w:w="1900"/>
            <w:shd w:fill="D2601A" w:val="clear"/>
            <w:tcMar>
              <w:top w:type="dxa" w:w="100"/>
              <w:left w:type="dxa" w:w="120"/>
              <w:bottom w:type="dxa" w:w="100"/>
              <w:right w:type="dxa" w:w="120"/>
            </w:tcMar>
          </w:tcPr>
          <w:p>
            <w:r>
              <w:rPr>
                <w:b/>
                <w:bCs/>
                <w:color w:val="FFFFFF"/>
                <w:sz w:val="20"/>
                <w:szCs w:val="20"/>
              </w:rPr>
              <w:t xml:space="preserve">Est. Duration</w:t>
            </w:r>
          </w:p>
        </w:tc>
      </w:tr>
      <w:tr>
        <w:tc>
          <w:tcPr>
            <w:tcW w:type="dxa" w:w="1500"/>
            <w:shd w:fill="FBEBDD" w:val="clear"/>
            <w:tcMar>
              <w:top w:type="dxa" w:w="100"/>
              <w:left w:type="dxa" w:w="120"/>
              <w:bottom w:type="dxa" w:w="100"/>
              <w:right w:type="dxa" w:w="120"/>
            </w:tcMar>
          </w:tcPr>
          <w:p>
            <w:r>
              <w:rPr>
                <w:b w:val="false"/>
                <w:bCs w:val="false"/>
                <w:color w:val="222222"/>
                <w:sz w:val="20"/>
                <w:szCs w:val="20"/>
              </w:rPr>
              <w:t xml:space="preserve">Phase 0</w:t>
            </w:r>
          </w:p>
        </w:tc>
        <w:tc>
          <w:tcPr>
            <w:tcW w:type="dxa" w:w="2600"/>
            <w:shd w:fill="FBEBDD" w:val="clear"/>
            <w:tcMar>
              <w:top w:type="dxa" w:w="100"/>
              <w:left w:type="dxa" w:w="120"/>
              <w:bottom w:type="dxa" w:w="100"/>
              <w:right w:type="dxa" w:w="120"/>
            </w:tcMar>
          </w:tcPr>
          <w:p>
            <w:r>
              <w:rPr>
                <w:b w:val="false"/>
                <w:bCs w:val="false"/>
                <w:color w:val="222222"/>
                <w:sz w:val="20"/>
                <w:szCs w:val="20"/>
              </w:rPr>
              <w:t xml:space="preserve">Setup &amp; naming</w:t>
            </w:r>
          </w:p>
        </w:tc>
        <w:tc>
          <w:tcPr>
            <w:tcW w:type="dxa" w:w="3600"/>
            <w:shd w:fill="FBEBDD" w:val="clear"/>
            <w:tcMar>
              <w:top w:type="dxa" w:w="100"/>
              <w:left w:type="dxa" w:w="120"/>
              <w:bottom w:type="dxa" w:w="100"/>
              <w:right w:type="dxa" w:w="120"/>
            </w:tcMar>
          </w:tcPr>
          <w:p>
            <w:r>
              <w:rPr>
                <w:b w:val="false"/>
                <w:bCs w:val="false"/>
                <w:color w:val="222222"/>
                <w:sz w:val="20"/>
                <w:szCs w:val="20"/>
              </w:rPr>
              <w:t xml:space="preserve">Repo scaffolding (src/ layout), pyproject.toml, PyPI name reserved (tem-cli), console entry point (tem)</w:t>
            </w:r>
          </w:p>
        </w:tc>
        <w:tc>
          <w:tcPr>
            <w:tcW w:type="dxa" w:w="1900"/>
            <w:shd w:fill="FBEBDD" w:val="clear"/>
            <w:tcMar>
              <w:top w:type="dxa" w:w="100"/>
              <w:left w:type="dxa" w:w="120"/>
              <w:bottom w:type="dxa" w:w="100"/>
              <w:right w:type="dxa" w:w="120"/>
            </w:tcMar>
          </w:tcPr>
          <w:p>
            <w:r>
              <w:rPr>
                <w:b w:val="false"/>
                <w:bCs w:val="false"/>
                <w:color w:val="222222"/>
                <w:sz w:val="20"/>
                <w:szCs w:val="20"/>
              </w:rPr>
              <w:t xml:space="preserve">2-3 days</w:t>
            </w:r>
          </w:p>
        </w:tc>
      </w:tr>
      <w:tr>
        <w:tc>
          <w:tcPr>
            <w:tcW w:type="dxa" w:w="1500"/>
            <w:tcMar>
              <w:top w:type="dxa" w:w="100"/>
              <w:left w:type="dxa" w:w="120"/>
              <w:bottom w:type="dxa" w:w="100"/>
              <w:right w:type="dxa" w:w="120"/>
            </w:tcMar>
          </w:tcPr>
          <w:p>
            <w:r>
              <w:rPr>
                <w:b w:val="false"/>
                <w:bCs w:val="false"/>
                <w:color w:val="222222"/>
                <w:sz w:val="20"/>
                <w:szCs w:val="20"/>
              </w:rPr>
              <w:t xml:space="preserve">Phase 1</w:t>
            </w:r>
          </w:p>
        </w:tc>
        <w:tc>
          <w:tcPr>
            <w:tcW w:type="dxa" w:w="2600"/>
            <w:tcMar>
              <w:top w:type="dxa" w:w="100"/>
              <w:left w:type="dxa" w:w="120"/>
              <w:bottom w:type="dxa" w:w="100"/>
              <w:right w:type="dxa" w:w="120"/>
            </w:tcMar>
          </w:tcPr>
          <w:p>
            <w:r>
              <w:rPr>
                <w:b w:val="false"/>
                <w:bCs w:val="false"/>
                <w:color w:val="222222"/>
                <w:sz w:val="20"/>
                <w:szCs w:val="20"/>
              </w:rPr>
              <w:t xml:space="preserve">Wrapper MVP</w:t>
            </w:r>
          </w:p>
        </w:tc>
        <w:tc>
          <w:tcPr>
            <w:tcW w:type="dxa" w:w="3600"/>
            <w:tcMar>
              <w:top w:type="dxa" w:w="100"/>
              <w:left w:type="dxa" w:w="120"/>
              <w:bottom w:type="dxa" w:w="100"/>
              <w:right w:type="dxa" w:w="120"/>
            </w:tcMar>
          </w:tcPr>
          <w:p>
            <w:r>
              <w:rPr>
                <w:b w:val="false"/>
                <w:bCs w:val="false"/>
                <w:color w:val="222222"/>
                <w:sz w:val="20"/>
                <w:szCs w:val="20"/>
              </w:rPr>
              <w:t xml:space="preserve">"tem run &lt;command&gt;" subprocess wrapper, live stdout/stderr passthrough, regex + severity classification, clipboard output, toast notification</w:t>
            </w:r>
          </w:p>
        </w:tc>
        <w:tc>
          <w:tcPr>
            <w:tcW w:type="dxa" w:w="1900"/>
            <w:tcMar>
              <w:top w:type="dxa" w:w="100"/>
              <w:left w:type="dxa" w:w="120"/>
              <w:bottom w:type="dxa" w:w="100"/>
              <w:right w:type="dxa" w:w="120"/>
            </w:tcMar>
          </w:tcPr>
          <w:p>
            <w:r>
              <w:rPr>
                <w:b w:val="false"/>
                <w:bCs w:val="false"/>
                <w:color w:val="222222"/>
                <w:sz w:val="20"/>
                <w:szCs w:val="20"/>
              </w:rPr>
              <w:t xml:space="preserve">1-2 weeks</w:t>
            </w:r>
          </w:p>
        </w:tc>
      </w:tr>
      <w:tr>
        <w:tc>
          <w:tcPr>
            <w:tcW w:type="dxa" w:w="1500"/>
            <w:shd w:fill="FBEBDD" w:val="clear"/>
            <w:tcMar>
              <w:top w:type="dxa" w:w="100"/>
              <w:left w:type="dxa" w:w="120"/>
              <w:bottom w:type="dxa" w:w="100"/>
              <w:right w:type="dxa" w:w="120"/>
            </w:tcMar>
          </w:tcPr>
          <w:p>
            <w:r>
              <w:rPr>
                <w:b w:val="false"/>
                <w:bCs w:val="false"/>
                <w:color w:val="222222"/>
                <w:sz w:val="20"/>
                <w:szCs w:val="20"/>
              </w:rPr>
              <w:t xml:space="preserve">Phase 2</w:t>
            </w:r>
          </w:p>
        </w:tc>
        <w:tc>
          <w:tcPr>
            <w:tcW w:type="dxa" w:w="2600"/>
            <w:shd w:fill="FBEBDD" w:val="clear"/>
            <w:tcMar>
              <w:top w:type="dxa" w:w="100"/>
              <w:left w:type="dxa" w:w="120"/>
              <w:bottom w:type="dxa" w:w="100"/>
              <w:right w:type="dxa" w:w="120"/>
            </w:tcMar>
          </w:tcPr>
          <w:p>
            <w:r>
              <w:rPr>
                <w:b w:val="false"/>
                <w:bCs w:val="false"/>
                <w:color w:val="222222"/>
                <w:sz w:val="20"/>
                <w:szCs w:val="20"/>
              </w:rPr>
              <w:t xml:space="preserve">Language-aware parsing</w:t>
            </w:r>
          </w:p>
        </w:tc>
        <w:tc>
          <w:tcPr>
            <w:tcW w:type="dxa" w:w="3600"/>
            <w:shd w:fill="FBEBDD" w:val="clear"/>
            <w:tcMar>
              <w:top w:type="dxa" w:w="100"/>
              <w:left w:type="dxa" w:w="120"/>
              <w:bottom w:type="dxa" w:w="100"/>
              <w:right w:type="dxa" w:w="120"/>
            </w:tcMar>
          </w:tcPr>
          <w:p>
            <w:r>
              <w:rPr>
                <w:b w:val="false"/>
                <w:bCs w:val="false"/>
                <w:color w:val="222222"/>
                <w:sz w:val="20"/>
                <w:szCs w:val="20"/>
              </w:rPr>
              <w:t xml:space="preserve">Multi-line block grouping (Python traceback, Node stack, Cargo panic), parsers/ plugin structure, test fixtures</w:t>
            </w:r>
          </w:p>
        </w:tc>
        <w:tc>
          <w:tcPr>
            <w:tcW w:type="dxa" w:w="1900"/>
            <w:shd w:fill="FBEBDD" w:val="clear"/>
            <w:tcMar>
              <w:top w:type="dxa" w:w="100"/>
              <w:left w:type="dxa" w:w="120"/>
              <w:bottom w:type="dxa" w:w="100"/>
              <w:right w:type="dxa" w:w="120"/>
            </w:tcMar>
          </w:tcPr>
          <w:p>
            <w:r>
              <w:rPr>
                <w:b w:val="false"/>
                <w:bCs w:val="false"/>
                <w:color w:val="222222"/>
                <w:sz w:val="20"/>
                <w:szCs w:val="20"/>
              </w:rPr>
              <w:t xml:space="preserve">1 week</w:t>
            </w:r>
          </w:p>
        </w:tc>
      </w:tr>
      <w:tr>
        <w:tc>
          <w:tcPr>
            <w:tcW w:type="dxa" w:w="1500"/>
            <w:tcMar>
              <w:top w:type="dxa" w:w="100"/>
              <w:left w:type="dxa" w:w="120"/>
              <w:bottom w:type="dxa" w:w="100"/>
              <w:right w:type="dxa" w:w="120"/>
            </w:tcMar>
          </w:tcPr>
          <w:p>
            <w:r>
              <w:rPr>
                <w:b w:val="false"/>
                <w:bCs w:val="false"/>
                <w:color w:val="222222"/>
                <w:sz w:val="20"/>
                <w:szCs w:val="20"/>
              </w:rPr>
              <w:t xml:space="preserve">Phase 3</w:t>
            </w:r>
          </w:p>
        </w:tc>
        <w:tc>
          <w:tcPr>
            <w:tcW w:type="dxa" w:w="2600"/>
            <w:tcMar>
              <w:top w:type="dxa" w:w="100"/>
              <w:left w:type="dxa" w:w="120"/>
              <w:bottom w:type="dxa" w:w="100"/>
              <w:right w:type="dxa" w:w="120"/>
            </w:tcMar>
          </w:tcPr>
          <w:p>
            <w:r>
              <w:rPr>
                <w:b w:val="false"/>
                <w:bCs w:val="false"/>
                <w:color w:val="222222"/>
                <w:sz w:val="20"/>
                <w:szCs w:val="20"/>
              </w:rPr>
              <w:t xml:space="preserve">Source context capture</w:t>
            </w:r>
          </w:p>
        </w:tc>
        <w:tc>
          <w:tcPr>
            <w:tcW w:type="dxa" w:w="3600"/>
            <w:tcMar>
              <w:top w:type="dxa" w:w="100"/>
              <w:left w:type="dxa" w:w="120"/>
              <w:bottom w:type="dxa" w:w="100"/>
              <w:right w:type="dxa" w:w="120"/>
            </w:tcMar>
          </w:tcPr>
          <w:p>
            <w:r>
              <w:rPr>
                <w:b w:val="false"/>
                <w:bCs w:val="false"/>
                <w:color w:val="222222"/>
                <w:sz w:val="20"/>
                <w:szCs w:val="20"/>
              </w:rPr>
              <w:t xml:space="preserve">Read source file + line via linecache, attach code snippet to error payload, Markdown formatter</w:t>
            </w:r>
          </w:p>
        </w:tc>
        <w:tc>
          <w:tcPr>
            <w:tcW w:type="dxa" w:w="1900"/>
            <w:tcMar>
              <w:top w:type="dxa" w:w="100"/>
              <w:left w:type="dxa" w:w="120"/>
              <w:bottom w:type="dxa" w:w="100"/>
              <w:right w:type="dxa" w:w="120"/>
            </w:tcMar>
          </w:tcPr>
          <w:p>
            <w:r>
              <w:rPr>
                <w:b w:val="false"/>
                <w:bCs w:val="false"/>
                <w:color w:val="222222"/>
                <w:sz w:val="20"/>
                <w:szCs w:val="20"/>
              </w:rPr>
              <w:t xml:space="preserve">3-5 days</w:t>
            </w:r>
          </w:p>
        </w:tc>
      </w:tr>
      <w:tr>
        <w:tc>
          <w:tcPr>
            <w:tcW w:type="dxa" w:w="1500"/>
            <w:shd w:fill="FBEBDD" w:val="clear"/>
            <w:tcMar>
              <w:top w:type="dxa" w:w="100"/>
              <w:left w:type="dxa" w:w="120"/>
              <w:bottom w:type="dxa" w:w="100"/>
              <w:right w:type="dxa" w:w="120"/>
            </w:tcMar>
          </w:tcPr>
          <w:p>
            <w:r>
              <w:rPr>
                <w:b w:val="false"/>
                <w:bCs w:val="false"/>
                <w:color w:val="222222"/>
                <w:sz w:val="20"/>
                <w:szCs w:val="20"/>
              </w:rPr>
              <w:t xml:space="preserve">Phase 4</w:t>
            </w:r>
          </w:p>
        </w:tc>
        <w:tc>
          <w:tcPr>
            <w:tcW w:type="dxa" w:w="2600"/>
            <w:shd w:fill="FBEBDD" w:val="clear"/>
            <w:tcMar>
              <w:top w:type="dxa" w:w="100"/>
              <w:left w:type="dxa" w:w="120"/>
              <w:bottom w:type="dxa" w:w="100"/>
              <w:right w:type="dxa" w:w="120"/>
            </w:tcMar>
          </w:tcPr>
          <w:p>
            <w:r>
              <w:rPr>
                <w:b w:val="false"/>
                <w:bCs w:val="false"/>
                <w:color w:val="222222"/>
                <w:sz w:val="20"/>
                <w:szCs w:val="20"/>
              </w:rPr>
              <w:t xml:space="preserve">VS Code bridge extension</w:t>
            </w:r>
          </w:p>
        </w:tc>
        <w:tc>
          <w:tcPr>
            <w:tcW w:type="dxa" w:w="3600"/>
            <w:shd w:fill="FBEBDD" w:val="clear"/>
            <w:tcMar>
              <w:top w:type="dxa" w:w="100"/>
              <w:left w:type="dxa" w:w="120"/>
              <w:bottom w:type="dxa" w:w="100"/>
              <w:right w:type="dxa" w:w="120"/>
            </w:tcMar>
          </w:tcPr>
          <w:p>
            <w:r>
              <w:rPr>
                <w:b w:val="false"/>
                <w:bCs w:val="false"/>
                <w:color w:val="222222"/>
                <w:sz w:val="20"/>
                <w:szCs w:val="20"/>
              </w:rPr>
              <w:t xml:space="preserve">TypeScript extension (vscode-extension/), localhost socket bridge, workbench.action.chat.open integration with Copilot Chat</w:t>
            </w:r>
          </w:p>
        </w:tc>
        <w:tc>
          <w:tcPr>
            <w:tcW w:type="dxa" w:w="1900"/>
            <w:shd w:fill="FBEBDD" w:val="clear"/>
            <w:tcMar>
              <w:top w:type="dxa" w:w="100"/>
              <w:left w:type="dxa" w:w="120"/>
              <w:bottom w:type="dxa" w:w="100"/>
              <w:right w:type="dxa" w:w="120"/>
            </w:tcMar>
          </w:tcPr>
          <w:p>
            <w:r>
              <w:rPr>
                <w:b w:val="false"/>
                <w:bCs w:val="false"/>
                <w:color w:val="222222"/>
                <w:sz w:val="20"/>
                <w:szCs w:val="20"/>
              </w:rPr>
              <w:t xml:space="preserve">1-2 weeks</w:t>
            </w:r>
          </w:p>
        </w:tc>
      </w:tr>
      <w:tr>
        <w:tc>
          <w:tcPr>
            <w:tcW w:type="dxa" w:w="1500"/>
            <w:tcMar>
              <w:top w:type="dxa" w:w="100"/>
              <w:left w:type="dxa" w:w="120"/>
              <w:bottom w:type="dxa" w:w="100"/>
              <w:right w:type="dxa" w:w="120"/>
            </w:tcMar>
          </w:tcPr>
          <w:p>
            <w:r>
              <w:rPr>
                <w:b w:val="false"/>
                <w:bCs w:val="false"/>
                <w:color w:val="222222"/>
                <w:sz w:val="20"/>
                <w:szCs w:val="20"/>
              </w:rPr>
              <w:t xml:space="preserve">Phase 5</w:t>
            </w:r>
          </w:p>
        </w:tc>
        <w:tc>
          <w:tcPr>
            <w:tcW w:type="dxa" w:w="2600"/>
            <w:tcMar>
              <w:top w:type="dxa" w:w="100"/>
              <w:left w:type="dxa" w:w="120"/>
              <w:bottom w:type="dxa" w:w="100"/>
              <w:right w:type="dxa" w:w="120"/>
            </w:tcMar>
          </w:tcPr>
          <w:p>
            <w:r>
              <w:rPr>
                <w:b w:val="false"/>
                <w:bCs w:val="false"/>
                <w:color w:val="222222"/>
                <w:sz w:val="20"/>
                <w:szCs w:val="20"/>
              </w:rPr>
              <w:t xml:space="preserve">Global hotkey capture</w:t>
            </w:r>
          </w:p>
        </w:tc>
        <w:tc>
          <w:tcPr>
            <w:tcW w:type="dxa" w:w="3600"/>
            <w:tcMar>
              <w:top w:type="dxa" w:w="100"/>
              <w:left w:type="dxa" w:w="120"/>
              <w:bottom w:type="dxa" w:w="100"/>
              <w:right w:type="dxa" w:w="120"/>
            </w:tcMar>
          </w:tcPr>
          <w:p>
            <w:r>
              <w:rPr>
                <w:b w:val="false"/>
                <w:bCs w:val="false"/>
                <w:color w:val="222222"/>
                <w:sz w:val="20"/>
                <w:szCs w:val="20"/>
              </w:rPr>
              <w:t xml:space="preserve">UI Automation (UIA) buffer scraping for Windows Terminal, Win+Alt+E hotkey registration, fallback clipboard simulation</w:t>
            </w:r>
          </w:p>
        </w:tc>
        <w:tc>
          <w:tcPr>
            <w:tcW w:type="dxa" w:w="1900"/>
            <w:tcMar>
              <w:top w:type="dxa" w:w="100"/>
              <w:left w:type="dxa" w:w="120"/>
              <w:bottom w:type="dxa" w:w="100"/>
              <w:right w:type="dxa" w:w="120"/>
            </w:tcMar>
          </w:tcPr>
          <w:p>
            <w:r>
              <w:rPr>
                <w:b w:val="false"/>
                <w:bCs w:val="false"/>
                <w:color w:val="222222"/>
                <w:sz w:val="20"/>
                <w:szCs w:val="20"/>
              </w:rPr>
              <w:t xml:space="preserve">1-2 weeks</w:t>
            </w:r>
          </w:p>
        </w:tc>
      </w:tr>
      <w:tr>
        <w:tc>
          <w:tcPr>
            <w:tcW w:type="dxa" w:w="1500"/>
            <w:shd w:fill="FBEBDD" w:val="clear"/>
            <w:tcMar>
              <w:top w:type="dxa" w:w="100"/>
              <w:left w:type="dxa" w:w="120"/>
              <w:bottom w:type="dxa" w:w="100"/>
              <w:right w:type="dxa" w:w="120"/>
            </w:tcMar>
          </w:tcPr>
          <w:p>
            <w:r>
              <w:rPr>
                <w:b w:val="false"/>
                <w:bCs w:val="false"/>
                <w:color w:val="222222"/>
                <w:sz w:val="20"/>
                <w:szCs w:val="20"/>
              </w:rPr>
              <w:t xml:space="preserve">Phase 6</w:t>
            </w:r>
          </w:p>
        </w:tc>
        <w:tc>
          <w:tcPr>
            <w:tcW w:type="dxa" w:w="2600"/>
            <w:shd w:fill="FBEBDD" w:val="clear"/>
            <w:tcMar>
              <w:top w:type="dxa" w:w="100"/>
              <w:left w:type="dxa" w:w="120"/>
              <w:bottom w:type="dxa" w:w="100"/>
              <w:right w:type="dxa" w:w="120"/>
            </w:tcMar>
          </w:tcPr>
          <w:p>
            <w:r>
              <w:rPr>
                <w:b w:val="false"/>
                <w:bCs w:val="false"/>
                <w:color w:val="222222"/>
                <w:sz w:val="20"/>
                <w:szCs w:val="20"/>
              </w:rPr>
              <w:t xml:space="preserve">Packaging &amp; polish</w:t>
            </w:r>
          </w:p>
        </w:tc>
        <w:tc>
          <w:tcPr>
            <w:tcW w:type="dxa" w:w="3600"/>
            <w:shd w:fill="FBEBDD" w:val="clear"/>
            <w:tcMar>
              <w:top w:type="dxa" w:w="100"/>
              <w:left w:type="dxa" w:w="120"/>
              <w:bottom w:type="dxa" w:w="100"/>
              <w:right w:type="dxa" w:w="120"/>
            </w:tcMar>
          </w:tcPr>
          <w:p>
            <w:r>
              <w:rPr>
                <w:b w:val="false"/>
                <w:bCs w:val="false"/>
                <w:color w:val="222222"/>
                <w:sz w:val="20"/>
                <w:szCs w:val="20"/>
              </w:rPr>
              <w:t xml:space="preserve">System tray app / background service, code signing, Smart Filter toggle (full log vs cleaned error), Windows Defender trust</w:t>
            </w:r>
          </w:p>
        </w:tc>
        <w:tc>
          <w:tcPr>
            <w:tcW w:type="dxa" w:w="1900"/>
            <w:shd w:fill="FBEBDD" w:val="clear"/>
            <w:tcMar>
              <w:top w:type="dxa" w:w="100"/>
              <w:left w:type="dxa" w:w="120"/>
              <w:bottom w:type="dxa" w:w="100"/>
              <w:right w:type="dxa" w:w="120"/>
            </w:tcMar>
          </w:tcPr>
          <w:p>
            <w:r>
              <w:rPr>
                <w:b w:val="false"/>
                <w:bCs w:val="false"/>
                <w:color w:val="222222"/>
                <w:sz w:val="20"/>
                <w:szCs w:val="20"/>
              </w:rPr>
              <w:t xml:space="preserve">1-2 weeks</w:t>
            </w:r>
          </w:p>
        </w:tc>
      </w:tr>
      <w:tr>
        <w:tc>
          <w:tcPr>
            <w:tcW w:type="dxa" w:w="1500"/>
            <w:tcMar>
              <w:top w:type="dxa" w:w="100"/>
              <w:left w:type="dxa" w:w="120"/>
              <w:bottom w:type="dxa" w:w="100"/>
              <w:right w:type="dxa" w:w="120"/>
            </w:tcMar>
          </w:tcPr>
          <w:p>
            <w:r>
              <w:rPr>
                <w:b w:val="false"/>
                <w:bCs w:val="false"/>
                <w:color w:val="222222"/>
                <w:sz w:val="20"/>
                <w:szCs w:val="20"/>
              </w:rPr>
              <w:t xml:space="preserve">Phase 7</w:t>
            </w:r>
          </w:p>
        </w:tc>
        <w:tc>
          <w:tcPr>
            <w:tcW w:type="dxa" w:w="2600"/>
            <w:tcMar>
              <w:top w:type="dxa" w:w="100"/>
              <w:left w:type="dxa" w:w="120"/>
              <w:bottom w:type="dxa" w:w="100"/>
              <w:right w:type="dxa" w:w="120"/>
            </w:tcMar>
          </w:tcPr>
          <w:p>
            <w:r>
              <w:rPr>
                <w:b w:val="false"/>
                <w:bCs w:val="false"/>
                <w:color w:val="222222"/>
                <w:sz w:val="20"/>
                <w:szCs w:val="20"/>
              </w:rPr>
              <w:t xml:space="preserve">Beta &amp; feedback</w:t>
            </w:r>
          </w:p>
        </w:tc>
        <w:tc>
          <w:tcPr>
            <w:tcW w:type="dxa" w:w="3600"/>
            <w:tcMar>
              <w:top w:type="dxa" w:w="100"/>
              <w:left w:type="dxa" w:w="120"/>
              <w:bottom w:type="dxa" w:w="100"/>
              <w:right w:type="dxa" w:w="120"/>
            </w:tcMar>
          </w:tcPr>
          <w:p>
            <w:r>
              <w:rPr>
                <w:b w:val="false"/>
                <w:bCs w:val="false"/>
                <w:color w:val="222222"/>
                <w:sz w:val="20"/>
                <w:szCs w:val="20"/>
              </w:rPr>
              <w:t xml:space="preserve">Distribute to beginner testers, collect false-positive/negative error reports, refine classifier</w:t>
            </w:r>
          </w:p>
        </w:tc>
        <w:tc>
          <w:tcPr>
            <w:tcW w:type="dxa" w:w="1900"/>
            <w:tcMar>
              <w:top w:type="dxa" w:w="100"/>
              <w:left w:type="dxa" w:w="120"/>
              <w:bottom w:type="dxa" w:w="100"/>
              <w:right w:type="dxa" w:w="120"/>
            </w:tcMar>
          </w:tcPr>
          <w:p>
            <w:r>
              <w:rPr>
                <w:b w:val="false"/>
                <w:bCs w:val="false"/>
                <w:color w:val="222222"/>
                <w:sz w:val="20"/>
                <w:szCs w:val="20"/>
              </w:rPr>
              <w:t xml:space="preserve">Ongoing</w:t>
            </w:r>
          </w:p>
        </w:tc>
      </w:tr>
    </w:tbl>
    <w:p>
      <w:pPr>
        <w:pStyle w:val="Heading1"/>
        <w:pBdr>
          <w:bottom w:val="single" w:color="D2601A" w:sz="6" w:space="4"/>
        </w:pBdr>
        <w:spacing w:after="160" w:before="360"/>
      </w:pPr>
      <w:r>
        <w:rPr>
          <w:b/>
          <w:bCs/>
          <w:color w:val="D2601A"/>
          <w:sz w:val="30"/>
          <w:szCs w:val="30"/>
        </w:rPr>
        <w:t xml:space="preserve">6. Risks &amp; Considerations</w:t>
      </w:r>
    </w:p>
    <w:p>
      <w:pPr>
        <w:pStyle w:val="ListParagraph"/>
        <w:numPr>
          <w:ilvl w:val="0"/>
          <w:numId w:val="2"/>
        </w:numPr>
        <w:spacing w:after="60"/>
      </w:pPr>
      <w:r>
        <w:rPr>
          <w:color w:val="222222"/>
          <w:sz w:val="21"/>
          <w:szCs w:val="21"/>
        </w:rPr>
        <w:t xml:space="preserve">Windows Defender / SmartScreen may flag global-hotkey + clipboard + automation tools — code signing needed early, not as an afterthought.</w:t>
      </w:r>
    </w:p>
    <w:p>
      <w:pPr>
        <w:pStyle w:val="ListParagraph"/>
        <w:numPr>
          <w:ilvl w:val="0"/>
          <w:numId w:val="2"/>
        </w:numPr>
        <w:spacing w:after="60"/>
      </w:pPr>
      <w:r>
        <w:rPr>
          <w:color w:val="222222"/>
          <w:sz w:val="21"/>
          <w:szCs w:val="21"/>
        </w:rPr>
        <w:t xml:space="preserve">Terminal diversity (Windows Terminal vs legacy conhost vs PowerShell vs WSL) — scope v1 support explicitly (Windows Terminal + PowerShell) rather than silently failing elsewhere.</w:t>
      </w:r>
    </w:p>
    <w:p>
      <w:pPr>
        <w:pStyle w:val="ListParagraph"/>
        <w:numPr>
          <w:ilvl w:val="0"/>
          <w:numId w:val="2"/>
        </w:numPr>
        <w:spacing w:after="60"/>
      </w:pPr>
      <w:r>
        <w:rPr>
          <w:color w:val="222222"/>
          <w:sz w:val="21"/>
          <w:szCs w:val="21"/>
        </w:rPr>
        <w:t xml:space="preserve">Privacy — terminal output may contain secrets/tokens/paths; default to fully local processing, especially if an optional LLM-assist classification step is added later.</w:t>
      </w:r>
    </w:p>
    <w:p>
      <w:pPr>
        <w:pStyle w:val="Heading1"/>
        <w:pBdr>
          <w:bottom w:val="single" w:color="D2601A" w:sz="6" w:space="4"/>
        </w:pBdr>
        <w:spacing w:after="160" w:before="360"/>
      </w:pPr>
      <w:r>
        <w:rPr>
          <w:b/>
          <w:bCs/>
          <w:color w:val="D2601A"/>
          <w:sz w:val="30"/>
          <w:szCs w:val="30"/>
        </w:rPr>
        <w:t xml:space="preserve">7. Suggested Next Step</w:t>
      </w:r>
    </w:p>
    <w:p>
      <w:pPr>
        <w:spacing w:after="120"/>
      </w:pPr>
      <w:r>
        <w:rPr>
          <w:color w:val="222222"/>
          <w:sz w:val="21"/>
          <w:szCs w:val="21"/>
        </w:rPr>
        <w:t xml:space="preserve">Begin Phase 1 (Wrapper MVP): implement "tem run &lt;command&gt;" as a subprocess wrapper with live passthrough, regex-based classification, and clipboard delivery. This validates the core value proposition (clean, ready-to-paste error output) before investing in the VS Code extension or hotkey capture layers.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2026-08-10T09:05:34.508Z</dcterms:created>
  <dcterms:modified xsi:type="dcterms:W3CDTF">2026-08-10T09:05:34.534Z</dcterms:modified>
</cp:coreProperties>
</file>

<file path=docProps/custom.xml><?xml version="1.0" encoding="utf-8"?>
<Properties xmlns="http://schemas.openxmlformats.org/officeDocument/2006/custom-properties" xmlns:vt="http://schemas.openxmlformats.org/officeDocument/2006/docPropsVTypes"/>
</file>