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Fraud control types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Before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During fraud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4"/>
                <w:szCs w:val="34"/>
              </w:rPr>
            </w:pPr>
            <w:r w:rsidDel="00000000" w:rsidR="00000000" w:rsidRPr="00000000">
              <w:rPr>
                <w:sz w:val="34"/>
                <w:szCs w:val="34"/>
                <w:rtl w:val="0"/>
              </w:rPr>
              <w:t xml:space="preserve">After fraud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Preventive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Detective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Punishment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Segregation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Anonymous hotlines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Amend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Internal controls (physical and digital)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audits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Fidelity insurance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signed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Monitoring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Employees bonding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Fraud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Mandatory vacations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Secure your account more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support programs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Complaint or fraud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Background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it involves giving money continuously stop giving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.61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Require financial transactions to be done by and authorized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Collect all the necessary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.61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Restrict use of the agency’s bank account and verify that all the transactions were related to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.61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Protect petty cash funds and other types of funds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.611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Ensure that all agency assets such as cars and mobile phones are used only for the business purpose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